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keepNext/>
        <w:spacing w:before="240" w:after="80"/>
        <w:pBdr>
          <w:bottom w:val="single" w:sz="6" w:space="1" w:color="B4C6E7"/>
        </w:pBdr>
      </w:pPr>
      <w:r>
        <w:rPr>
          <w:bCs/>
          <w:b/>
          <w:color w:val="1F3864"/>
          <w:sz w:val="25"/>
        </w:rPr>
        <w:t xml:space="preserve">Part A. Can this change be made by a corrigendum?</w:t>
      </w:r>
    </w:p>
    <w:p>
      <w:pPr>
        <w:pStyle w:val="BodyText"/>
        <w:spacing w:before="0" w:after="120" w:line="269" w:lineRule="auto"/>
        <w:jc w:val="both"/>
      </w:pPr>
      <w:r>
        <w:rPr>
          <w:bCs/>
          <w:b/>
        </w:rPr>
        <w:t xml:space="preserve">The law in four lines.</w:t>
      </w:r>
      <w:r>
        <w:t xml:space="preserve"> </w:t>
      </w:r>
      <w:r>
        <w:t xml:space="preserve">(1) Section 161 allows the authority that issued a notice to rectify an error apparent on the face of the record, on its own motion or when pointed out within three months of the notice; no rectification after six months from issue, except a purely clerical or arithmetical error from an accidental slip or omission; a rectification that adversely affects any person needs natural justice (third proviso). (2) Section 75(7): the order cannot exceed the amount in the notice, and no demand can be confirmed on grounds other than those in the notice. (3) The time limit for a notice is fixed by section 73(2), 74(2) or 74A(2); a change that is really a new notice must meet it. (4) Section 160(1): a proceeding is not invalid for a mistake, defect or omission if it is in substance and effect in conformity with the Act.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4020"/>
        <w:gridCol w:w="1384"/>
        <w:gridCol w:w="2391"/>
        <w:gridCol w:w="1843"/>
      </w:tblGrid>
      <w:tr>
        <w:trPr>
          <w:tblHeader w:val="true"/>
          <w:tblHeader/>
        </w:trPr>
        <w:tc>
          <w:tcPr>
            <w:tcW w:type="dxa" w:w="4020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Change wanted</w:t>
            </w:r>
          </w:p>
        </w:tc>
        <w:tc>
          <w:tcPr>
            <w:tcW w:type="dxa" w:w="1384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Before the last date for the notice</w:t>
            </w:r>
          </w:p>
        </w:tc>
        <w:tc>
          <w:tcPr>
            <w:tcW w:type="dxa" w:w="2391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After the last date for the notice</w:t>
            </w:r>
          </w:p>
        </w:tc>
        <w:tc>
          <w:tcPr>
            <w:tcW w:type="dxa" w:w="1843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How</w:t>
            </w:r>
          </w:p>
        </w:tc>
      </w:tr>
      <w:tr>
        <w:tc>
          <w:tcPr>
            <w:tcW w:type="dxa" w:w="40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Typing, clerical or arithmetical slip that does not raise any amount (wrong date, para reference, name spelling, GSTIN digit, totals that do not add)</w:t>
            </w:r>
          </w:p>
        </w:tc>
        <w:tc>
          <w:tcPr>
            <w:tcW w:type="dxa" w:w="138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Yes</w:t>
            </w:r>
          </w:p>
        </w:tc>
        <w:tc>
          <w:tcPr>
            <w:tcW w:type="dxa" w:w="23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Yes (no six-month bar for a purely clerical or arithmetical error)</w:t>
            </w:r>
          </w:p>
        </w:tc>
        <w:tc>
          <w:tcPr>
            <w:tcW w:type="dxa" w:w="18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Corrigendum (Part B)</w:t>
            </w:r>
          </w:p>
        </w:tc>
      </w:tr>
      <w:tr>
        <w:tc>
          <w:tcPr>
            <w:tcW w:type="dxa" w:w="40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Wrong citation of a section, rule or notification, where the facts and the ground stated are unchanged (e.g. </w:t>
            </w:r>
            <w:r>
              <w:rPr>
                <w:sz w:val="21"/>
              </w:rPr>
              <w:t xml:space="preserve">“</w:t>
            </w:r>
            <w:r>
              <w:rPr>
                <w:sz w:val="21"/>
              </w:rPr>
              <w:t xml:space="preserve">rule 49</w:t>
            </w:r>
            <w:r>
              <w:rPr>
                <w:sz w:val="21"/>
              </w:rPr>
              <w:t xml:space="preserve">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for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</w:t>
            </w:r>
            <w:r>
              <w:rPr>
                <w:sz w:val="21"/>
              </w:rPr>
              <w:t xml:space="preserve">rule 46</w:t>
            </w:r>
            <w:r>
              <w:rPr>
                <w:sz w:val="21"/>
              </w:rPr>
              <w:t xml:space="preserve">”</w:t>
            </w:r>
            <w:r>
              <w:rPr>
                <w:sz w:val="21"/>
              </w:rPr>
              <w:t xml:space="preserve">;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</w:t>
            </w:r>
            <w:r>
              <w:rPr>
                <w:sz w:val="21"/>
              </w:rPr>
              <w:t xml:space="preserve">13/2017-Central Tax</w:t>
            </w:r>
            <w:r>
              <w:rPr>
                <w:sz w:val="21"/>
              </w:rPr>
              <w:t xml:space="preserve">”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for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“</w:t>
            </w:r>
            <w:r>
              <w:rPr>
                <w:sz w:val="21"/>
              </w:rPr>
              <w:t xml:space="preserve">13/2017-Central Tax (Rate)</w:t>
            </w:r>
            <w:r>
              <w:rPr>
                <w:sz w:val="21"/>
              </w:rPr>
              <w:t xml:space="preserve">”</w:t>
            </w:r>
            <w:r>
              <w:rPr>
                <w:sz w:val="21"/>
              </w:rPr>
              <w:t xml:space="preserve">)</w:t>
            </w:r>
          </w:p>
        </w:tc>
        <w:tc>
          <w:tcPr>
            <w:tcW w:type="dxa" w:w="138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Yes</w:t>
            </w:r>
          </w:p>
        </w:tc>
        <w:tc>
          <w:tcPr>
            <w:tcW w:type="dxa" w:w="23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Yes, within six months of the notice, with fresh time to reply</w:t>
            </w:r>
          </w:p>
        </w:tc>
        <w:tc>
          <w:tcPr>
            <w:tcW w:type="dxa" w:w="18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Corrigendum, with time to reply and a hearing date</w:t>
            </w:r>
          </w:p>
        </w:tc>
      </w:tr>
      <w:tr>
        <w:tc>
          <w:tcPr>
            <w:tcW w:type="dxa" w:w="40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b/>
                <w:sz w:val="21"/>
              </w:rPr>
              <w:t xml:space="preserve">Reducing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the demand (wrong rate, double count, credit for a payment, wrong conversion factor)</w:t>
            </w:r>
          </w:p>
        </w:tc>
        <w:tc>
          <w:tcPr>
            <w:tcW w:type="dxa" w:w="138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Yes</w:t>
            </w:r>
          </w:p>
        </w:tc>
        <w:tc>
          <w:tcPr>
            <w:tcW w:type="dxa" w:w="23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Yes</w:t>
            </w:r>
          </w:p>
        </w:tc>
        <w:tc>
          <w:tcPr>
            <w:tcW w:type="dxa" w:w="18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Corrigendum; or drop the excess in the order</w:t>
            </w:r>
          </w:p>
        </w:tc>
      </w:tr>
      <w:tr>
        <w:tc>
          <w:tcPr>
            <w:tcW w:type="dxa" w:w="40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Change of the adjudicating authority because a statement under section 73(3), 74(3) or 74A(3) takes the amount above the issuing officer’s limit</w:t>
            </w:r>
          </w:p>
        </w:tc>
        <w:tc>
          <w:tcPr>
            <w:tcW w:type="dxa" w:w="138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Yes</w:t>
            </w:r>
          </w:p>
        </w:tc>
        <w:tc>
          <w:tcPr>
            <w:tcW w:type="dxa" w:w="23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Yes</w:t>
            </w:r>
          </w:p>
        </w:tc>
        <w:tc>
          <w:tcPr>
            <w:tcW w:type="dxa" w:w="18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Corrigendum by the issuing authority (para 5.3(b) of Circular No. 254/11/2025-GST)</w:t>
            </w:r>
          </w:p>
        </w:tc>
      </w:tr>
      <w:tr>
        <w:tc>
          <w:tcPr>
            <w:tcW w:type="dxa" w:w="40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Interest or penalty proposed without its sub-section or clause, where the amount and the ground are already stated</w:t>
            </w:r>
          </w:p>
        </w:tc>
        <w:tc>
          <w:tcPr>
            <w:tcW w:type="dxa" w:w="138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Yes</w:t>
            </w:r>
          </w:p>
        </w:tc>
        <w:tc>
          <w:tcPr>
            <w:tcW w:type="dxa" w:w="23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Doubtful; safer to state the clause within six months, with fresh time to reply</w:t>
            </w:r>
          </w:p>
        </w:tc>
        <w:tc>
          <w:tcPr>
            <w:tcW w:type="dxa" w:w="18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Corrigendum, with time to reply</w:t>
            </w:r>
          </w:p>
        </w:tc>
      </w:tr>
      <w:tr>
        <w:tc>
          <w:tcPr>
            <w:tcW w:type="dxa" w:w="40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b/>
                <w:sz w:val="21"/>
              </w:rPr>
              <w:t xml:space="preserve">Increasing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tax, interest or penalty; adding an issue or period; adding interest or a penalty never proposed</w:t>
            </w:r>
          </w:p>
        </w:tc>
        <w:tc>
          <w:tcPr>
            <w:tcW w:type="dxa" w:w="138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Only as a</w:t>
            </w:r>
            <w:r>
              <w:rPr>
                <w:sz w:val="21"/>
              </w:rPr>
              <w:t xml:space="preserve"> </w:t>
            </w:r>
            <w:r>
              <w:rPr>
                <w:bCs/>
                <w:b/>
                <w:sz w:val="21"/>
              </w:rPr>
              <w:t xml:space="preserve">fresh or supplementary notice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within the time limit</w:t>
            </w:r>
          </w:p>
        </w:tc>
        <w:tc>
          <w:tcPr>
            <w:tcW w:type="dxa" w:w="23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b/>
                <w:sz w:val="21"/>
              </w:rPr>
              <w:t xml:space="preserve">No</w:t>
            </w:r>
          </w:p>
        </w:tc>
        <w:tc>
          <w:tcPr>
            <w:tcW w:type="dxa" w:w="18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Fresh notice (A1)</w:t>
            </w:r>
          </w:p>
        </w:tc>
      </w:tr>
      <w:tr>
        <w:tc>
          <w:tcPr>
            <w:tcW w:type="dxa" w:w="40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Changing section 73 to section 74, or adding the fraud facts (Part 5 of A1)</w:t>
            </w:r>
          </w:p>
        </w:tc>
        <w:tc>
          <w:tcPr>
            <w:tcW w:type="dxa" w:w="138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Only as a fresh notice within the section 74(2) time limit</w:t>
            </w:r>
          </w:p>
        </w:tc>
        <w:tc>
          <w:tcPr>
            <w:tcW w:type="dxa" w:w="23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Cs/>
                <w:b/>
                <w:sz w:val="21"/>
              </w:rPr>
              <w:t xml:space="preserve">No</w:t>
            </w:r>
            <w:r>
              <w:rPr>
                <w:sz w:val="21"/>
              </w:rPr>
              <w:t xml:space="preserve">: the facts of fraud must be in the notice itself (</w:t>
            </w:r>
            <w:r>
              <w:rPr>
                <w:iCs/>
                <w:i/>
                <w:sz w:val="21"/>
              </w:rPr>
              <w:t xml:space="preserve">G.R. Infra Projects Ratlam</w:t>
            </w:r>
            <w:r>
              <w:rPr>
                <w:sz w:val="21"/>
              </w:rPr>
              <w:t xml:space="preserve">, Supreme Court, 19.08.2026)</w:t>
            </w:r>
          </w:p>
        </w:tc>
        <w:tc>
          <w:tcPr>
            <w:tcW w:type="dxa" w:w="18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Fresh notice</w:t>
            </w:r>
          </w:p>
        </w:tc>
      </w:tr>
      <w:tr>
        <w:tc>
          <w:tcPr>
            <w:tcW w:type="dxa" w:w="40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Section 74 to section 73 (fraud dropped)</w:t>
            </w:r>
          </w:p>
        </w:tc>
        <w:tc>
          <w:tcPr>
            <w:tcW w:type="dxa" w:w="138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The notice need not be changed; the order decides</w:t>
            </w:r>
          </w:p>
        </w:tc>
        <w:tc>
          <w:tcPr>
            <w:tcW w:type="dxa" w:w="23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The order decides; tax is determined as if under section 73 only within that section’s time limit</w:t>
            </w:r>
          </w:p>
        </w:tc>
        <w:tc>
          <w:tcPr>
            <w:tcW w:type="dxa" w:w="18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Finding in the order</w:t>
            </w:r>
          </w:p>
        </w:tc>
      </w:tr>
      <w:tr>
        <w:tc>
          <w:tcPr>
            <w:tcW w:type="dxa" w:w="40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Correcting the financial year or the noticee</w:t>
            </w:r>
          </w:p>
        </w:tc>
        <w:tc>
          <w:tcPr>
            <w:tcW w:type="dxa" w:w="138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Only as a fresh notice within the time limit</w:t>
            </w:r>
          </w:p>
        </w:tc>
        <w:tc>
          <w:tcPr>
            <w:tcW w:type="dxa" w:w="23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No</w:t>
            </w:r>
          </w:p>
        </w:tc>
        <w:tc>
          <w:tcPr>
            <w:tcW w:type="dxa" w:w="18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Fresh notice</w:t>
            </w:r>
          </w:p>
        </w:tc>
      </w:tr>
      <w:tr>
        <w:tc>
          <w:tcPr>
            <w:tcW w:type="dxa" w:w="402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Serving a relied-upon document that was not enclosed</w:t>
            </w:r>
          </w:p>
        </w:tc>
        <w:tc>
          <w:tcPr>
            <w:tcW w:type="dxa" w:w="1384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Yes</w:t>
            </w:r>
          </w:p>
        </w:tc>
        <w:tc>
          <w:tcPr>
            <w:tcW w:type="dxa" w:w="23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Yes</w:t>
            </w:r>
          </w:p>
        </w:tc>
        <w:tc>
          <w:tcPr>
            <w:tcW w:type="dxa" w:w="184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Addendum (Part C), with fresh time to reply and a hearing date</w:t>
            </w:r>
          </w:p>
        </w:tc>
      </w:tr>
    </w:tbl>
    <w:p>
      <w:pPr>
        <w:pStyle w:val="BlockText"/>
        <w:shd w:val="clear" w:color="auto" w:fill="E7E6E6"/>
      </w:pPr>
      <w:r>
        <w:rPr>
          <w:bCs/>
          <w:b/>
          <w:sz w:val="21"/>
        </w:rPr>
        <w:t xml:space="preserve">Drafting note (Part A).</w:t>
      </w:r>
      <w:r>
        <w:rPr>
          <w:sz w:val="21"/>
        </w:rPr>
        <w:t xml:space="preserve"> </w:t>
      </w:r>
      <w:r>
        <w:rPr>
          <w:sz w:val="21"/>
        </w:rPr>
        <w:t xml:space="preserve">The eleven notices reviewed in 2026 were mostly issued days before the last date, which left no room for any correction that adds tax; hence the office rule in A1 of issuing at least a month early. A notice that</w:t>
      </w:r>
      <w:r>
        <w:rPr>
          <w:sz w:val="21"/>
        </w:rPr>
        <w:t xml:space="preserve"> </w:t>
      </w:r>
      <w:r>
        <w:rPr>
          <w:sz w:val="21"/>
        </w:rPr>
        <w:t xml:space="preserve">“</w:t>
      </w:r>
      <w:r>
        <w:rPr>
          <w:sz w:val="21"/>
        </w:rPr>
        <w:t xml:space="preserve">reserves the right to add, amend, modify or delete</w:t>
      </w:r>
      <w:r>
        <w:rPr>
          <w:sz w:val="21"/>
        </w:rPr>
        <w:t xml:space="preserve">”</w:t>
      </w:r>
      <w:r>
        <w:rPr>
          <w:sz w:val="21"/>
        </w:rPr>
        <w:t xml:space="preserve"> </w:t>
      </w:r>
      <w:r>
        <w:rPr>
          <w:sz w:val="21"/>
        </w:rPr>
        <w:t xml:space="preserve">gains nothing: every change still needs a corrigendum or a fresh notice, served with time to reply. Where a valuation error is found after the time limit (for example, an inverted unit conversion), issue a corrigendum that</w:t>
      </w:r>
      <w:r>
        <w:rPr>
          <w:sz w:val="21"/>
        </w:rPr>
        <w:t xml:space="preserve"> </w:t>
      </w:r>
      <w:r>
        <w:rPr>
          <w:bCs/>
          <w:b/>
          <w:sz w:val="21"/>
        </w:rPr>
        <w:t xml:space="preserve">reduces</w:t>
      </w:r>
      <w:r>
        <w:rPr>
          <w:sz w:val="21"/>
        </w:rPr>
        <w:t xml:space="preserve"> </w:t>
      </w:r>
      <w:r>
        <w:rPr>
          <w:sz w:val="21"/>
        </w:rPr>
        <w:t xml:space="preserve">the demand, or drop the excess in the order; never correct upwards.</w:t>
      </w:r>
    </w:p>
    <w:p>
      <w:pPr>
        <w:spacing w:before="0" w:after="120" w:line="269" w:lineRule="auto"/>
      </w:pPr>
      <w:r>
        <w:br w:type="page"/>
      </w:r>
    </w:p>
    <w:p>
      <w:pPr>
        <w:spacing w:before="0" w:after="0" w:line="240" w:lineRule="auto"/>
        <w:jc w:val="center"/>
        <w:pBdr>
          <w:top w:val="single" w:sz="36" w:space="6" w:color="FF9933"/>
        </w:pBdr>
      </w:pPr>
      <w:r>
        <w:rPr>
          <w:rFonts w:ascii="Nirmala UI" w:hAnsi="Nirmala UI" w:cs="Nirmala UI" w:hint="cs"/>
          <w:b/>
          <w:color w:val="1F3864"/>
          <w:sz w:val="22"/>
          <w:szCs w:val="22"/>
          <w:bCs/>
        </w:rPr>
        <w:t xml:space="preserve">भारत सरकार  </w:t>
      </w:r>
      <w:r>
        <w:rPr>
          <w:b/>
          <w:color w:val="1F3864"/>
          <w:sz w:val="22"/>
          <w:szCs w:val="22"/>
          <w:bCs/>
        </w:rPr>
        <w:t>|  GOVERNMENT OF INDIA</w:t>
      </w:r>
    </w:p>
    <w:p>
      <w:pPr>
        <w:spacing w:before="0" w:after="0" w:line="240" w:lineRule="auto"/>
        <w:jc w:val="center"/>
      </w:pPr>
      <w:r>
        <w:rPr>
          <w:rFonts w:ascii="Nirmala UI" w:hAnsi="Nirmala UI" w:cs="Nirmala UI" w:hint="cs"/>
          <w:b w:val="0"/>
          <w:color w:val="595959"/>
          <w:sz w:val="18"/>
          <w:szCs w:val="18"/>
        </w:rPr>
        <w:t xml:space="preserve">वित्त मंत्रालय, राजस्व विभाग  </w:t>
      </w:r>
      <w:r>
        <w:rPr>
          <w:b w:val="0"/>
          <w:color w:val="595959"/>
          <w:sz w:val="18"/>
          <w:szCs w:val="18"/>
        </w:rPr>
        <w:t>|  MINISTRY OF FINANCE, DEPARTMENT OF REVENUE</w:t>
      </w:r>
    </w:p>
    <w:p>
      <w:pPr>
        <w:spacing w:before="0" w:after="0" w:line="240" w:lineRule="auto"/>
        <w:jc w:val="center"/>
      </w:pPr>
      <w:r>
        <w:rPr>
          <w:rFonts w:ascii="Nirmala UI" w:hAnsi="Nirmala UI" w:cs="Nirmala UI" w:hint="cs"/>
          <w:b/>
          <w:sz w:val="22"/>
          <w:szCs w:val="22"/>
          <w:bCs/>
        </w:rPr>
        <w:t>केन्द्रीय कर सहायक आयुक्त का कार्यालय</w:t>
      </w:r>
    </w:p>
    <w:p>
      <w:pPr>
        <w:spacing w:before="0" w:after="0" w:line="240" w:lineRule="auto"/>
        <w:jc w:val="center"/>
      </w:pPr>
      <w:r>
        <w:rPr>
          <w:b/>
          <w:sz w:val="23"/>
          <w:szCs w:val="23"/>
          <w:bCs/>
        </w:rPr>
        <w:t>OFFICE OF THE ASSISTANT COMMISSIONER OF CENTRAL TAX</w:t>
      </w:r>
    </w:p>
    <w:p>
      <w:pPr>
        <w:spacing w:before="0" w:after="0" w:line="240" w:lineRule="auto"/>
        <w:jc w:val="center"/>
      </w:pPr>
      <w:r>
        <w:rPr>
          <w:b/>
          <w:color w:val="1F3864"/>
          <w:sz w:val="32"/>
          <w:szCs w:val="32"/>
          <w:bCs/>
        </w:rPr>
        <w:t>SANGAREDDY CGST DIVISION</w:t>
      </w:r>
    </w:p>
    <w:p>
      <w:pPr>
        <w:spacing w:before="0" w:after="0" w:line="240" w:lineRule="auto"/>
        <w:jc w:val="center"/>
      </w:pPr>
      <w:r>
        <w:rPr>
          <w:b/>
          <w:color w:val="1F3864"/>
          <w:sz w:val="22"/>
          <w:szCs w:val="22"/>
          <w:bCs/>
        </w:rPr>
        <w:t>MEDCHAL CGST COMMISSIONERATE</w:t>
      </w:r>
    </w:p>
    <w:p>
      <w:pPr>
        <w:spacing w:before="0" w:after="0" w:line="240" w:lineRule="auto"/>
        <w:jc w:val="center"/>
      </w:pPr>
      <w:r>
        <w:rPr>
          <w:b w:val="0"/>
          <w:color w:val="595959"/>
          <w:sz w:val="18"/>
          <w:szCs w:val="18"/>
        </w:rPr>
        <w:t>Plot No. 328, SSR Arcade, Mathrusri Nagar, Miyapur, Hyderabad – 500 049</w:t>
      </w:r>
    </w:p>
    <w:p>
      <w:pPr>
        <w:spacing w:before="0" w:after="120" w:line="240" w:lineRule="auto"/>
        <w:jc w:val="center"/>
      </w:pPr>
      <w:r>
        <w:rPr>
          <w:b w:val="0"/>
          <w:color w:val="595959"/>
          <w:sz w:val="18"/>
          <w:szCs w:val="18"/>
        </w:rPr>
        <w:t>Telephone: 79012 43259   |   E-mail: cgst.sgrdiv@gov.in</w:t>
      </w:r>
    </w:p>
    <w:p>
      <w:pPr>
        <w:spacing w:before="0" w:after="280" w:line="240" w:lineRule="auto"/>
        <w:jc w:val="center"/>
        <w:shd w:val="clear" w:color="auto" w:fill="1F3864"/>
        <w:pBdr>
          <w:bottom w:val="single" w:sz="36" w:space="0" w:color="138808"/>
        </w:pBdr>
      </w:pPr>
      <w:r>
        <w:rPr>
          <w:b/>
          <w:color w:val="FFFFFF"/>
          <w:sz w:val="21"/>
          <w:szCs w:val="21"/>
          <w:bCs/>
        </w:rPr>
        <w:t xml:space="preserve">GST  ★  ONE NATION, ONE TAX  ★  </w:t>
      </w:r>
      <w:r>
        <w:rPr>
          <w:rFonts w:ascii="Nirmala UI" w:hAnsi="Nirmala UI" w:cs="Nirmala UI" w:hint="cs"/>
          <w:b/>
          <w:color w:val="FFFFFF"/>
          <w:sz w:val="21"/>
          <w:szCs w:val="21"/>
          <w:bCs/>
        </w:rPr>
        <w:t>जीएसटी: एक राष्ट्र, एक कर</w:t>
      </w:r>
    </w:p>
    <w:p>
      <w:pPr>
        <w:pStyle w:val="Title"/>
      </w:pPr>
      <w:r>
        <w:t xml:space="preserve">Part B. CORRIGENDUM</w:t>
      </w:r>
      <w:r>
        <w:br/>
      </w:r>
      <w:r>
        <w:t xml:space="preserve">to Show Cause Notice No. [ ] dated [DD.MM.YYYY]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2447"/>
        <w:gridCol w:w="7191"/>
      </w:tblGrid>
      <w:tr>
        <w:trPr>
          <w:tblHeader w:val="true"/>
          <w:tblHeader/>
        </w:trPr>
        <w:tc>
          <w:tcPr>
            <w:tcW w:type="dxa" w:w="2447"/>
            <w:shd w:val="clear" w:color="auto" w:fill="DCE6F1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Particulars</w:t>
            </w:r>
          </w:p>
        </w:tc>
        <w:tc>
          <w:tcPr>
            <w:tcW w:type="dxa" w:w="7191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Details</w:t>
            </w:r>
          </w:p>
        </w:tc>
      </w:tr>
      <w:tr>
        <w:tc>
          <w:tcPr>
            <w:tcW w:type="dxa" w:w="2447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Corrigendum No. and date</w:t>
            </w:r>
          </w:p>
        </w:tc>
        <w:tc>
          <w:tcPr>
            <w:tcW w:type="dxa" w:w="71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 dated [DD.MM.YYYY]</w:t>
            </w:r>
          </w:p>
        </w:tc>
      </w:tr>
      <w:tr>
        <w:tc>
          <w:tcPr>
            <w:tcW w:type="dxa" w:w="2447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RFN / DIN</w:t>
            </w:r>
          </w:p>
        </w:tc>
        <w:tc>
          <w:tcPr>
            <w:tcW w:type="dxa" w:w="71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RFN [ ] (portal, against the SCN) / DIN [ ] for copies sent by e-mail or post</w:t>
            </w:r>
          </w:p>
        </w:tc>
      </w:tr>
      <w:tr>
        <w:tc>
          <w:tcPr>
            <w:tcW w:type="dxa" w:w="2447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Show cause notice</w:t>
            </w:r>
          </w:p>
        </w:tc>
        <w:tc>
          <w:tcPr>
            <w:tcW w:type="dxa" w:w="71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No. [ ] dated [DD.MM.YYYY] under section [73(1)] [74(1)] [74A(1)], FY [YYYY-YY]; DRC-01 RFN [ ]</w:t>
            </w:r>
          </w:p>
        </w:tc>
      </w:tr>
      <w:tr>
        <w:tc>
          <w:tcPr>
            <w:tcW w:type="dxa" w:w="2447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Noticee</w:t>
            </w:r>
          </w:p>
        </w:tc>
        <w:tc>
          <w:tcPr>
            <w:tcW w:type="dxa" w:w="71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[Legal name], GSTIN [ ], [address]</w:t>
            </w:r>
          </w:p>
        </w:tc>
      </w:tr>
      <w:tr>
        <w:tc>
          <w:tcPr>
            <w:tcW w:type="dxa" w:w="2447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Effect on the amount proposed</w:t>
            </w:r>
          </w:p>
        </w:tc>
        <w:tc>
          <w:tcPr>
            <w:tcW w:type="dxa" w:w="719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[No change] / [Reduced from ₹[ ] to ₹[ ] (para 3)]</w:t>
            </w:r>
          </w:p>
        </w:tc>
      </w:tr>
    </w:tbl>
    <w:p>
      <w:pPr>
        <w:numPr>
          <w:ilvl w:val="0"/>
          <w:numId w:val="1001"/>
        </w:numPr>
        <w:pStyle w:val="Compact"/>
        <w:spacing w:before="0" w:after="120" w:line="269" w:lineRule="auto"/>
      </w:pPr>
      <w:r>
        <w:t xml:space="preserve">In the show cause notice cited above, the following errors have been noticed. They are corrected under section 161 of the CGST Act as set out below.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105"/>
        <w:gridCol w:w="1961"/>
        <w:gridCol w:w="1326"/>
        <w:gridCol w:w="1657"/>
        <w:gridCol w:w="3590"/>
      </w:tblGrid>
      <w:tr>
        <w:trPr>
          <w:tblHeader w:val="true"/>
          <w:tblHeader/>
        </w:trPr>
        <w:tc>
          <w:tcPr>
            <w:tcW w:type="dxa" w:w="1105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No.</w:t>
            </w:r>
          </w:p>
        </w:tc>
        <w:tc>
          <w:tcPr>
            <w:tcW w:type="dxa" w:w="1961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Para / table of the SCN</w:t>
            </w:r>
          </w:p>
        </w:tc>
        <w:tc>
          <w:tcPr>
            <w:tcW w:type="dxa" w:w="1326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For (as issued)</w:t>
            </w:r>
          </w:p>
        </w:tc>
        <w:tc>
          <w:tcPr>
            <w:tcW w:type="dxa" w:w="1657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Read (as corrected)</w:t>
            </w:r>
          </w:p>
        </w:tc>
        <w:tc>
          <w:tcPr>
            <w:tcW w:type="dxa" w:w="3590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Reason</w:t>
            </w:r>
          </w:p>
        </w:tc>
      </w:tr>
      <w:tr>
        <w:tc>
          <w:tcPr>
            <w:tcW w:type="dxa" w:w="11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1</w:t>
            </w:r>
          </w:p>
        </w:tc>
        <w:tc>
          <w:tcPr>
            <w:tcW w:type="dxa" w:w="196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[para 3.2.1]</w:t>
            </w:r>
          </w:p>
        </w:tc>
        <w:tc>
          <w:tcPr>
            <w:tcW w:type="dxa" w:w="132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</w:t>
            </w:r>
            <w:r>
              <w:rPr>
                <w:sz w:val="21"/>
              </w:rPr>
              <w:t xml:space="preserve">“</w:t>
            </w:r>
            <w:r>
              <w:rPr>
                <w:sz w:val="21"/>
              </w:rPr>
              <w:t xml:space="preserve">[ ]</w:t>
            </w:r>
            <w:r>
              <w:rPr>
                <w:sz w:val="21"/>
              </w:rPr>
              <w:t xml:space="preserve">”</w:t>
            </w:r>
            <w:r>
              <w:rPr>
                <w:sz w:val="21"/>
              </w:rPr>
              <w:t xml:space="preserve">]</w:t>
            </w:r>
          </w:p>
        </w:tc>
        <w:tc>
          <w:tcPr>
            <w:tcW w:type="dxa" w:w="165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</w:t>
            </w:r>
            <w:r>
              <w:rPr>
                <w:sz w:val="21"/>
              </w:rPr>
              <w:t xml:space="preserve">“</w:t>
            </w:r>
            <w:r>
              <w:rPr>
                <w:sz w:val="21"/>
              </w:rPr>
              <w:t xml:space="preserve">[ ]</w:t>
            </w:r>
            <w:r>
              <w:rPr>
                <w:sz w:val="21"/>
              </w:rPr>
              <w:t xml:space="preserve">”</w:t>
            </w:r>
            <w:r>
              <w:rPr>
                <w:sz w:val="21"/>
              </w:rPr>
              <w:t xml:space="preserve">]</w:t>
            </w:r>
          </w:p>
        </w:tc>
        <w:tc>
          <w:tcPr>
            <w:tcW w:type="dxa" w:w="359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[Typing error]</w:t>
            </w:r>
          </w:p>
        </w:tc>
      </w:tr>
      <w:tr>
        <w:tc>
          <w:tcPr>
            <w:tcW w:type="dxa" w:w="11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2</w:t>
            </w:r>
          </w:p>
        </w:tc>
        <w:tc>
          <w:tcPr>
            <w:tcW w:type="dxa" w:w="196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[Table in para 6.3, row 2]</w:t>
            </w:r>
          </w:p>
        </w:tc>
        <w:tc>
          <w:tcPr>
            <w:tcW w:type="dxa" w:w="132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[₹[ ]]</w:t>
            </w:r>
          </w:p>
        </w:tc>
        <w:tc>
          <w:tcPr>
            <w:tcW w:type="dxa" w:w="165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[₹[ ]]</w:t>
            </w:r>
          </w:p>
        </w:tc>
        <w:tc>
          <w:tcPr>
            <w:tcW w:type="dxa" w:w="359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[Arithmetical error: the rows add to ₹[ ]]</w:t>
            </w:r>
          </w:p>
        </w:tc>
      </w:tr>
      <w:tr>
        <w:tc>
          <w:tcPr>
            <w:tcW w:type="dxa" w:w="1105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3</w:t>
            </w:r>
          </w:p>
        </w:tc>
        <w:tc>
          <w:tcPr>
            <w:tcW w:type="dxa" w:w="196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[para 2.1]</w:t>
            </w:r>
          </w:p>
        </w:tc>
        <w:tc>
          <w:tcPr>
            <w:tcW w:type="dxa" w:w="132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</w:t>
            </w:r>
            <w:r>
              <w:rPr>
                <w:sz w:val="21"/>
              </w:rPr>
              <w:t xml:space="preserve">“</w:t>
            </w:r>
            <w:r>
              <w:rPr>
                <w:sz w:val="21"/>
              </w:rPr>
              <w:t xml:space="preserve">rule [ ]</w:t>
            </w:r>
            <w:r>
              <w:rPr>
                <w:sz w:val="21"/>
              </w:rPr>
              <w:t xml:space="preserve">”</w:t>
            </w:r>
            <w:r>
              <w:rPr>
                <w:sz w:val="21"/>
              </w:rPr>
              <w:t xml:space="preserve">]</w:t>
            </w:r>
          </w:p>
        </w:tc>
        <w:tc>
          <w:tcPr>
            <w:tcW w:type="dxa" w:w="165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</w:t>
            </w:r>
            <w:r>
              <w:rPr>
                <w:sz w:val="21"/>
              </w:rPr>
              <w:t xml:space="preserve">“</w:t>
            </w:r>
            <w:r>
              <w:rPr>
                <w:sz w:val="21"/>
              </w:rPr>
              <w:t xml:space="preserve">rule [ ]</w:t>
            </w:r>
            <w:r>
              <w:rPr>
                <w:sz w:val="21"/>
              </w:rPr>
              <w:t xml:space="preserve">”</w:t>
            </w:r>
            <w:r>
              <w:rPr>
                <w:sz w:val="21"/>
              </w:rPr>
              <w:t xml:space="preserve">]</w:t>
            </w:r>
          </w:p>
        </w:tc>
        <w:tc>
          <w:tcPr>
            <w:tcW w:type="dxa" w:w="359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[Wrong citation; the facts and the ground in para [ ] are unchanged]</w:t>
            </w:r>
          </w:p>
        </w:tc>
      </w:tr>
    </w:tbl>
    <w:p>
      <w:pPr>
        <w:numPr>
          <w:ilvl w:val="0"/>
          <w:numId w:val="1002"/>
        </w:numPr>
        <w:spacing w:before="0" w:after="120" w:line="269" w:lineRule="auto"/>
        <w:jc w:val="both"/>
      </w:pPr>
      <w:r>
        <w:t xml:space="preserve">[Where the change is clerical only:] These corrections do not change the facts, the grounds or the amounts proposed in the notice.</w:t>
      </w:r>
    </w:p>
    <w:p>
      <w:pPr>
        <w:numPr>
          <w:ilvl w:val="0"/>
          <w:numId w:val="1002"/>
        </w:numPr>
        <w:spacing w:before="0" w:after="120" w:line="269" w:lineRule="auto"/>
        <w:jc w:val="both"/>
      </w:pPr>
      <w:r>
        <w:t xml:space="preserve">[Where the demand is reduced:] As a result of correction No. [ ], the amount proposed is reduced as follows. Nothing in this corrigendum increases any amount or adds any ground.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1483"/>
        <w:gridCol w:w="1928"/>
        <w:gridCol w:w="2076"/>
        <w:gridCol w:w="2076"/>
        <w:gridCol w:w="2076"/>
      </w:tblGrid>
      <w:tr>
        <w:trPr>
          <w:tblHeader w:val="true"/>
          <w:tblHeader/>
        </w:trPr>
        <w:tc>
          <w:tcPr>
            <w:tcW w:type="dxa" w:w="1483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Head</w:t>
            </w:r>
          </w:p>
        </w:tc>
        <w:tc>
          <w:tcPr>
            <w:tcW w:type="dxa" w:w="1928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Tax proposed in the SCN (₹)</w:t>
            </w:r>
          </w:p>
        </w:tc>
        <w:tc>
          <w:tcPr>
            <w:tcW w:type="dxa" w:w="2076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Tax as corrected (₹)</w:t>
            </w:r>
          </w:p>
        </w:tc>
        <w:tc>
          <w:tcPr>
            <w:tcW w:type="dxa" w:w="2076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Interest to date of SCN, as corrected (₹)</w:t>
            </w:r>
          </w:p>
        </w:tc>
        <w:tc>
          <w:tcPr>
            <w:tcW w:type="dxa" w:w="2076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Penalty, as corrected (₹)</w:t>
            </w:r>
          </w:p>
        </w:tc>
      </w:tr>
      <w:tr>
        <w:tc>
          <w:tcPr>
            <w:tcW w:type="dxa" w:w="148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IGST</w:t>
            </w:r>
          </w:p>
        </w:tc>
        <w:tc>
          <w:tcPr>
            <w:tcW w:type="dxa" w:w="192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  <w:tr>
        <w:tc>
          <w:tcPr>
            <w:tcW w:type="dxa" w:w="148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CGST</w:t>
            </w:r>
          </w:p>
        </w:tc>
        <w:tc>
          <w:tcPr>
            <w:tcW w:type="dxa" w:w="192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  <w:tr>
        <w:tc>
          <w:tcPr>
            <w:tcW w:type="dxa" w:w="148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SGST</w:t>
            </w:r>
          </w:p>
        </w:tc>
        <w:tc>
          <w:tcPr>
            <w:tcW w:type="dxa" w:w="192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  <w:tr>
        <w:tc>
          <w:tcPr>
            <w:tcW w:type="dxa" w:w="1483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Cess</w:t>
            </w:r>
          </w:p>
        </w:tc>
        <w:tc>
          <w:tcPr>
            <w:tcW w:type="dxa" w:w="192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  <w:tr>
        <w:tc>
          <w:tcPr>
            <w:tcW w:type="dxa" w:w="1483"/>
            <w:shd w:val="clear" w:color="auto" w:fill="F2F2F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Total</w:t>
            </w:r>
          </w:p>
        </w:tc>
        <w:tc>
          <w:tcPr>
            <w:tcW w:type="dxa" w:w="1928"/>
            <w:shd w:val="clear" w:color="auto" w:fill="F2F2F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  <w:shd w:val="clear" w:color="auto" w:fill="F2F2F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  <w:shd w:val="clear" w:color="auto" w:fill="F2F2F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076"/>
            <w:shd w:val="clear" w:color="auto" w:fill="F2F2F2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</w:tbl>
    <w:p>
      <w:pPr>
        <w:pStyle w:val="BodyText"/>
        <w:spacing w:before="0" w:after="120" w:line="269" w:lineRule="auto"/>
        <w:jc w:val="both"/>
      </w:pPr>
      <w:r>
        <w:t xml:space="preserve">[The period for payment under section [73(8)] [74(8)] [74A(8)(ii)] [74A(9)(ii)] runs from the date of issue of the show cause notice, which is unchanged; the amount payable within that period is now the corrected amount.]</w:t>
      </w:r>
    </w:p>
    <w:p>
      <w:pPr>
        <w:numPr>
          <w:ilvl w:val="0"/>
          <w:numId w:val="1003"/>
        </w:numPr>
        <w:spacing w:before="0" w:after="120" w:line="269" w:lineRule="auto"/>
        <w:jc w:val="both"/>
      </w:pPr>
      <w:r>
        <w:t xml:space="preserve">[Where the adjudicating authority changes:] Consequent on the statement No. [ ] dated [DD.MM.YYYY] under section [73(3)] [74(3)] [74A(3)], the total tax proposed in the notice and the statement(s) is ₹[ ], which exceeds the monetary limit of the undersigned. The show cause notice and the statement(s) shall now be answerable to and adjudicated by the [Additional / Joint Commissioner], [Commissionerate] (para 5.3(b) of Circular No. 254/11/2025-GST).</w:t>
      </w:r>
    </w:p>
    <w:p>
      <w:pPr>
        <w:numPr>
          <w:ilvl w:val="0"/>
          <w:numId w:val="1003"/>
        </w:numPr>
        <w:spacing w:before="0" w:after="120" w:line="269" w:lineRule="auto"/>
        <w:jc w:val="both"/>
      </w:pPr>
      <w:r>
        <w:rPr>
          <w:bCs/>
          <w:b/>
        </w:rPr>
        <w:t xml:space="preserve">Time to reply and hearing.</w:t>
      </w:r>
      <w:r>
        <w:t xml:space="preserve"> </w:t>
      </w:r>
      <w:r>
        <w:t xml:space="preserve">[Where the correction affects anything you need to answer:] You may file a reply, or an additional reply, in FORM GST DRC-06 on the corrected paragraphs within [fifteen] days of receipt of this corrigendum. The personal hearing [fixed on [DD.MM.YYYY] stands] / [is now fixed on [DD.MM.YYYY] at [HH:MM] at [place / video conference]]. [Where the correction is clerical only:] Your reply already filed, if any, will be considered together with this corrigendum; you may add to it by [DD.MM.YYYY].</w:t>
      </w:r>
    </w:p>
    <w:p>
      <w:pPr>
        <w:numPr>
          <w:ilvl w:val="0"/>
          <w:numId w:val="1003"/>
        </w:numPr>
        <w:spacing w:before="0" w:after="120" w:line="269" w:lineRule="auto"/>
        <w:jc w:val="both"/>
      </w:pPr>
      <w:r>
        <w:t xml:space="preserve">All other contents of the show cause notice remain unchanged. This corrigendum forms part of the notice and is to be read with it.</w:t>
      </w:r>
    </w:p>
    <w:p>
      <w:pPr>
        <w:numPr>
          <w:ilvl w:val="0"/>
          <w:numId w:val="1003"/>
        </w:numPr>
        <w:spacing w:before="0" w:after="120" w:line="269" w:lineRule="auto"/>
        <w:jc w:val="both"/>
      </w:pPr>
      <w:r>
        <w:t xml:space="preserve">This corrigendum is served on the common portal against the show cause notice and by e-mail to [registered e-mail] [and by speed post, article No. [ ]].</w:t>
      </w:r>
    </w:p>
    <w:p>
      <w:pPr>
        <w:pStyle w:val="FirstParagraph"/>
        <w:keepLines/>
        <w:spacing w:before="480" w:after="120" w:line="269" w:lineRule="auto"/>
        <w:jc w:val="right"/>
      </w:pPr>
      <w:r>
        <w:rPr>
          <w:bCs/>
          <w:b/>
        </w:rPr>
        <w:t xml:space="preserve">(Signature)</w:t>
      </w:r>
      <w:r>
        <w:br/>
      </w:r>
      <w:r>
        <w:rPr>
          <w:bCs/>
          <w:b/>
        </w:rPr>
        <w:t xml:space="preserve">(Dr. B. Santosh Kumar)</w:t>
      </w:r>
      <w:r>
        <w:br/>
      </w:r>
      <w:r>
        <w:t xml:space="preserve">Assistant Commissioner of Central Tax</w:t>
      </w:r>
      <w:r>
        <w:br/>
      </w:r>
      <w:r>
        <w:t xml:space="preserve">Sangareddy CGST Division, Medchal CGST Commissionerate</w:t>
      </w:r>
      <w:r>
        <w:br/>
      </w:r>
      <w:r>
        <w:t xml:space="preserve">(digitally signed)</w:t>
      </w:r>
    </w:p>
    <w:p>
      <w:pPr>
        <w:pStyle w:val="BodyText"/>
        <w:spacing w:before="0" w:after="120" w:line="269" w:lineRule="auto"/>
      </w:pPr>
      <w:r>
        <w:t xml:space="preserve">To: [Legal name], GSTIN [ ], [address]</w:t>
      </w:r>
    </w:p>
    <w:p>
      <w:pPr>
        <w:pStyle w:val="BodyText"/>
        <w:spacing w:before="0" w:after="120" w:line="269" w:lineRule="auto"/>
        <w:jc w:val="both"/>
      </w:pPr>
      <w:r>
        <w:t xml:space="preserve">Copy to: the Superintendent, [Range], Sangareddy CGST Division; [the new adjudicating authority, where para 4 applies]; guard file.</w:t>
      </w:r>
    </w:p>
    <w:p>
      <w:pPr>
        <w:pStyle w:val="BlockText"/>
        <w:shd w:val="clear" w:color="auto" w:fill="E7E6E6"/>
      </w:pPr>
      <w:r>
        <w:rPr>
          <w:bCs/>
          <w:b/>
          <w:sz w:val="21"/>
        </w:rPr>
        <w:t xml:space="preserve">Drafting note (Part B).</w:t>
      </w:r>
      <w:r>
        <w:rPr>
          <w:sz w:val="21"/>
        </w:rPr>
        <w:t xml:space="preserve"> </w:t>
      </w:r>
      <w:r>
        <w:rPr>
          <w:sz w:val="21"/>
        </w:rPr>
        <w:t xml:space="preserve">(1) Only the authority that issued the notice (or its successor in office) issues the corrigendum. (2) Do not use it to answer the reply or to add reasons; reasons go in the order. (3) Check the six-month bar in section 161 for anything other than a clerical or arithmetical slip, counted from the date of the notice. (4) Update the DRC-01 summary or upload the corrigendum against it on the portal so that the portal figures match; record how this was done. (5) The order must refer to the corrigendum and use the corrected figures; the DRC-07 must not exceed them.</w:t>
      </w:r>
    </w:p>
    <w:p>
      <w:pPr>
        <w:spacing w:before="0" w:after="120" w:line="269" w:lineRule="auto"/>
      </w:pPr>
      <w:r>
        <w:br w:type="page"/>
      </w:r>
    </w:p>
    <w:p>
      <w:pPr>
        <w:pStyle w:val="FirstParagraph"/>
        <w:spacing w:before="0" w:after="120" w:line="269" w:lineRule="auto"/>
      </w:pPr>
      <w:r>
        <w:t xml:space="preserve">[Office letterhead, as on page 1]</w:t>
      </w:r>
    </w:p>
    <w:p>
      <w:pPr>
        <w:pStyle w:val="Title"/>
      </w:pPr>
      <w:r>
        <w:t xml:space="preserve">Part C. ADDENDUM</w:t>
      </w:r>
      <w:r>
        <w:br/>
      </w:r>
      <w:r>
        <w:t xml:space="preserve">to Show Cause Notice No. [ ] dated [DD.MM.YYYY]: service of relied-upon documents</w:t>
      </w:r>
    </w:p>
    <w:tbl>
      <w:tblPr>
        <w:tblW w:type="pct" w:w="500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3381"/>
        <w:gridCol w:w="6257"/>
      </w:tblGrid>
      <w:tr>
        <w:trPr>
          <w:tblHeader w:val="true"/>
          <w:tblHeader/>
        </w:trPr>
        <w:tc>
          <w:tcPr>
            <w:tcW w:type="dxa" w:w="3381"/>
            <w:shd w:val="clear" w:color="auto" w:fill="DCE6F1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Particulars</w:t>
            </w:r>
          </w:p>
        </w:tc>
        <w:tc>
          <w:tcPr>
            <w:tcW w:type="dxa" w:w="6257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Details</w:t>
            </w:r>
          </w:p>
        </w:tc>
      </w:tr>
      <w:tr>
        <w:tc>
          <w:tcPr>
            <w:tcW w:type="dxa" w:w="3381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Addendum No. and date; RFN / DIN</w:t>
            </w:r>
          </w:p>
        </w:tc>
        <w:tc>
          <w:tcPr>
            <w:tcW w:type="dxa" w:w="625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 dated [DD.MM.YYYY]; RFN [ ] / DIN [ ]</w:t>
            </w:r>
          </w:p>
        </w:tc>
      </w:tr>
      <w:tr>
        <w:tc>
          <w:tcPr>
            <w:tcW w:type="dxa" w:w="3381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Show cause notice</w:t>
            </w:r>
          </w:p>
        </w:tc>
        <w:tc>
          <w:tcPr>
            <w:tcW w:type="dxa" w:w="625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No. [ ] dated [DD.MM.YYYY], section [ ], FY [YYYY-YY]</w:t>
            </w:r>
          </w:p>
        </w:tc>
      </w:tr>
      <w:tr>
        <w:tc>
          <w:tcPr>
            <w:tcW w:type="dxa" w:w="3381"/>
            <w:shd w:val="clear" w:color="auto" w:fill="F5F8FC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sz w:val="21"/>
              </w:rPr>
              <w:t xml:space="preserve">Noticee</w:t>
            </w:r>
          </w:p>
        </w:tc>
        <w:tc>
          <w:tcPr>
            <w:tcW w:type="dxa" w:w="6257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[Legal name], GSTIN [ ]</w:t>
            </w:r>
          </w:p>
        </w:tc>
      </w:tr>
    </w:tbl>
    <w:p>
      <w:pPr>
        <w:numPr>
          <w:ilvl w:val="0"/>
          <w:numId w:val="1004"/>
        </w:numPr>
        <w:pStyle w:val="Compact"/>
        <w:spacing w:before="0" w:after="120" w:line="269" w:lineRule="auto"/>
      </w:pPr>
      <w:r>
        <w:t xml:space="preserve">The show cause notice cited above relies on the documents listed in its Annexure B. [The documents at RUD-[ ] and RUD-[ ] were not enclosed with the notice] / [You asked for copies of RUD-[ ] by letter dated [DD.MM.YYYY]]. Copies of the following are now enclosed:</w:t>
      </w:r>
    </w:p>
    <w:tbl>
      <w:tblPr>
        <w:tblW w:type="auto" w:w="0"/>
        <w:tblLayout w:type="fixed"/>
        <w:tblLook w:firstRow="1" w:lastRow="0" w:firstColumn="0" w:lastColumn="0" w:noHBand="0" w:noVBand="0" w:val="0020"/>
        <w:jc w:val="start"/>
        <w:tblLayout w:type="fixed"/>
        <w:tblBorders>
          <w:top w:val="single" w:sz="4" w:color="8EA9C1"/>
          <w:left w:val="single" w:sz="4" w:color="8EA9C1"/>
          <w:bottom w:val="single" w:sz="4" w:color="8EA9C1"/>
          <w:right w:val="single" w:sz="4" w:color="8EA9C1"/>
          <w:insideH w:val="single" w:sz="4" w:color="8EA9C1"/>
          <w:insideV w:val="single" w:sz="4" w:color="8EA9C1"/>
        </w:tblBorders>
        <w:tblCellMar>
          <w:top w:w="30" w:type="dxa"/>
          <w:bottom w:w="30" w:type="dxa"/>
          <w:left w:w="80" w:type="dxa"/>
          <w:right w:w="80" w:type="dxa"/>
        </w:tblCellMar>
      </w:tblPr>
      <w:tblGrid>
        <w:gridCol w:w="2190"/>
        <w:gridCol w:w="2848"/>
        <w:gridCol w:w="2409"/>
        <w:gridCol w:w="2190"/>
      </w:tblGrid>
      <w:tr>
        <w:trPr>
          <w:tblHeader w:val="true"/>
          <w:tblHeader/>
        </w:trPr>
        <w:tc>
          <w:tcPr>
            <w:tcW w:type="dxa" w:w="2190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RUD No.</w:t>
            </w:r>
          </w:p>
        </w:tc>
        <w:tc>
          <w:tcPr>
            <w:tcW w:type="dxa" w:w="2848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Document</w:t>
            </w:r>
          </w:p>
        </w:tc>
        <w:tc>
          <w:tcPr>
            <w:tcW w:type="dxa" w:w="2409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Date / period</w:t>
            </w:r>
          </w:p>
        </w:tc>
        <w:tc>
          <w:tcPr>
            <w:tcW w:type="dxa" w:w="2190"/>
            <w:shd w:val="clear" w:color="auto" w:fill="DCE6F1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b/>
                <w:color w:val="1F3864"/>
                <w:sz w:val="21"/>
              </w:rPr>
              <w:t xml:space="preserve">Pages</w:t>
            </w:r>
          </w:p>
        </w:tc>
      </w:tr>
      <w:tr>
        <w:tc>
          <w:tcPr>
            <w:tcW w:type="dxa" w:w="219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RUD-[ ]</w:t>
            </w:r>
          </w:p>
        </w:tc>
        <w:tc>
          <w:tcPr>
            <w:tcW w:type="dxa" w:w="284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409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19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  <w:tr>
        <w:tc>
          <w:tcPr>
            <w:tcW w:type="dxa" w:w="219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RUD-[ ]</w:t>
            </w:r>
          </w:p>
        </w:tc>
        <w:tc>
          <w:tcPr>
            <w:tcW w:type="dxa" w:w="2848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409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  <w:tc>
          <w:tcPr>
            <w:tcW w:type="dxa" w:w="2190"/>
          </w:tcPr>
          <w:p>
            <w:pPr>
              <w:pStyle w:val="Compact"/>
              <w:spacing w:before="0" w:after="0" w:line="240" w:lineRule="auto"/>
              <w:jc w:val="left"/>
            </w:pPr>
            <w:r>
              <w:rPr>
                <w:sz w:val="21"/>
              </w:rPr>
              <w:t xml:space="preserve">[ ]</w:t>
            </w:r>
          </w:p>
        </w:tc>
      </w:tr>
    </w:tbl>
    <w:p>
      <w:pPr>
        <w:numPr>
          <w:ilvl w:val="0"/>
          <w:numId w:val="1005"/>
        </w:numPr>
        <w:spacing w:before="0" w:after="120" w:line="269" w:lineRule="auto"/>
      </w:pPr>
      <w:r>
        <w:t xml:space="preserve">No new ground, amount or document beyond those listed in Annexure B to the notice is added by this addendum.</w:t>
      </w:r>
    </w:p>
    <w:p>
      <w:pPr>
        <w:numPr>
          <w:ilvl w:val="0"/>
          <w:numId w:val="1005"/>
        </w:numPr>
        <w:spacing w:before="0" w:after="120" w:line="269" w:lineRule="auto"/>
        <w:jc w:val="both"/>
      </w:pPr>
      <w:r>
        <w:t xml:space="preserve">You may file a reply, or an additional reply, in FORM GST DRC-06 on these documents within [thirty] days of receipt of this addendum. The personal hearing is [re-]fixed on</w:t>
      </w:r>
      <w:r>
        <w:t xml:space="preserve"> </w:t>
      </w:r>
      <w:r>
        <w:rPr>
          <w:bCs/>
          <w:b/>
        </w:rPr>
        <w:t xml:space="preserve">[DD.MM.YYYY] at [HH:MM]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[place / video conference]</w:t>
      </w:r>
      <w:r>
        <w:t xml:space="preserve">, after that period.</w:t>
      </w:r>
    </w:p>
    <w:p>
      <w:pPr>
        <w:numPr>
          <w:ilvl w:val="0"/>
          <w:numId w:val="1005"/>
        </w:numPr>
        <w:spacing w:before="0" w:after="120" w:line="269" w:lineRule="auto"/>
        <w:jc w:val="both"/>
      </w:pPr>
      <w:r>
        <w:t xml:space="preserve">This addendum is served on the common portal against the show cause notice and by e-mail to [registered e-mail] [and by speed post, article No. [ ]].</w:t>
      </w:r>
    </w:p>
    <w:p>
      <w:pPr>
        <w:pStyle w:val="FirstParagraph"/>
        <w:keepLines/>
        <w:spacing w:before="480" w:after="120" w:line="269" w:lineRule="auto"/>
        <w:jc w:val="right"/>
      </w:pPr>
      <w:r>
        <w:rPr>
          <w:bCs/>
          <w:b/>
        </w:rPr>
        <w:t xml:space="preserve">(Signature)</w:t>
      </w:r>
      <w:r>
        <w:br/>
      </w:r>
      <w:r>
        <w:rPr>
          <w:bCs/>
          <w:b/>
        </w:rPr>
        <w:t xml:space="preserve">(Dr. B. Santosh Kumar)</w:t>
      </w:r>
      <w:r>
        <w:br/>
      </w:r>
      <w:r>
        <w:t xml:space="preserve">Assistant Commissioner of Central Tax</w:t>
      </w:r>
      <w:r>
        <w:br/>
      </w:r>
      <w:r>
        <w:t xml:space="preserve">Sangareddy CGST Division, Medchal CGST Commissionerate</w:t>
      </w:r>
      <w:r>
        <w:br/>
      </w:r>
      <w:r>
        <w:t xml:space="preserve">(digitally signed)</w:t>
      </w:r>
    </w:p>
    <w:p>
      <w:pPr>
        <w:pStyle w:val="BlockText"/>
        <w:shd w:val="clear" w:color="auto" w:fill="E7E6E6"/>
      </w:pPr>
      <w:r>
        <w:rPr>
          <w:bCs/>
          <w:b/>
          <w:sz w:val="21"/>
        </w:rPr>
        <w:t xml:space="preserve">Drafting note (Part C).</w:t>
      </w:r>
      <w:r>
        <w:rPr>
          <w:sz w:val="21"/>
        </w:rPr>
        <w:t xml:space="preserve"> </w:t>
      </w:r>
      <w:r>
        <w:rPr>
          <w:sz w:val="21"/>
        </w:rPr>
        <w:t xml:space="preserve">(1) Use the addendum only for documents already listed and relied on in the notice. A document that supports a new allegation needs a fresh notice. (2) Give a fresh, full period to reply and fix the hearing after it; an order resting on a document the noticee never received is likely to be set aside. (3) If a document cannot be supplied (for example, part of a third party’s record), offer inspection on a stated date and record what was shown.</w:t>
      </w:r>
    </w:p>
    <w:p>
      <w:pPr>
        <w:pStyle w:val="BlockText"/>
        <w:shd w:val="clear" w:color="auto" w:fill="E7E6E6"/>
        <w:spacing w:before="360"/>
      </w:pPr>
      <w:r>
        <w:rPr>
          <w:bCs/>
          <w:b/>
          <w:sz w:val="21"/>
        </w:rPr>
        <w:t xml:space="preserve">How to use this template.</w:t>
      </w:r>
      <w:r>
        <w:rPr>
          <w:sz w:val="21"/>
        </w:rPr>
        <w:t xml:space="preserve"> </w:t>
      </w:r>
      <w:r>
        <w:rPr>
          <w:sz w:val="21"/>
        </w:rPr>
        <w:t xml:space="preserve">First decide, with the table in Part A, whether the change can be made by a corrigendum at all. A corrigendum corrects; it does not create a new demand. Anything that adds tax, a new ground, a new period, a new noticee or the fraud allegation is a</w:t>
      </w:r>
      <w:r>
        <w:rPr>
          <w:sz w:val="21"/>
        </w:rPr>
        <w:t xml:space="preserve"> </w:t>
      </w:r>
      <w:r>
        <w:rPr>
          <w:bCs/>
          <w:b/>
          <w:sz w:val="21"/>
        </w:rPr>
        <w:t xml:space="preserve">fresh notice</w:t>
      </w:r>
      <w:r>
        <w:rPr>
          <w:sz w:val="21"/>
        </w:rPr>
        <w:t xml:space="preserve">, which must itself be within the time limit in section 73(2), 74(2) or 74A(2). Part B is the corrigendum; Part C is the addendum used to serve documents that were not served with the notice. Part A is guidance: delete it, and every</w:t>
      </w:r>
      <w:r>
        <w:rPr>
          <w:sz w:val="21"/>
        </w:rPr>
        <w:t xml:space="preserve"> </w:t>
      </w:r>
      <w:r>
        <w:rPr>
          <w:sz w:val="21"/>
        </w:rPr>
        <w:t xml:space="preserve">“</w:t>
      </w:r>
      <w:r>
        <w:rPr>
          <w:sz w:val="21"/>
        </w:rPr>
        <w:t xml:space="preserve">Drafting note</w:t>
      </w:r>
      <w:r>
        <w:rPr>
          <w:sz w:val="21"/>
        </w:rPr>
        <w:t xml:space="preserve">”</w:t>
      </w:r>
      <w:r>
        <w:rPr>
          <w:sz w:val="21"/>
        </w:rPr>
        <w:t xml:space="preserve">, before issue.</w:t>
      </w:r>
    </w:p>
    <w:sectPr>
      <w:headerReference w:type="default" r:id="rId9"/>
      <w:footerReference w:type="default" r:id="rId10"/>
      <w:footerReference w:type="first" r:id="rId11"/>
      <w:pgSz w:w="11906" w:h="16838"/>
      <w:pgMar w:bottom="1134" w:left="1134" w:right="1134" w:top="1134" w:header="567" w:footer="56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pBdr>
        <w:top w:val="single" w:sz="6" w:space="2" w:color="FF9933"/>
      </w:pBdr>
    </w:pPr>
    <w:r/>
    <w:r>
      <w:rPr>
        <w:b/>
        <w:color w:val="1F3864"/>
        <w:sz w:val="17"/>
      </w:rPr>
      <w:t>GST: One Nation, One Tax</w:t>
    </w:r>
    <w:r>
      <w:rPr>
        <w:color w:val="595959"/>
        <w:sz w:val="17"/>
      </w:rPr>
      <w:tab/>
      <w:t xml:space="preserve">Page </w:t>
    </w:r>
    <w:r>
      <w:rPr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7"/>
      </w:rPr>
      <w:t xml:space="preserve"> of </w:t>
    </w:r>
    <w:r>
      <w:rPr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  <w:pBdr>
        <w:top w:val="single" w:sz="6" w:space="2" w:color="FF9933"/>
      </w:pBdr>
    </w:pPr>
    <w:r/>
    <w:r>
      <w:rPr>
        <w:b/>
        <w:color w:val="1F3864"/>
        <w:sz w:val="17"/>
      </w:rPr>
      <w:t>GST: One Nation, One Tax</w:t>
    </w:r>
    <w:r>
      <w:rPr>
        <w:color w:val="595959"/>
        <w:sz w:val="17"/>
      </w:rPr>
      <w:tab/>
      <w:t xml:space="preserve">Page </w:t>
    </w:r>
    <w:r>
      <w:rPr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95959"/>
        <w:sz w:val="17"/>
      </w:rPr>
      <w:t xml:space="preserve"> of </w:t>
    </w:r>
    <w:r>
      <w:rPr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6" w:space="2" w:color="B4C6E7"/>
      </w:pBdr>
    </w:pPr>
    <w:r/>
    <w:r>
      <w:rPr>
        <w:color w:val="595959"/>
        <w:sz w:val="17"/>
      </w:rPr>
      <w:t>Sangareddy CGST Division, Medchal CGST Commissionerate</w:t>
    </w:r>
    <w:r>
      <w:rPr>
        <w:color w:val="595959"/>
        <w:sz w:val="17"/>
      </w:rPr>
      <w:tab/>
      <w:t>Notice No. [ ] dated [DD.MM.YYYY]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cs="Times New Roman" w:eastAsia="Times New Roman" w:hAnsi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cs="Times New Roman" w:eastAsia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 w:val="0"/>
      <w:b/>
      <w:bCs/>
      <w:color w:val="000000"/>
      <w:sz w:val="26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b/>
      <w:i w:val="0"/>
      <w:iCs/>
      <w:color w:val="000000"/>
      <w:sz w:val="26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b/>
      <w:i w:val="0"/>
      <w:color w:val="000000"/>
      <w:sz w:val="26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b/>
      <w:i w:val="0"/>
      <w:color w:val="000000"/>
      <w:sz w:val="26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b/>
      <w:i w:val="0"/>
      <w:color w:val="000000"/>
      <w:sz w:val="26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b/>
      <w:i w:val="0"/>
      <w:color w:val="000000"/>
      <w:sz w:val="26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cs="Times New Roman" w:eastAsia="Times New Roman" w:hAnsi="Times New Roman"/>
      <w:b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A5: Corrigendum or addendum to a show cause notice (what can and cannot be changed after issue)</dc:title>
  <dc:creator>Sangareddy CGST Division</dc:creator>
  <cp:keywords/>
  <dcterms:created xsi:type="dcterms:W3CDTF">2026-10-14T07:56:14Z</dcterms:created>
  <dcterms:modified xsi:type="dcterms:W3CDTF">2026-10-14T07:56:14Z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