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f6e31d36a947c45e44c0683bfc9ac478282785"/>
    <w:p>
      <w:pPr>
        <w:pStyle w:val="Heading1"/>
        <w:keepNext/>
        <w:spacing w:before="240" w:after="80"/>
        <w:pBdr>
          <w:bottom w:val="single" w:sz="6" w:space="1" w:color="B4C6E7"/>
        </w:pBdr>
      </w:pPr>
      <w:r>
        <w:rPr>
          <w:b/>
          <w:color w:val="1F3864"/>
          <w:sz w:val="25"/>
        </w:rPr>
        <w:t xml:space="preserve">Template B2: Finding modules for orders-in-original (ten common issues)</w:t>
      </w:r>
    </w:p>
    <w:p>
      <w:pPr>
        <w:pStyle w:val="BlockText"/>
        <w:shd w:val="clear" w:color="auto" w:fill="E7E6E6"/>
      </w:pPr>
      <w:r>
        <w:rPr>
          <w:bCs/>
          <w:b/>
          <w:sz w:val="21"/>
        </w:rPr>
        <w:t xml:space="preserve">How to use these modules.</w:t>
      </w:r>
      <w:r>
        <w:rPr>
          <w:sz w:val="21"/>
        </w:rPr>
        <w:t xml:space="preserve"> </w:t>
      </w:r>
      <w:r>
        <w:rPr>
          <w:sz w:val="21"/>
        </w:rPr>
        <w:t xml:space="preserve">Each module is a set of finding paragraphs for para 7 of template B1 (or B3). Copy the module that matches the issue in the SCN, fill the brackets from the record, and delete what does not fit. Every module has four parts: (1) what decides the issue (the law and the evidence); (2) the defences usually raised and how to answer them, or when to accept them; (3) model findings for confirming, reducing and dropping; (4) when to drop the demand. The model paragraphs are drafted for this template; the facts in them are hypothetical. Before using any case, read the judgment: the case entries in the project files are built from secondary sources.</w:t>
      </w:r>
    </w:p>
    <w:p>
      <w:pPr>
        <w:pStyle w:val="FirstParagraph"/>
        <w:spacing w:before="0" w:after="120" w:line="269" w:lineRule="auto"/>
      </w:pPr>
      <w:r>
        <w:rPr>
          <w:bCs/>
          <w:b/>
        </w:rPr>
        <w:t xml:space="preserve">Rules that apply to every module</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558"/>
        <w:gridCol w:w="3080"/>
      </w:tblGrid>
      <w:tr>
        <w:trPr>
          <w:tblHeader w:val="true"/>
          <w:tblHeader/>
        </w:trPr>
        <w:tc>
          <w:tcPr>
            <w:tcW w:type="dxa" w:w="6558"/>
            <w:shd w:val="clear" w:color="auto" w:fill="DCE6F1"/>
          </w:tcPr>
          <w:p>
            <w:pPr>
              <w:pStyle w:val="Compact"/>
              <w:spacing w:before="0" w:after="0" w:line="240" w:lineRule="auto"/>
              <w:jc w:val="left"/>
            </w:pPr>
            <w:r>
              <w:rPr>
                <w:b/>
                <w:color w:val="1F3864"/>
                <w:sz w:val="21"/>
              </w:rPr>
              <w:t xml:space="preserve">Rule</w:t>
            </w:r>
          </w:p>
        </w:tc>
        <w:tc>
          <w:tcPr>
            <w:tcW w:type="dxa" w:w="3080"/>
            <w:shd w:val="clear" w:color="auto" w:fill="DCE6F1"/>
          </w:tcPr>
          <w:p>
            <w:pPr>
              <w:pStyle w:val="Compact"/>
              <w:spacing w:before="0" w:after="0" w:line="240" w:lineRule="auto"/>
              <w:jc w:val="left"/>
            </w:pPr>
            <w:r>
              <w:rPr>
                <w:b/>
                <w:color w:val="1F3864"/>
                <w:sz w:val="21"/>
              </w:rPr>
              <w:t xml:space="preserve">Provision or authority</w:t>
            </w:r>
          </w:p>
        </w:tc>
      </w:tr>
      <w:tr>
        <w:tc>
          <w:tcPr>
            <w:tcW w:type="dxa" w:w="6558"/>
          </w:tcPr>
          <w:p>
            <w:pPr>
              <w:pStyle w:val="Compact"/>
              <w:spacing w:before="0" w:after="0" w:line="240" w:lineRule="auto"/>
              <w:jc w:val="left"/>
            </w:pPr>
            <w:r>
              <w:rPr>
                <w:sz w:val="21"/>
              </w:rPr>
              <w:t xml:space="preserve">Decide only on the ground stated in the SCN, and never above the SCN amount for that issue and tax head. A finding on a different ground (for example section 16(2)(c) where the SCN charged section 16(2)(aa)) is a new ground.</w:t>
            </w:r>
          </w:p>
        </w:tc>
        <w:tc>
          <w:tcPr>
            <w:tcW w:type="dxa" w:w="3080"/>
          </w:tcPr>
          <w:p>
            <w:pPr>
              <w:pStyle w:val="Compact"/>
              <w:spacing w:before="0" w:after="0" w:line="240" w:lineRule="auto"/>
              <w:jc w:val="left"/>
            </w:pPr>
            <w:r>
              <w:rPr>
                <w:sz w:val="21"/>
              </w:rPr>
              <w:t xml:space="preserve">Section 75(7)</w:t>
            </w:r>
          </w:p>
        </w:tc>
      </w:tr>
      <w:tr>
        <w:tc>
          <w:tcPr>
            <w:tcW w:type="dxa" w:w="6558"/>
          </w:tcPr>
          <w:p>
            <w:pPr>
              <w:pStyle w:val="Compact"/>
              <w:spacing w:before="0" w:after="0" w:line="240" w:lineRule="auto"/>
              <w:jc w:val="left"/>
            </w:pPr>
            <w:r>
              <w:rPr>
                <w:sz w:val="21"/>
              </w:rPr>
              <w:t xml:space="preserve">Answer each reply point (R-) and hearing submission (H-) by number, with the document that decides it.</w:t>
            </w:r>
          </w:p>
        </w:tc>
        <w:tc>
          <w:tcPr>
            <w:tcW w:type="dxa" w:w="3080"/>
          </w:tcPr>
          <w:p>
            <w:pPr>
              <w:pStyle w:val="Compact"/>
              <w:spacing w:before="0" w:after="0" w:line="240" w:lineRule="auto"/>
              <w:jc w:val="left"/>
            </w:pPr>
            <w:r>
              <w:rPr>
                <w:sz w:val="21"/>
              </w:rPr>
              <w:t xml:space="preserve">Section 75(6)</w:t>
            </w:r>
          </w:p>
        </w:tc>
      </w:tr>
      <w:tr>
        <w:tc>
          <w:tcPr>
            <w:tcW w:type="dxa" w:w="6558"/>
          </w:tcPr>
          <w:p>
            <w:pPr>
              <w:pStyle w:val="Compact"/>
              <w:spacing w:before="0" w:after="0" w:line="240" w:lineRule="auto"/>
              <w:jc w:val="left"/>
            </w:pPr>
            <w:r>
              <w:rPr>
                <w:sz w:val="21"/>
              </w:rPr>
              <w:t xml:space="preserve">Apply every circular that binds the officer and every Supreme Court and Telangana High Court ruling cited. Distinguish other High Court rulings with reasons.</w:t>
            </w:r>
          </w:p>
        </w:tc>
        <w:tc>
          <w:tcPr>
            <w:tcW w:type="dxa" w:w="3080"/>
          </w:tcPr>
          <w:p>
            <w:pPr>
              <w:pStyle w:val="Compact"/>
              <w:spacing w:before="0" w:after="0" w:line="240" w:lineRule="auto"/>
              <w:jc w:val="left"/>
            </w:pPr>
            <w:r>
              <w:rPr>
                <w:iCs/>
                <w:i/>
                <w:sz w:val="21"/>
              </w:rPr>
              <w:t xml:space="preserve">Ratan Melting &amp; Wire Industries</w:t>
            </w:r>
            <w:r>
              <w:rPr>
                <w:sz w:val="21"/>
              </w:rPr>
              <w:t xml:space="preserve"> </w:t>
            </w:r>
            <w:r>
              <w:rPr>
                <w:sz w:val="21"/>
              </w:rPr>
              <w:t xml:space="preserve">(SC, Constitution Bench, 2008);</w:t>
            </w:r>
            <w:r>
              <w:rPr>
                <w:sz w:val="21"/>
              </w:rPr>
              <w:t xml:space="preserve"> </w:t>
            </w:r>
            <w:r>
              <w:rPr>
                <w:iCs/>
                <w:i/>
                <w:sz w:val="21"/>
              </w:rPr>
              <w:t xml:space="preserve">Kamlakshi Finance</w:t>
            </w:r>
            <w:r>
              <w:rPr>
                <w:sz w:val="21"/>
              </w:rPr>
              <w:t xml:space="preserve"> </w:t>
            </w:r>
            <w:r>
              <w:rPr>
                <w:sz w:val="21"/>
              </w:rPr>
              <w:t xml:space="preserve">(SC)</w:t>
            </w:r>
          </w:p>
        </w:tc>
      </w:tr>
      <w:tr>
        <w:tc>
          <w:tcPr>
            <w:tcW w:type="dxa" w:w="6558"/>
          </w:tcPr>
          <w:p>
            <w:pPr>
              <w:pStyle w:val="Compact"/>
              <w:spacing w:before="0" w:after="0" w:line="240" w:lineRule="auto"/>
              <w:jc w:val="left"/>
            </w:pPr>
            <w:r>
              <w:rPr>
                <w:sz w:val="21"/>
              </w:rPr>
              <w:t xml:space="preserve">Do not rely on a document the noticee has not seen. Supply it and allow time before the order.</w:t>
            </w:r>
          </w:p>
        </w:tc>
        <w:tc>
          <w:tcPr>
            <w:tcW w:type="dxa" w:w="3080"/>
          </w:tcPr>
          <w:p>
            <w:pPr>
              <w:pStyle w:val="Compact"/>
              <w:spacing w:before="0" w:after="0" w:line="240" w:lineRule="auto"/>
              <w:jc w:val="left"/>
            </w:pPr>
            <w:r>
              <w:rPr>
                <w:sz w:val="21"/>
              </w:rPr>
              <w:t xml:space="preserve">Natural justice; template B1 para 3.2</w:t>
            </w:r>
          </w:p>
        </w:tc>
      </w:tr>
      <w:tr>
        <w:tc>
          <w:tcPr>
            <w:tcW w:type="dxa" w:w="6558"/>
          </w:tcPr>
          <w:p>
            <w:pPr>
              <w:pStyle w:val="Compact"/>
              <w:spacing w:before="0" w:after="0" w:line="240" w:lineRule="auto"/>
              <w:jc w:val="left"/>
            </w:pPr>
            <w:r>
              <w:rPr>
                <w:sz w:val="21"/>
              </w:rPr>
              <w:t xml:space="preserve">Find section 74 or section 74A(5)(ii) only on the specific facts pleaded in the SCN, ingredient by ingredient.</w:t>
            </w:r>
          </w:p>
        </w:tc>
        <w:tc>
          <w:tcPr>
            <w:tcW w:type="dxa" w:w="3080"/>
          </w:tcPr>
          <w:p>
            <w:pPr>
              <w:pStyle w:val="Compact"/>
              <w:spacing w:before="0" w:after="0" w:line="240" w:lineRule="auto"/>
              <w:jc w:val="left"/>
            </w:pPr>
            <w:r>
              <w:rPr>
                <w:iCs/>
                <w:i/>
                <w:sz w:val="21"/>
              </w:rPr>
              <w:t xml:space="preserve">G.R. Infra Projects Ratlam</w:t>
            </w:r>
            <w:r>
              <w:rPr>
                <w:sz w:val="21"/>
              </w:rPr>
              <w:t xml:space="preserve"> </w:t>
            </w:r>
            <w:r>
              <w:rPr>
                <w:sz w:val="21"/>
              </w:rPr>
              <w:t xml:space="preserve">(SC, 19.08.2026, CA 11277/2026)</w:t>
            </w:r>
          </w:p>
        </w:tc>
      </w:tr>
      <w:tr>
        <w:tc>
          <w:tcPr>
            <w:tcW w:type="dxa" w:w="6558"/>
          </w:tcPr>
          <w:p>
            <w:pPr>
              <w:pStyle w:val="Compact"/>
              <w:spacing w:before="0" w:after="0" w:line="240" w:lineRule="auto"/>
              <w:jc w:val="left"/>
            </w:pPr>
            <w:r>
              <w:rPr>
                <w:sz w:val="21"/>
              </w:rPr>
              <w:t xml:space="preserve">Interest under section 50(3) only on credit availed</w:t>
            </w:r>
            <w:r>
              <w:rPr>
                <w:sz w:val="21"/>
              </w:rPr>
              <w:t xml:space="preserve"> </w:t>
            </w:r>
            <w:r>
              <w:rPr>
                <w:bCs/>
                <w:b/>
                <w:sz w:val="21"/>
              </w:rPr>
              <w:t xml:space="preserve">and utilised</w:t>
            </w:r>
            <w:r>
              <w:rPr>
                <w:sz w:val="21"/>
              </w:rPr>
              <w:t xml:space="preserve">, from utilisation to reversal; under section 50(1), on the cash portion only where the proviso applies.</w:t>
            </w:r>
          </w:p>
        </w:tc>
        <w:tc>
          <w:tcPr>
            <w:tcW w:type="dxa" w:w="3080"/>
          </w:tcPr>
          <w:p>
            <w:pPr>
              <w:pStyle w:val="Compact"/>
              <w:spacing w:before="0" w:after="0" w:line="240" w:lineRule="auto"/>
              <w:jc w:val="left"/>
            </w:pPr>
            <w:r>
              <w:rPr>
                <w:sz w:val="21"/>
              </w:rPr>
              <w:t xml:space="preserve">Section 50; rule 88B</w:t>
            </w:r>
          </w:p>
        </w:tc>
      </w:tr>
      <w:tr>
        <w:tc>
          <w:tcPr>
            <w:tcW w:type="dxa" w:w="6558"/>
          </w:tcPr>
          <w:p>
            <w:pPr>
              <w:pStyle w:val="Compact"/>
              <w:spacing w:before="0" w:after="0" w:line="240" w:lineRule="auto"/>
              <w:jc w:val="left"/>
            </w:pPr>
            <w:r>
              <w:rPr>
                <w:sz w:val="21"/>
              </w:rPr>
              <w:t xml:space="preserve">One penalty clause for one act; no section 122 or 125 penalty for an act already penalised under section 73, 74 or 74A.</w:t>
            </w:r>
          </w:p>
        </w:tc>
        <w:tc>
          <w:tcPr>
            <w:tcW w:type="dxa" w:w="3080"/>
          </w:tcPr>
          <w:p>
            <w:pPr>
              <w:pStyle w:val="Compact"/>
              <w:spacing w:before="0" w:after="0" w:line="240" w:lineRule="auto"/>
              <w:jc w:val="left"/>
            </w:pPr>
            <w:r>
              <w:rPr>
                <w:sz w:val="21"/>
              </w:rPr>
              <w:t xml:space="preserve">Section 75(13)</w:t>
            </w:r>
          </w:p>
        </w:tc>
      </w:tr>
    </w:tbl>
    <w:p>
      <w:pPr>
        <w:pStyle w:val="BodyText"/>
        <w:keepNext/>
        <w:spacing w:before="240" w:after="80"/>
        <w:pBdr>
          <w:bottom w:val="single" w:sz="6" w:space="1" w:color="B4C6E7"/>
        </w:pBdr>
      </w:pPr>
      <w:r>
        <w:rPr>
          <w:bCs/>
          <w:b/>
          <w:color w:val="1F3864"/>
          <w:sz w:val="25"/>
        </w:rPr>
        <w:t xml:space="preserve">1. Input tax credit availed in excess of GSTR-2B (section 16(2)(aa))</w:t>
      </w:r>
    </w:p>
    <w:p>
      <w:pPr>
        <w:pStyle w:val="BodyText"/>
        <w:spacing w:before="0" w:after="120" w:line="269" w:lineRule="auto"/>
        <w:jc w:val="both"/>
      </w:pPr>
      <w:r>
        <w:t xml:space="preserve">1.1</w:t>
      </w:r>
      <w:r>
        <w:t xml:space="preserve"> </w:t>
      </w:r>
      <w:r>
        <w:rPr>
          <w:bCs/>
          <w:b/>
        </w:rPr>
        <w:t xml:space="preserve">What decides it.</w:t>
      </w:r>
      <w:r>
        <w:t xml:space="preserve"> </w:t>
      </w:r>
      <w:r>
        <w:t xml:space="preserve">From 01.01.2022, a registered person may take credit only where the supplier has furnished the invoice or debit note in its statement of outward supplies and the details have been communicated to the recipient (section 16(2)(aa), in force from 01.01.2022 by Notification No. 39/2021-Central Tax). From 01.10.2022, rule 36(4) bars credit on invoices that must be furnished under section 37(1) unless they are furnished in GSTR-1 or the invoice furnishing facility and communicated in GSTR-2B. For earlier months, apply the text of rule 36(4) in force in that month. For periods before 01.01.2022 there was no section 16(2)(aa): a 2A/3B difference is only a starting point, and the procedure in Circular No. 183/15/2022-GST (FY 2017-18 and 2018-19) and Circular No. 193/05/2023-GST (01.04.2019 to 31.12.2021) must be followed.</w:t>
      </w:r>
      <w:r>
        <w:t xml:space="preserve"> </w:t>
      </w:r>
      <w:r>
        <w:rPr>
          <w:bCs/>
          <w:b/>
        </w:rPr>
        <w:t xml:space="preserve">Evidence:</w:t>
      </w:r>
      <w:r>
        <w:t xml:space="preserve"> </w:t>
      </w:r>
      <w:r>
        <w:t xml:space="preserve">GSTR-3B Table 4A month by month; GSTR-2B for the same months and the next months, with the download date; the supplier-wise and invoice-wise list annexed to the SCN; GSTR-9 Tables 8A to 8D and 13; bills of entry; the reconciliation filed in reply.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693"/>
        <w:gridCol w:w="3693"/>
        <w:gridCol w:w="2251"/>
      </w:tblGrid>
      <w:tr>
        <w:trPr>
          <w:tblHeader w:val="true"/>
          <w:tblHeader/>
        </w:trPr>
        <w:tc>
          <w:tcPr>
            <w:tcW w:type="dxa" w:w="3693"/>
            <w:shd w:val="clear" w:color="auto" w:fill="DCE6F1"/>
          </w:tcPr>
          <w:p>
            <w:pPr>
              <w:pStyle w:val="Compact"/>
              <w:spacing w:before="0" w:after="0" w:line="240" w:lineRule="auto"/>
              <w:jc w:val="left"/>
            </w:pPr>
            <w:r>
              <w:rPr>
                <w:b/>
                <w:color w:val="1F3864"/>
                <w:sz w:val="21"/>
              </w:rPr>
              <w:t xml:space="preserve">Defence usually raised</w:t>
            </w:r>
          </w:p>
        </w:tc>
        <w:tc>
          <w:tcPr>
            <w:tcW w:type="dxa" w:w="3693"/>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2251"/>
            <w:shd w:val="clear" w:color="auto" w:fill="DCE6F1"/>
          </w:tcPr>
          <w:p>
            <w:pPr>
              <w:pStyle w:val="Compact"/>
              <w:spacing w:before="0" w:after="0" w:line="240" w:lineRule="auto"/>
              <w:jc w:val="left"/>
            </w:pPr>
            <w:r>
              <w:rPr>
                <w:b/>
                <w:color w:val="1F3864"/>
                <w:sz w:val="21"/>
              </w:rPr>
              <w:t xml:space="preserve">Authority</w:t>
            </w:r>
          </w:p>
        </w:tc>
      </w:tr>
      <w:tr>
        <w:tc>
          <w:tcPr>
            <w:tcW w:type="dxa" w:w="3693"/>
          </w:tcPr>
          <w:p>
            <w:pPr>
              <w:pStyle w:val="Compact"/>
              <w:spacing w:before="0" w:after="0" w:line="240" w:lineRule="auto"/>
              <w:jc w:val="left"/>
            </w:pPr>
            <w:r>
              <w:rPr>
                <w:sz w:val="21"/>
              </w:rPr>
              <w:t xml:space="preserve">The difference is credit on imports of goods, on inward supplies under reverse charge, or from an Input Service Distributor, which does not appear as a supplier invoice in GSTR-2B.</w:t>
            </w:r>
          </w:p>
        </w:tc>
        <w:tc>
          <w:tcPr>
            <w:tcW w:type="dxa" w:w="3693"/>
          </w:tcPr>
          <w:p>
            <w:pPr>
              <w:pStyle w:val="Compact"/>
              <w:spacing w:before="0" w:after="0" w:line="240" w:lineRule="auto"/>
              <w:jc w:val="left"/>
            </w:pPr>
            <w:r>
              <w:rPr>
                <w:bCs/>
                <w:b/>
                <w:sz w:val="21"/>
              </w:rPr>
              <w:t xml:space="preserve">Accept</w:t>
            </w:r>
            <w:r>
              <w:rPr>
                <w:sz w:val="21"/>
              </w:rPr>
              <w:t xml:space="preserve"> </w:t>
            </w:r>
            <w:r>
              <w:rPr>
                <w:sz w:val="21"/>
              </w:rPr>
              <w:t xml:space="preserve">to the extent verified against bills of entry (rule 36(1)(d)), the reverse charge tax actually paid in cash, and ISD documents. Reduce the demand by that amount.</w:t>
            </w:r>
          </w:p>
        </w:tc>
        <w:tc>
          <w:tcPr>
            <w:tcW w:type="dxa" w:w="2251"/>
          </w:tcPr>
          <w:p>
            <w:pPr>
              <w:pStyle w:val="Compact"/>
              <w:spacing w:before="0" w:after="0" w:line="240" w:lineRule="auto"/>
              <w:jc w:val="left"/>
            </w:pPr>
            <w:r>
              <w:rPr>
                <w:sz w:val="21"/>
              </w:rPr>
              <w:t xml:space="preserve">Rule 36(1); section 16(2)(aa) applies to invoices and debit notes furnished under section 37</w:t>
            </w:r>
          </w:p>
        </w:tc>
      </w:tr>
      <w:tr>
        <w:tc>
          <w:tcPr>
            <w:tcW w:type="dxa" w:w="3693"/>
          </w:tcPr>
          <w:p>
            <w:pPr>
              <w:pStyle w:val="Compact"/>
              <w:spacing w:before="0" w:after="0" w:line="240" w:lineRule="auto"/>
              <w:jc w:val="left"/>
            </w:pPr>
            <w:r>
              <w:rPr>
                <w:sz w:val="21"/>
              </w:rPr>
              <w:t xml:space="preserve">The invoices appear in GSTR-2B of a later month (supplier filed late or amended), or credit of an earlier year was taken in this year.</w:t>
            </w:r>
          </w:p>
        </w:tc>
        <w:tc>
          <w:tcPr>
            <w:tcW w:type="dxa" w:w="3693"/>
          </w:tcPr>
          <w:p>
            <w:pPr>
              <w:pStyle w:val="Compact"/>
              <w:spacing w:before="0" w:after="0" w:line="240" w:lineRule="auto"/>
              <w:jc w:val="left"/>
            </w:pPr>
            <w:r>
              <w:rPr>
                <w:bCs/>
                <w:b/>
                <w:sz w:val="21"/>
              </w:rPr>
              <w:t xml:space="preserve">Accept</w:t>
            </w:r>
            <w:r>
              <w:rPr>
                <w:sz w:val="21"/>
              </w:rPr>
              <w:t xml:space="preserve"> </w:t>
            </w:r>
            <w:r>
              <w:rPr>
                <w:sz w:val="21"/>
              </w:rPr>
              <w:t xml:space="preserve">where the invoice is in GSTR-2B of a later month and the credit is within the section 16(4) time limit; examine the year-boundary claims in GSTR-9 Tables 8C and 13.</w:t>
            </w:r>
          </w:p>
        </w:tc>
        <w:tc>
          <w:tcPr>
            <w:tcW w:type="dxa" w:w="2251"/>
          </w:tcPr>
          <w:p>
            <w:pPr>
              <w:pStyle w:val="Compact"/>
              <w:spacing w:before="0" w:after="0" w:line="240" w:lineRule="auto"/>
              <w:jc w:val="left"/>
            </w:pPr>
            <w:r>
              <w:rPr>
                <w:sz w:val="21"/>
              </w:rPr>
              <w:t xml:space="preserve">Section 16(2)(aa), 16(4)</w:t>
            </w:r>
          </w:p>
        </w:tc>
      </w:tr>
      <w:tr>
        <w:tc>
          <w:tcPr>
            <w:tcW w:type="dxa" w:w="3693"/>
          </w:tcPr>
          <w:p>
            <w:pPr>
              <w:pStyle w:val="Compact"/>
              <w:spacing w:before="0" w:after="0" w:line="240" w:lineRule="auto"/>
              <w:jc w:val="left"/>
            </w:pPr>
            <w:r>
              <w:rPr>
                <w:sz w:val="21"/>
              </w:rPr>
              <w:t xml:space="preserve">The goods were received, tax was paid to the supplier and the purchase is genuine.</w:t>
            </w:r>
          </w:p>
        </w:tc>
        <w:tc>
          <w:tcPr>
            <w:tcW w:type="dxa" w:w="3693"/>
          </w:tcPr>
          <w:p>
            <w:pPr>
              <w:pStyle w:val="Compact"/>
              <w:spacing w:before="0" w:after="0" w:line="240" w:lineRule="auto"/>
              <w:jc w:val="left"/>
            </w:pPr>
            <w:r>
              <w:rPr>
                <w:bCs/>
                <w:b/>
                <w:sz w:val="21"/>
              </w:rPr>
              <w:t xml:space="preserve">Not an answer</w:t>
            </w:r>
            <w:r>
              <w:rPr>
                <w:sz w:val="21"/>
              </w:rPr>
              <w:t xml:space="preserve"> </w:t>
            </w:r>
            <w:r>
              <w:rPr>
                <w:sz w:val="21"/>
              </w:rPr>
              <w:t xml:space="preserve">for periods from 01.01.2022: furnishing and communication of the invoice is a separate statutory condition. For periods before 01.01.2022, examine the certificates under Circular 183 or 193 and other evidence of genuineness, and accept where they meet the circular.</w:t>
            </w:r>
          </w:p>
        </w:tc>
        <w:tc>
          <w:tcPr>
            <w:tcW w:type="dxa" w:w="2251"/>
          </w:tcPr>
          <w:p>
            <w:pPr>
              <w:pStyle w:val="Compact"/>
              <w:spacing w:before="0" w:after="0" w:line="240" w:lineRule="auto"/>
              <w:jc w:val="left"/>
            </w:pPr>
            <w:r>
              <w:rPr>
                <w:sz w:val="21"/>
              </w:rPr>
              <w:t xml:space="preserve">Section 16(2)(aa); Circulars 183/15/2022-GST, 193/05/2023-GST</w:t>
            </w:r>
          </w:p>
        </w:tc>
      </w:tr>
      <w:tr>
        <w:tc>
          <w:tcPr>
            <w:tcW w:type="dxa" w:w="3693"/>
          </w:tcPr>
          <w:p>
            <w:pPr>
              <w:pStyle w:val="Compact"/>
              <w:spacing w:before="0" w:after="0" w:line="240" w:lineRule="auto"/>
              <w:jc w:val="left"/>
            </w:pPr>
            <w:r>
              <w:rPr>
                <w:sz w:val="21"/>
              </w:rPr>
              <w:t xml:space="preserve">The SCN gives only a gross difference, with no supplier or invoice list.</w:t>
            </w:r>
          </w:p>
        </w:tc>
        <w:tc>
          <w:tcPr>
            <w:tcW w:type="dxa" w:w="3693"/>
          </w:tcPr>
          <w:p>
            <w:pPr>
              <w:pStyle w:val="Compact"/>
              <w:spacing w:before="0" w:after="0" w:line="240" w:lineRule="auto"/>
              <w:jc w:val="left"/>
            </w:pPr>
            <w:r>
              <w:rPr>
                <w:sz w:val="21"/>
              </w:rPr>
              <w:t xml:space="preserve">If the list was in the SCN or its RUDs, decide on it. If it was not, the noticee could not answer the charge: confirm only what the RUDs served show supplier by supplier, and drop the rest. Do not supply the missing list in the order.</w:t>
            </w:r>
          </w:p>
        </w:tc>
        <w:tc>
          <w:tcPr>
            <w:tcW w:type="dxa" w:w="2251"/>
          </w:tcPr>
          <w:p>
            <w:pPr>
              <w:pStyle w:val="Compact"/>
              <w:spacing w:before="0" w:after="0" w:line="240" w:lineRule="auto"/>
              <w:jc w:val="left"/>
            </w:pPr>
            <w:r>
              <w:rPr>
                <w:sz w:val="21"/>
              </w:rPr>
              <w:t xml:space="preserve">Section 75(6), (7)</w:t>
            </w:r>
          </w:p>
        </w:tc>
      </w:tr>
      <w:tr>
        <w:tc>
          <w:tcPr>
            <w:tcW w:type="dxa" w:w="3693"/>
          </w:tcPr>
          <w:p>
            <w:pPr>
              <w:pStyle w:val="Compact"/>
              <w:spacing w:before="0" w:after="0" w:line="240" w:lineRule="auto"/>
              <w:jc w:val="left"/>
            </w:pPr>
            <w:r>
              <w:rPr>
                <w:sz w:val="21"/>
              </w:rPr>
              <w:t xml:space="preserve">Section 74 is invoked for a mismatch.</w:t>
            </w:r>
          </w:p>
        </w:tc>
        <w:tc>
          <w:tcPr>
            <w:tcW w:type="dxa" w:w="3693"/>
          </w:tcPr>
          <w:p>
            <w:pPr>
              <w:pStyle w:val="Compact"/>
              <w:spacing w:before="0" w:after="0" w:line="240" w:lineRule="auto"/>
              <w:jc w:val="left"/>
            </w:pPr>
            <w:r>
              <w:rPr>
                <w:sz w:val="21"/>
              </w:rPr>
              <w:t xml:space="preserve">A mismatch alone does not show suppression or intent.</w:t>
            </w:r>
          </w:p>
        </w:tc>
        <w:tc>
          <w:tcPr>
            <w:tcW w:type="dxa" w:w="2251"/>
          </w:tcPr>
          <w:p>
            <w:pPr>
              <w:pStyle w:val="Compact"/>
              <w:spacing w:before="0" w:after="0" w:line="240" w:lineRule="auto"/>
              <w:jc w:val="left"/>
            </w:pPr>
            <w:r>
              <w:rPr>
                <w:iCs/>
                <w:i/>
                <w:sz w:val="21"/>
              </w:rPr>
              <w:t xml:space="preserve">Sterling &amp; Wilson</w:t>
            </w:r>
            <w:r>
              <w:rPr>
                <w:sz w:val="21"/>
              </w:rPr>
              <w:t xml:space="preserve">, GSTAT Principal Bench, 11.02.2026</w:t>
            </w:r>
          </w:p>
        </w:tc>
      </w:tr>
    </w:tbl>
    <w:p>
      <w:pPr>
        <w:pStyle w:val="BodyText"/>
        <w:spacing w:before="0" w:after="120" w:line="269" w:lineRule="auto"/>
        <w:jc w:val="both"/>
      </w:pPr>
      <w:r>
        <w:t xml:space="preserve">1.2</w:t>
      </w:r>
      <w:r>
        <w:t xml:space="preserve"> </w:t>
      </w:r>
      <w:r>
        <w:rPr>
          <w:bCs/>
          <w:b/>
        </w:rPr>
        <w:t xml:space="preserve">Model finding (confirmed in part).</w:t>
      </w:r>
      <w:r>
        <w:t xml:space="preserve"> </w:t>
      </w:r>
      <w:r>
        <w:t xml:space="preserve">“</w:t>
      </w:r>
      <w:r>
        <w:t xml:space="preserve">The SCN (para [ ]) proposes to recover credit of ₹[ ] availed in GSTR-3B for [months] in excess of the credit communicated in GSTR-2B for those months, contrary to section 16(2)(aa) read with rule 36(4), with the invoices listed in RUD-[ ]. The noticee (R-[ ]) says that ₹[ ] relates to IGST paid on imports and ₹[ ] to invoices that appear in GSTR-2B for [later month]. I have checked bills of entry Nos. [ ] (D-[ ]) against ICEGATE data and GSTR-2B for [later month]. Credit of ₹[ ] on imports is supported by the bills of entry and is outside section 16(2)(aa), which applies to invoices furnished under section 37. Invoices of ₹[ ] appear in GSTR-2B for [month], within the section 16(4) time limit. I accept R-[ ] to that extent, and ₹[ ] is dropped. For the remaining invoices, of [number] suppliers listed in Table [ ] (₹[ ]), the noticee has produced only purchase invoices and bank statements. These invoices have not been furnished by the suppliers and were not communicated in GSTR-2B for any month up to [date]. Under section 16(2)(aa), credit on them was not available. Credit of ₹[ ] is confirmed.</w:t>
      </w:r>
      <w:r>
        <w:t xml:space="preserve">”</w:t>
      </w:r>
    </w:p>
    <w:p>
      <w:pPr>
        <w:pStyle w:val="BodyText"/>
        <w:spacing w:before="0" w:after="120" w:line="269" w:lineRule="auto"/>
        <w:jc w:val="both"/>
      </w:pPr>
      <w:r>
        <w:t xml:space="preserve">1.3</w:t>
      </w:r>
      <w:r>
        <w:t xml:space="preserve"> </w:t>
      </w:r>
      <w:r>
        <w:rPr>
          <w:bCs/>
          <w:b/>
        </w:rPr>
        <w:t xml:space="preserve">Drop the demand when:</w:t>
      </w:r>
      <w:r>
        <w:t xml:space="preserve"> </w:t>
      </w:r>
      <w:r>
        <w:t xml:space="preserve">the difference is explained by imports, reverse charge, ISD or timing; for pre-01.01.2022 periods, the certificates under Circular 183 or 193 meet the circular; the SCN charged only section 16(2)(c) and supplier non-payment is not shown (that is a different ground: see module 2).</w:t>
      </w:r>
    </w:p>
    <w:p>
      <w:pPr>
        <w:pStyle w:val="BlockText"/>
        <w:shd w:val="clear" w:color="auto" w:fill="E7E6E6"/>
      </w:pPr>
      <w:r>
        <w:rPr>
          <w:bCs/>
          <w:b/>
          <w:sz w:val="21"/>
        </w:rPr>
        <w:t xml:space="preserve">Drafting note:</w:t>
      </w:r>
      <w:r>
        <w:rPr>
          <w:sz w:val="21"/>
        </w:rPr>
        <w:t xml:space="preserve"> </w:t>
      </w:r>
      <w:r>
        <w:rPr>
          <w:sz w:val="21"/>
        </w:rPr>
        <w:t xml:space="preserve">section 50(3) interest only for the months in which the credit ledger balance fell below the disputed credit (rule 88B(3)); attach Table A2 of template B1.</w:t>
      </w:r>
    </w:p>
    <w:p>
      <w:pPr>
        <w:pStyle w:val="FirstParagraph"/>
        <w:keepNext/>
        <w:spacing w:before="240" w:after="80"/>
        <w:pBdr>
          <w:bottom w:val="single" w:sz="6" w:space="1" w:color="B4C6E7"/>
        </w:pBdr>
      </w:pPr>
      <w:r>
        <w:rPr>
          <w:bCs/>
          <w:b/>
          <w:color w:val="1F3864"/>
          <w:sz w:val="25"/>
        </w:rPr>
        <w:t xml:space="preserve">2. Supplier has not paid the tax, or supplier’s registration cancelled (section 16(2)(c))</w:t>
      </w:r>
    </w:p>
    <w:p>
      <w:pPr>
        <w:pStyle w:val="BodyText"/>
        <w:spacing w:before="0" w:after="120" w:line="269" w:lineRule="auto"/>
        <w:jc w:val="both"/>
      </w:pPr>
      <w:r>
        <w:t xml:space="preserve">2.1</w:t>
      </w:r>
      <w:r>
        <w:t xml:space="preserve"> </w:t>
      </w:r>
      <w:r>
        <w:rPr>
          <w:bCs/>
          <w:b/>
        </w:rPr>
        <w:t xml:space="preserve">What decides it.</w:t>
      </w:r>
      <w:r>
        <w:t xml:space="preserve"> </w:t>
      </w:r>
      <w:r>
        <w:t xml:space="preserve">Credit is available only if the tax charged on the supply</w:t>
      </w:r>
      <w:r>
        <w:t xml:space="preserve"> </w:t>
      </w:r>
      <w:r>
        <w:t xml:space="preserve">“</w:t>
      </w:r>
      <w:r>
        <w:t xml:space="preserve">has been actually paid to the Government</w:t>
      </w:r>
      <w:r>
        <w:t xml:space="preserve">”</w:t>
      </w:r>
      <w:r>
        <w:t xml:space="preserve"> </w:t>
      </w:r>
      <w:r>
        <w:t xml:space="preserve">(section 16(2)(c)). The provision is valid and is not read down for a bona fide purchaser (</w:t>
      </w:r>
      <w:r>
        <w:rPr>
          <w:iCs/>
          <w:i/>
        </w:rPr>
        <w:t xml:space="preserve">Bhandari Scrap Traders v. Union of India</w:t>
      </w:r>
      <w:r>
        <w:t xml:space="preserve">, Supreme Court, 24.07.2026, SLP (C) 23931/2026, affirming</w:t>
      </w:r>
      <w:r>
        <w:t xml:space="preserve"> </w:t>
      </w:r>
      <w:r>
        <w:rPr>
          <w:iCs/>
          <w:i/>
        </w:rPr>
        <w:t xml:space="preserve">Maruti Enterprise</w:t>
      </w:r>
      <w:r>
        <w:t xml:space="preserve">, Gujarat HC; the contrary</w:t>
      </w:r>
      <w:r>
        <w:t xml:space="preserve"> </w:t>
      </w:r>
      <w:r>
        <w:rPr>
          <w:iCs/>
          <w:i/>
        </w:rPr>
        <w:t xml:space="preserve">Sahil Enterprises</w:t>
      </w:r>
      <w:r>
        <w:t xml:space="preserve">, Tripura HC, is stayed by the Supreme Court). The demand must still rest on a</w:t>
      </w:r>
      <w:r>
        <w:t xml:space="preserve"> </w:t>
      </w:r>
      <w:r>
        <w:rPr>
          <w:bCs/>
          <w:b/>
        </w:rPr>
        <w:t xml:space="preserve">verified finding</w:t>
      </w:r>
      <w:r>
        <w:t xml:space="preserve"> </w:t>
      </w:r>
      <w:r>
        <w:t xml:space="preserve">that the supplier did not pay. Rule 37A requires reversal where the supplier has not filed GSTR-3B for the period by 30 September following the year, and allows re-availment when the supplier later files.</w:t>
      </w:r>
      <w:r>
        <w:t xml:space="preserve"> </w:t>
      </w:r>
      <w:r>
        <w:rPr>
          <w:bCs/>
          <w:b/>
        </w:rPr>
        <w:t xml:space="preserve">Evidence:</w:t>
      </w:r>
      <w:r>
        <w:t xml:space="preserve"> </w:t>
      </w:r>
      <w:r>
        <w:t xml:space="preserve">the supplier’s GSTR-3B filing status and tax paid for the period (cash and credit ledgers), not just a 2A/3B arithmetic difference; the steps taken against the supplier and their result; the supplier’s registration status on each invoice date; the buyer’s invoices, payment and movement records.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308"/>
        <w:gridCol w:w="4147"/>
        <w:gridCol w:w="2182"/>
      </w:tblGrid>
      <w:tr>
        <w:trPr>
          <w:tblHeader w:val="true"/>
          <w:tblHeader/>
        </w:trPr>
        <w:tc>
          <w:tcPr>
            <w:tcW w:type="dxa" w:w="3308"/>
            <w:shd w:val="clear" w:color="auto" w:fill="DCE6F1"/>
          </w:tcPr>
          <w:p>
            <w:pPr>
              <w:pStyle w:val="Compact"/>
              <w:spacing w:before="0" w:after="0" w:line="240" w:lineRule="auto"/>
              <w:jc w:val="left"/>
            </w:pPr>
            <w:r>
              <w:rPr>
                <w:b/>
                <w:color w:val="1F3864"/>
                <w:sz w:val="21"/>
              </w:rPr>
              <w:t xml:space="preserve">Defence usually raised</w:t>
            </w:r>
          </w:p>
        </w:tc>
        <w:tc>
          <w:tcPr>
            <w:tcW w:type="dxa" w:w="4147"/>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2182"/>
            <w:shd w:val="clear" w:color="auto" w:fill="DCE6F1"/>
          </w:tcPr>
          <w:p>
            <w:pPr>
              <w:pStyle w:val="Compact"/>
              <w:spacing w:before="0" w:after="0" w:line="240" w:lineRule="auto"/>
              <w:jc w:val="left"/>
            </w:pPr>
            <w:r>
              <w:rPr>
                <w:b/>
                <w:color w:val="1F3864"/>
                <w:sz w:val="21"/>
              </w:rPr>
              <w:t xml:space="preserve">Authority</w:t>
            </w:r>
          </w:p>
        </w:tc>
      </w:tr>
      <w:tr>
        <w:tc>
          <w:tcPr>
            <w:tcW w:type="dxa" w:w="3308"/>
          </w:tcPr>
          <w:p>
            <w:pPr>
              <w:pStyle w:val="Compact"/>
              <w:spacing w:before="0" w:after="0" w:line="240" w:lineRule="auto"/>
              <w:jc w:val="left"/>
            </w:pPr>
            <w:r>
              <w:rPr>
                <w:sz w:val="21"/>
              </w:rPr>
              <w:t xml:space="preserve">The buyer is a bona fide purchaser who paid the tax to the supplier.</w:t>
            </w:r>
          </w:p>
        </w:tc>
        <w:tc>
          <w:tcPr>
            <w:tcW w:type="dxa" w:w="4147"/>
          </w:tcPr>
          <w:p>
            <w:pPr>
              <w:pStyle w:val="Compact"/>
              <w:spacing w:before="0" w:after="0" w:line="240" w:lineRule="auto"/>
              <w:jc w:val="left"/>
            </w:pPr>
            <w:r>
              <w:rPr>
                <w:sz w:val="21"/>
              </w:rPr>
              <w:t xml:space="preserve">Not an answer: payment of tax to the Government by the supplier is a condition of the credit.</w:t>
            </w:r>
          </w:p>
        </w:tc>
        <w:tc>
          <w:tcPr>
            <w:tcW w:type="dxa" w:w="2182"/>
          </w:tcPr>
          <w:p>
            <w:pPr>
              <w:pStyle w:val="Compact"/>
              <w:spacing w:before="0" w:after="0" w:line="240" w:lineRule="auto"/>
              <w:jc w:val="left"/>
            </w:pPr>
            <w:r>
              <w:rPr>
                <w:iCs/>
                <w:i/>
                <w:sz w:val="21"/>
              </w:rPr>
              <w:t xml:space="preserve">Bhandari Scrap Traders</w:t>
            </w:r>
            <w:r>
              <w:rPr>
                <w:sz w:val="21"/>
              </w:rPr>
              <w:t xml:space="preserve"> </w:t>
            </w:r>
            <w:r>
              <w:rPr>
                <w:sz w:val="21"/>
              </w:rPr>
              <w:t xml:space="preserve">(SC)</w:t>
            </w:r>
          </w:p>
        </w:tc>
      </w:tr>
      <w:tr>
        <w:tc>
          <w:tcPr>
            <w:tcW w:type="dxa" w:w="3308"/>
          </w:tcPr>
          <w:p>
            <w:pPr>
              <w:pStyle w:val="Compact"/>
              <w:spacing w:before="0" w:after="0" w:line="240" w:lineRule="auto"/>
              <w:jc w:val="left"/>
            </w:pPr>
            <w:r>
              <w:rPr>
                <w:sz w:val="21"/>
              </w:rPr>
              <w:t xml:space="preserve">The department must first recover from the supplier.</w:t>
            </w:r>
          </w:p>
        </w:tc>
        <w:tc>
          <w:tcPr>
            <w:tcW w:type="dxa" w:w="4147"/>
          </w:tcPr>
          <w:p>
            <w:pPr>
              <w:pStyle w:val="Compact"/>
              <w:spacing w:before="0" w:after="0" w:line="240" w:lineRule="auto"/>
              <w:jc w:val="left"/>
            </w:pPr>
            <w:r>
              <w:rPr>
                <w:sz w:val="21"/>
              </w:rPr>
              <w:t xml:space="preserve">Record the steps taken against the supplier (notice, recovery, cancellation) and their result. The buyer’s liability does not depend on recovery from the supplier, but showing the steps answers the point.</w:t>
            </w:r>
          </w:p>
        </w:tc>
        <w:tc>
          <w:tcPr>
            <w:tcW w:type="dxa" w:w="2182"/>
          </w:tcPr>
          <w:p>
            <w:pPr>
              <w:pStyle w:val="Compact"/>
              <w:spacing w:before="0" w:after="0" w:line="240" w:lineRule="auto"/>
              <w:jc w:val="left"/>
            </w:pPr>
            <w:r>
              <w:rPr>
                <w:iCs/>
                <w:i/>
                <w:sz w:val="21"/>
              </w:rPr>
              <w:t xml:space="preserve">Suncraft Energy</w:t>
            </w:r>
            <w:r>
              <w:rPr>
                <w:sz w:val="21"/>
              </w:rPr>
              <w:t xml:space="preserve"> </w:t>
            </w:r>
            <w:r>
              <w:rPr>
                <w:sz w:val="21"/>
              </w:rPr>
              <w:t xml:space="preserve">(Calcutta HC; SLP dismissed) and</w:t>
            </w:r>
            <w:r>
              <w:rPr>
                <w:sz w:val="21"/>
              </w:rPr>
              <w:t xml:space="preserve"> </w:t>
            </w:r>
            <w:r>
              <w:rPr>
                <w:iCs/>
                <w:i/>
                <w:sz w:val="21"/>
              </w:rPr>
              <w:t xml:space="preserve">D.Y. Beathel</w:t>
            </w:r>
            <w:r>
              <w:rPr>
                <w:sz w:val="21"/>
              </w:rPr>
              <w:t xml:space="preserve"> </w:t>
            </w:r>
            <w:r>
              <w:rPr>
                <w:sz w:val="21"/>
              </w:rPr>
              <w:t xml:space="preserve">(Madras HC), persuasive, read with</w:t>
            </w:r>
            <w:r>
              <w:rPr>
                <w:sz w:val="21"/>
              </w:rPr>
              <w:t xml:space="preserve"> </w:t>
            </w:r>
            <w:r>
              <w:rPr>
                <w:iCs/>
                <w:i/>
                <w:sz w:val="21"/>
              </w:rPr>
              <w:t xml:space="preserve">Bhandari</w:t>
            </w:r>
          </w:p>
        </w:tc>
      </w:tr>
      <w:tr>
        <w:tc>
          <w:tcPr>
            <w:tcW w:type="dxa" w:w="3308"/>
          </w:tcPr>
          <w:p>
            <w:pPr>
              <w:pStyle w:val="Compact"/>
              <w:spacing w:before="0" w:after="0" w:line="240" w:lineRule="auto"/>
              <w:jc w:val="left"/>
            </w:pPr>
            <w:r>
              <w:rPr>
                <w:sz w:val="21"/>
              </w:rPr>
              <w:t xml:space="preserve">The supplier has since filed its returns and paid the tax.</w:t>
            </w:r>
          </w:p>
        </w:tc>
        <w:tc>
          <w:tcPr>
            <w:tcW w:type="dxa" w:w="4147"/>
          </w:tcPr>
          <w:p>
            <w:pPr>
              <w:pStyle w:val="Compact"/>
              <w:spacing w:before="0" w:after="0" w:line="240" w:lineRule="auto"/>
              <w:jc w:val="left"/>
            </w:pPr>
            <w:r>
              <w:rPr>
                <w:bCs/>
                <w:b/>
                <w:sz w:val="21"/>
              </w:rPr>
              <w:t xml:space="preserve">Accept</w:t>
            </w:r>
            <w:r>
              <w:rPr>
                <w:sz w:val="21"/>
              </w:rPr>
              <w:t xml:space="preserve"> </w:t>
            </w:r>
            <w:r>
              <w:rPr>
                <w:sz w:val="21"/>
              </w:rPr>
              <w:t xml:space="preserve">to the extent verified: credit may be re-availed (second proviso to rule 37A). Drop that part.</w:t>
            </w:r>
          </w:p>
        </w:tc>
        <w:tc>
          <w:tcPr>
            <w:tcW w:type="dxa" w:w="2182"/>
          </w:tcPr>
          <w:p>
            <w:pPr>
              <w:pStyle w:val="Compact"/>
              <w:spacing w:before="0" w:after="0" w:line="240" w:lineRule="auto"/>
              <w:jc w:val="left"/>
            </w:pPr>
            <w:r>
              <w:rPr>
                <w:sz w:val="21"/>
              </w:rPr>
              <w:t xml:space="preserve">Rule 37A</w:t>
            </w:r>
          </w:p>
        </w:tc>
      </w:tr>
      <w:tr>
        <w:tc>
          <w:tcPr>
            <w:tcW w:type="dxa" w:w="3308"/>
          </w:tcPr>
          <w:p>
            <w:pPr>
              <w:pStyle w:val="Compact"/>
              <w:spacing w:before="0" w:after="0" w:line="240" w:lineRule="auto"/>
              <w:jc w:val="left"/>
            </w:pPr>
            <w:r>
              <w:rPr>
                <w:sz w:val="21"/>
              </w:rPr>
              <w:t xml:space="preserve">The supplier’s registration was cancelled later, with retrospective effect.</w:t>
            </w:r>
          </w:p>
        </w:tc>
        <w:tc>
          <w:tcPr>
            <w:tcW w:type="dxa" w:w="4147"/>
          </w:tcPr>
          <w:p>
            <w:pPr>
              <w:pStyle w:val="Compact"/>
              <w:spacing w:before="0" w:after="0" w:line="240" w:lineRule="auto"/>
              <w:jc w:val="left"/>
            </w:pPr>
            <w:r>
              <w:rPr>
                <w:sz w:val="21"/>
              </w:rPr>
              <w:t xml:space="preserve">Cancellation after the supply is not by itself proof of non-payment or of a non-genuine supply. Decide on the supplier’s actual payment for the invoice period.</w:t>
            </w:r>
          </w:p>
        </w:tc>
        <w:tc>
          <w:tcPr>
            <w:tcW w:type="dxa" w:w="2182"/>
          </w:tcPr>
          <w:p>
            <w:pPr>
              <w:pStyle w:val="Compact"/>
              <w:spacing w:before="0" w:after="0" w:line="240" w:lineRule="auto"/>
              <w:jc w:val="left"/>
            </w:pPr>
            <w:r>
              <w:rPr>
                <w:iCs/>
                <w:i/>
                <w:sz w:val="21"/>
              </w:rPr>
              <w:t xml:space="preserve">LGW Industries</w:t>
            </w:r>
            <w:r>
              <w:rPr>
                <w:sz w:val="21"/>
              </w:rPr>
              <w:t xml:space="preserve"> </w:t>
            </w:r>
            <w:r>
              <w:rPr>
                <w:sz w:val="21"/>
              </w:rPr>
              <w:t xml:space="preserve">(Calcutta HC, WPA 23512/2019), persuasive</w:t>
            </w:r>
          </w:p>
        </w:tc>
      </w:tr>
      <w:tr>
        <w:tc>
          <w:tcPr>
            <w:tcW w:type="dxa" w:w="3308"/>
          </w:tcPr>
          <w:p>
            <w:pPr>
              <w:pStyle w:val="Compact"/>
              <w:spacing w:before="0" w:after="0" w:line="240" w:lineRule="auto"/>
              <w:jc w:val="left"/>
            </w:pPr>
            <w:r>
              <w:rPr>
                <w:sz w:val="21"/>
              </w:rPr>
              <w:t xml:space="preserve">GSTR-2A or 2B shows the invoice, so tax must have been paid.</w:t>
            </w:r>
          </w:p>
        </w:tc>
        <w:tc>
          <w:tcPr>
            <w:tcW w:type="dxa" w:w="4147"/>
          </w:tcPr>
          <w:p>
            <w:pPr>
              <w:pStyle w:val="Compact"/>
              <w:spacing w:before="0" w:after="0" w:line="240" w:lineRule="auto"/>
              <w:jc w:val="left"/>
            </w:pPr>
            <w:r>
              <w:rPr>
                <w:sz w:val="21"/>
              </w:rPr>
              <w:t xml:space="preserve">Reporting in GSTR-1 is not payment. Look at the supplier’s GSTR-3B and ledgers.</w:t>
            </w:r>
          </w:p>
        </w:tc>
        <w:tc>
          <w:tcPr>
            <w:tcW w:type="dxa" w:w="2182"/>
          </w:tcPr>
          <w:p>
            <w:pPr>
              <w:pStyle w:val="Compact"/>
              <w:spacing w:before="0" w:after="0" w:line="240" w:lineRule="auto"/>
              <w:jc w:val="left"/>
            </w:pPr>
            <w:r>
              <w:rPr>
                <w:sz w:val="21"/>
              </w:rPr>
              <w:t xml:space="preserve">Section 16(2)(c)</w:t>
            </w:r>
          </w:p>
        </w:tc>
      </w:tr>
    </w:tbl>
    <w:p>
      <w:pPr>
        <w:pStyle w:val="BodyText"/>
        <w:spacing w:before="0" w:after="120" w:line="269" w:lineRule="auto"/>
        <w:jc w:val="both"/>
      </w:pPr>
      <w:r>
        <w:t xml:space="preserve">2.2</w:t>
      </w:r>
      <w:r>
        <w:t xml:space="preserve"> </w:t>
      </w:r>
      <w:r>
        <w:rPr>
          <w:bCs/>
          <w:b/>
        </w:rPr>
        <w:t xml:space="preserve">Model finding (confirmed).</w:t>
      </w:r>
      <w:r>
        <w:t xml:space="preserve"> </w:t>
      </w:r>
      <w:r>
        <w:t xml:space="preserve">“</w:t>
      </w:r>
      <w:r>
        <w:t xml:space="preserve">The SCN (para [ ]) disallows credit of ₹[ ] on invoices of [supplier], GSTIN [ ], on the ground that the supplier did not pay the tax charged. The supplier’s returns (RUD-[ ]) show that for [months] it declared outward tax of ₹[ ] in GSTR-1 but filed no GSTR-3B [paid ₹[ ] only]. [The Range officer’s report dated [ ] (RUD-[ ]) records that the supplier was not found at its place of business and its registration was cancelled from [ ]; recovery proceedings under [ ] have not yielded payment.] The noticee (R-[ ]) relies on its invoices, bank payments and e-way bills (D-[ ]). These show the purchase, but not that the tax was paid to the Government, which section 16(2)(c) requires. That condition is valid and applies to a bona fide purchaser (</w:t>
      </w:r>
      <w:r>
        <w:rPr>
          <w:iCs/>
          <w:i/>
        </w:rPr>
        <w:t xml:space="preserve">Bhandari Scrap Traders</w:t>
      </w:r>
      <w:r>
        <w:t xml:space="preserve">, Supreme Court, 24.07.2026). Credit of ₹[ ] is confirmed. If the supplier later pays the tax for these invoices, the noticee may re-avail the credit under the second proviso to rule 37A.</w:t>
      </w:r>
      <w:r>
        <w:t xml:space="preserve">”</w:t>
      </w:r>
    </w:p>
    <w:p>
      <w:pPr>
        <w:pStyle w:val="BodyText"/>
        <w:spacing w:before="0" w:after="120" w:line="269" w:lineRule="auto"/>
        <w:jc w:val="both"/>
      </w:pPr>
      <w:r>
        <w:t xml:space="preserve">2.3</w:t>
      </w:r>
      <w:r>
        <w:t xml:space="preserve"> </w:t>
      </w:r>
      <w:r>
        <w:rPr>
          <w:bCs/>
          <w:b/>
        </w:rPr>
        <w:t xml:space="preserve">Drop the demand when:</w:t>
      </w:r>
      <w:r>
        <w:t xml:space="preserve"> </w:t>
      </w:r>
      <w:r>
        <w:t xml:space="preserve">the SCN rests only on a 2A/3B difference with no verified finding of the supplier’s non-payment; the supplier’s ledgers show payment for the period; the only evidence is a later retrospective cancellation.</w:t>
      </w:r>
    </w:p>
    <w:p>
      <w:pPr>
        <w:pStyle w:val="BlockText"/>
        <w:shd w:val="clear" w:color="auto" w:fill="E7E6E6"/>
      </w:pPr>
      <w:r>
        <w:rPr>
          <w:bCs/>
          <w:b/>
          <w:sz w:val="21"/>
        </w:rPr>
        <w:t xml:space="preserve">Drafting note:</w:t>
      </w:r>
      <w:r>
        <w:rPr>
          <w:sz w:val="21"/>
        </w:rPr>
        <w:t xml:space="preserve"> </w:t>
      </w:r>
      <w:r>
        <w:rPr>
          <w:sz w:val="21"/>
        </w:rPr>
        <w:t xml:space="preserve">use section 74 only where the buyer’s own fraud or collusion is shown by specific facts in the SCN (</w:t>
      </w:r>
      <w:r>
        <w:rPr>
          <w:iCs/>
          <w:i/>
          <w:sz w:val="21"/>
        </w:rPr>
        <w:t xml:space="preserve">Safecon Lifescience</w:t>
      </w:r>
      <w:r>
        <w:rPr>
          <w:sz w:val="21"/>
        </w:rPr>
        <w:t xml:space="preserve">, Allahabad HC; Revenue’s SLP dismissed by the Supreme Court on 17.07.2026, persuasive). Credit not reversed under rule 37A by 30 November is payable with interest under section 50 (first proviso to rule 37A).</w:t>
      </w:r>
    </w:p>
    <w:p>
      <w:pPr>
        <w:pStyle w:val="FirstParagraph"/>
        <w:keepNext/>
        <w:spacing w:before="240" w:after="80"/>
        <w:pBdr>
          <w:bottom w:val="single" w:sz="6" w:space="1" w:color="B4C6E7"/>
        </w:pBdr>
      </w:pPr>
      <w:r>
        <w:rPr>
          <w:bCs/>
          <w:b/>
          <w:color w:val="1F3864"/>
          <w:sz w:val="25"/>
        </w:rPr>
        <w:t xml:space="preserve">3. Credit taken after the time limit (section 16(4)), and the relief in section 16(5) and 16(6)</w:t>
      </w:r>
    </w:p>
    <w:p>
      <w:pPr>
        <w:pStyle w:val="BodyText"/>
        <w:spacing w:before="0" w:after="120" w:line="269" w:lineRule="auto"/>
        <w:jc w:val="both"/>
      </w:pPr>
      <w:r>
        <w:t xml:space="preserve">3.1</w:t>
      </w:r>
      <w:r>
        <w:t xml:space="preserve"> </w:t>
      </w:r>
      <w:r>
        <w:rPr>
          <w:bCs/>
          <w:b/>
        </w:rPr>
        <w:t xml:space="preserve">What decides it.</w:t>
      </w:r>
      <w:r>
        <w:t xml:space="preserve"> </w:t>
      </w:r>
      <w:r>
        <w:t xml:space="preserve">Credit on an invoice or debit note cannot be taken after 30 November following the end of the financial year to which the invoice or debit note pertains, or after the annual return is furnished, whichever is earlier (section 16(4), as amended with effect from 01.10.2022; before that, the due date of the September return was the limit). For FY 2017-18 to 2020-21, credit taken in any return filed up to</w:t>
      </w:r>
      <w:r>
        <w:t xml:space="preserve"> </w:t>
      </w:r>
      <w:r>
        <w:rPr>
          <w:bCs/>
          <w:b/>
        </w:rPr>
        <w:t xml:space="preserve">30.11.2021</w:t>
      </w:r>
      <w:r>
        <w:t xml:space="preserve"> </w:t>
      </w:r>
      <w:r>
        <w:t xml:space="preserve">is valid (section 16(5)). Where registration was cancelled and later revoked, section 16(6) allows credit in the return filed within the periods it lays down, if the credit was not already time-barred on the date of cancellation. Circular No. 237/31/2024-GST explains both sub-sections.</w:t>
      </w:r>
      <w:r>
        <w:t xml:space="preserve"> </w:t>
      </w:r>
      <w:r>
        <w:rPr>
          <w:bCs/>
          <w:b/>
        </w:rPr>
        <w:t xml:space="preserve">Evidence:</w:t>
      </w:r>
      <w:r>
        <w:t xml:space="preserve"> </w:t>
      </w:r>
      <w:r>
        <w:t xml:space="preserve">invoice and debit note dates; the GSTR-3B in which each credit was taken and its</w:t>
      </w:r>
      <w:r>
        <w:t xml:space="preserve"> </w:t>
      </w:r>
      <w:r>
        <w:rPr>
          <w:bCs/>
          <w:b/>
        </w:rPr>
        <w:t xml:space="preserve">actual filing date</w:t>
      </w:r>
      <w:r>
        <w:t xml:space="preserve">; the annual return filing date; cancellation and revocation orders.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209"/>
        <w:gridCol w:w="4085"/>
        <w:gridCol w:w="2344"/>
      </w:tblGrid>
      <w:tr>
        <w:trPr>
          <w:tblHeader w:val="true"/>
          <w:tblHeader/>
        </w:trPr>
        <w:tc>
          <w:tcPr>
            <w:tcW w:type="dxa" w:w="3209"/>
            <w:shd w:val="clear" w:color="auto" w:fill="DCE6F1"/>
          </w:tcPr>
          <w:p>
            <w:pPr>
              <w:pStyle w:val="Compact"/>
              <w:spacing w:before="0" w:after="0" w:line="240" w:lineRule="auto"/>
              <w:jc w:val="left"/>
            </w:pPr>
            <w:r>
              <w:rPr>
                <w:b/>
                <w:color w:val="1F3864"/>
                <w:sz w:val="21"/>
              </w:rPr>
              <w:t xml:space="preserve">Defence usually raised</w:t>
            </w:r>
          </w:p>
        </w:tc>
        <w:tc>
          <w:tcPr>
            <w:tcW w:type="dxa" w:w="4085"/>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2344"/>
            <w:shd w:val="clear" w:color="auto" w:fill="DCE6F1"/>
          </w:tcPr>
          <w:p>
            <w:pPr>
              <w:pStyle w:val="Compact"/>
              <w:spacing w:before="0" w:after="0" w:line="240" w:lineRule="auto"/>
              <w:jc w:val="left"/>
            </w:pPr>
            <w:r>
              <w:rPr>
                <w:b/>
                <w:color w:val="1F3864"/>
                <w:sz w:val="21"/>
              </w:rPr>
              <w:t xml:space="preserve">Authority</w:t>
            </w:r>
          </w:p>
        </w:tc>
      </w:tr>
      <w:tr>
        <w:tc>
          <w:tcPr>
            <w:tcW w:type="dxa" w:w="3209"/>
          </w:tcPr>
          <w:p>
            <w:pPr>
              <w:pStyle w:val="Compact"/>
              <w:spacing w:before="0" w:after="0" w:line="240" w:lineRule="auto"/>
              <w:jc w:val="left"/>
            </w:pPr>
            <w:r>
              <w:rPr>
                <w:sz w:val="21"/>
              </w:rPr>
              <w:t xml:space="preserve">The year is FY 2017-18 to 2020-21 and the return was filed by 30.11.2021.</w:t>
            </w:r>
          </w:p>
        </w:tc>
        <w:tc>
          <w:tcPr>
            <w:tcW w:type="dxa" w:w="4085"/>
          </w:tcPr>
          <w:p>
            <w:pPr>
              <w:pStyle w:val="Compact"/>
              <w:spacing w:before="0" w:after="0" w:line="240" w:lineRule="auto"/>
              <w:jc w:val="left"/>
            </w:pPr>
            <w:r>
              <w:rPr>
                <w:bCs/>
                <w:b/>
                <w:sz w:val="21"/>
              </w:rPr>
              <w:t xml:space="preserve">Accept.</w:t>
            </w:r>
            <w:r>
              <w:rPr>
                <w:sz w:val="21"/>
              </w:rPr>
              <w:t xml:space="preserve"> </w:t>
            </w:r>
            <w:r>
              <w:rPr>
                <w:sz w:val="21"/>
              </w:rPr>
              <w:t xml:space="preserve">Drop the demand for those invoices.</w:t>
            </w:r>
          </w:p>
        </w:tc>
        <w:tc>
          <w:tcPr>
            <w:tcW w:type="dxa" w:w="2344"/>
          </w:tcPr>
          <w:p>
            <w:pPr>
              <w:pStyle w:val="Compact"/>
              <w:spacing w:before="0" w:after="0" w:line="240" w:lineRule="auto"/>
              <w:jc w:val="left"/>
            </w:pPr>
            <w:r>
              <w:rPr>
                <w:sz w:val="21"/>
              </w:rPr>
              <w:t xml:space="preserve">Section 16(5); Circular 237/31/2024-GST</w:t>
            </w:r>
          </w:p>
        </w:tc>
      </w:tr>
      <w:tr>
        <w:tc>
          <w:tcPr>
            <w:tcW w:type="dxa" w:w="3209"/>
          </w:tcPr>
          <w:p>
            <w:pPr>
              <w:pStyle w:val="Compact"/>
              <w:spacing w:before="0" w:after="0" w:line="240" w:lineRule="auto"/>
              <w:jc w:val="left"/>
            </w:pPr>
            <w:r>
              <w:rPr>
                <w:sz w:val="21"/>
              </w:rPr>
              <w:t xml:space="preserve">Registration was cancelled and later revoked.</w:t>
            </w:r>
          </w:p>
        </w:tc>
        <w:tc>
          <w:tcPr>
            <w:tcW w:type="dxa" w:w="4085"/>
          </w:tcPr>
          <w:p>
            <w:pPr>
              <w:pStyle w:val="Compact"/>
              <w:spacing w:before="0" w:after="0" w:line="240" w:lineRule="auto"/>
              <w:jc w:val="left"/>
            </w:pPr>
            <w:r>
              <w:rPr>
                <w:bCs/>
                <w:b/>
                <w:sz w:val="21"/>
              </w:rPr>
              <w:t xml:space="preserve">Accept</w:t>
            </w:r>
            <w:r>
              <w:rPr>
                <w:sz w:val="21"/>
              </w:rPr>
              <w:t xml:space="preserve"> </w:t>
            </w:r>
            <w:r>
              <w:rPr>
                <w:sz w:val="21"/>
              </w:rPr>
              <w:t xml:space="preserve">where section 16(6) conditions are met; reject where the credit was already time-barred on the date of cancellation.</w:t>
            </w:r>
          </w:p>
        </w:tc>
        <w:tc>
          <w:tcPr>
            <w:tcW w:type="dxa" w:w="2344"/>
          </w:tcPr>
          <w:p>
            <w:pPr>
              <w:pStyle w:val="Compact"/>
              <w:spacing w:before="0" w:after="0" w:line="240" w:lineRule="auto"/>
              <w:jc w:val="left"/>
            </w:pPr>
            <w:r>
              <w:rPr>
                <w:sz w:val="21"/>
              </w:rPr>
              <w:t xml:space="preserve">Section 16(6)</w:t>
            </w:r>
          </w:p>
        </w:tc>
      </w:tr>
      <w:tr>
        <w:tc>
          <w:tcPr>
            <w:tcW w:type="dxa" w:w="3209"/>
          </w:tcPr>
          <w:p>
            <w:pPr>
              <w:pStyle w:val="Compact"/>
              <w:spacing w:before="0" w:after="0" w:line="240" w:lineRule="auto"/>
              <w:jc w:val="left"/>
            </w:pPr>
            <w:r>
              <w:rPr>
                <w:sz w:val="21"/>
              </w:rPr>
              <w:t xml:space="preserve">The debit note is of a later year than the original invoice.</w:t>
            </w:r>
          </w:p>
        </w:tc>
        <w:tc>
          <w:tcPr>
            <w:tcW w:type="dxa" w:w="4085"/>
          </w:tcPr>
          <w:p>
            <w:pPr>
              <w:pStyle w:val="Compact"/>
              <w:spacing w:before="0" w:after="0" w:line="240" w:lineRule="auto"/>
              <w:jc w:val="left"/>
            </w:pPr>
            <w:r>
              <w:rPr>
                <w:sz w:val="21"/>
              </w:rPr>
              <w:t xml:space="preserve">Since 01.01.2021, the time limit runs from the year of the debit note itself.</w:t>
            </w:r>
          </w:p>
        </w:tc>
        <w:tc>
          <w:tcPr>
            <w:tcW w:type="dxa" w:w="2344"/>
          </w:tcPr>
          <w:p>
            <w:pPr>
              <w:pStyle w:val="Compact"/>
              <w:spacing w:before="0" w:after="0" w:line="240" w:lineRule="auto"/>
              <w:jc w:val="left"/>
            </w:pPr>
            <w:r>
              <w:rPr>
                <w:sz w:val="21"/>
              </w:rPr>
              <w:t xml:space="preserve">Section 16(4) (words</w:t>
            </w:r>
            <w:r>
              <w:rPr>
                <w:sz w:val="21"/>
              </w:rPr>
              <w:t xml:space="preserve"> </w:t>
            </w:r>
            <w:r>
              <w:rPr>
                <w:sz w:val="21"/>
              </w:rPr>
              <w:t xml:space="preserve">“</w:t>
            </w:r>
            <w:r>
              <w:rPr>
                <w:sz w:val="21"/>
              </w:rPr>
              <w:t xml:space="preserve">invoice relating to such</w:t>
            </w:r>
            <w:r>
              <w:rPr>
                <w:sz w:val="21"/>
              </w:rPr>
              <w:t xml:space="preserve">”</w:t>
            </w:r>
            <w:r>
              <w:rPr>
                <w:sz w:val="21"/>
              </w:rPr>
              <w:t xml:space="preserve"> </w:t>
            </w:r>
            <w:r>
              <w:rPr>
                <w:sz w:val="21"/>
              </w:rPr>
              <w:t xml:space="preserve">omitted from 01.01.2021)</w:t>
            </w:r>
          </w:p>
        </w:tc>
      </w:tr>
      <w:tr>
        <w:tc>
          <w:tcPr>
            <w:tcW w:type="dxa" w:w="3209"/>
          </w:tcPr>
          <w:p>
            <w:pPr>
              <w:pStyle w:val="Compact"/>
              <w:spacing w:before="0" w:after="0" w:line="240" w:lineRule="auto"/>
              <w:jc w:val="left"/>
            </w:pPr>
            <w:r>
              <w:rPr>
                <w:sz w:val="21"/>
              </w:rPr>
              <w:t xml:space="preserve">Section 16(4) is unconstitutional or harsh.</w:t>
            </w:r>
          </w:p>
        </w:tc>
        <w:tc>
          <w:tcPr>
            <w:tcW w:type="dxa" w:w="4085"/>
          </w:tcPr>
          <w:p>
            <w:pPr>
              <w:pStyle w:val="Compact"/>
              <w:spacing w:before="0" w:after="0" w:line="240" w:lineRule="auto"/>
              <w:jc w:val="left"/>
            </w:pPr>
            <w:r>
              <w:rPr>
                <w:sz w:val="21"/>
              </w:rPr>
              <w:t xml:space="preserve">The officer applies the Act as it stands; the provision has been upheld.</w:t>
            </w:r>
          </w:p>
        </w:tc>
        <w:tc>
          <w:tcPr>
            <w:tcW w:type="dxa" w:w="2344"/>
          </w:tcPr>
          <w:p>
            <w:pPr>
              <w:pStyle w:val="Compact"/>
              <w:spacing w:before="0" w:after="0" w:line="240" w:lineRule="auto"/>
              <w:jc w:val="left"/>
            </w:pPr>
            <w:r>
              <w:rPr>
                <w:iCs/>
                <w:i/>
                <w:sz w:val="21"/>
              </w:rPr>
              <w:t xml:space="preserve">Thirumalakonda Plywoods</w:t>
            </w:r>
            <w:r>
              <w:rPr>
                <w:sz w:val="21"/>
              </w:rPr>
              <w:t xml:space="preserve"> </w:t>
            </w:r>
            <w:r>
              <w:rPr>
                <w:sz w:val="21"/>
              </w:rPr>
              <w:t xml:space="preserve">(AP HC, 18.07.2023), persuasive</w:t>
            </w:r>
          </w:p>
        </w:tc>
      </w:tr>
      <w:tr>
        <w:tc>
          <w:tcPr>
            <w:tcW w:type="dxa" w:w="3209"/>
          </w:tcPr>
          <w:p>
            <w:pPr>
              <w:pStyle w:val="Compact"/>
              <w:spacing w:before="0" w:after="0" w:line="240" w:lineRule="auto"/>
              <w:jc w:val="left"/>
            </w:pPr>
            <w:r>
              <w:rPr>
                <w:sz w:val="21"/>
              </w:rPr>
              <w:t xml:space="preserve">A demand was already confirmed in an earlier order that section 16(5) or (6) now saves.</w:t>
            </w:r>
          </w:p>
        </w:tc>
        <w:tc>
          <w:tcPr>
            <w:tcW w:type="dxa" w:w="4085"/>
          </w:tcPr>
          <w:p>
            <w:pPr>
              <w:pStyle w:val="Compact"/>
              <w:spacing w:before="0" w:after="0" w:line="240" w:lineRule="auto"/>
              <w:jc w:val="left"/>
            </w:pPr>
            <w:r>
              <w:rPr>
                <w:sz w:val="21"/>
              </w:rPr>
              <w:t xml:space="preserve">The noticee’s remedy was the special rectification procedure under Notification No. 22/2024-Central Tax (section 148), within the time it allowed.</w:t>
            </w:r>
          </w:p>
        </w:tc>
        <w:tc>
          <w:tcPr>
            <w:tcW w:type="dxa" w:w="2344"/>
          </w:tcPr>
          <w:p>
            <w:pPr>
              <w:pStyle w:val="Compact"/>
              <w:spacing w:before="0" w:after="0" w:line="240" w:lineRule="auto"/>
              <w:jc w:val="left"/>
            </w:pPr>
            <w:r>
              <w:rPr>
                <w:sz w:val="21"/>
              </w:rPr>
              <w:t xml:space="preserve">Notification No. 22/2024-CT; Circular 237/31/2024-GST</w:t>
            </w:r>
          </w:p>
        </w:tc>
      </w:tr>
    </w:tbl>
    <w:p>
      <w:pPr>
        <w:pStyle w:val="BodyText"/>
        <w:spacing w:before="0" w:after="120" w:line="269" w:lineRule="auto"/>
        <w:jc w:val="both"/>
      </w:pPr>
      <w:r>
        <w:t xml:space="preserve">3.2</w:t>
      </w:r>
      <w:r>
        <w:t xml:space="preserve"> </w:t>
      </w:r>
      <w:r>
        <w:rPr>
          <w:bCs/>
          <w:b/>
        </w:rPr>
        <w:t xml:space="preserve">Model finding.</w:t>
      </w:r>
      <w:r>
        <w:t xml:space="preserve"> </w:t>
      </w:r>
      <w:r>
        <w:t xml:space="preserve">“</w:t>
      </w:r>
      <w:r>
        <w:t xml:space="preserve">The invoices in Table [ ] (₹[ ]) are dated between [ ] and [ ], in FY [ ]. Credit on them was taken in GSTR-3B for [month], filed on [date] (RUD-[ ]). The last date under section 16(4) was [30.11.[YYYY] / the date of the annual return, [date], whichever is earlier]. [Section 16(5) does not apply, because FY [ ] is not one of FY 2017-18 to 2020-21 / because the return was filed on [date], after 30.11.2021.] [Section 16(6) does not apply, because the noticee’s registration was not cancelled and revoked.] Credit of ₹[ ] is therefore barred and is confirmed for recovery. [For invoices of ₹[ ] of FY 2019-20 claimed in the return filed on [date before 30.11.2021], section 16(5) applies, and that part is dropped.]</w:t>
      </w:r>
      <w:r>
        <w:t xml:space="preserve">”</w:t>
      </w:r>
    </w:p>
    <w:p>
      <w:pPr>
        <w:pStyle w:val="BodyText"/>
        <w:spacing w:before="0" w:after="120" w:line="269" w:lineRule="auto"/>
        <w:jc w:val="both"/>
      </w:pPr>
      <w:r>
        <w:t xml:space="preserve">3.3</w:t>
      </w:r>
      <w:r>
        <w:t xml:space="preserve"> </w:t>
      </w:r>
      <w:r>
        <w:rPr>
          <w:bCs/>
          <w:b/>
        </w:rPr>
        <w:t xml:space="preserve">Drop the demand when:</w:t>
      </w:r>
      <w:r>
        <w:t xml:space="preserve"> </w:t>
      </w:r>
      <w:r>
        <w:t xml:space="preserve">section 16(5) or 16(6) applies; the credit was in fact taken in a return filed within time (check actual filing dates, not the month label); the invoice belongs to a later year than assumed.</w:t>
      </w:r>
    </w:p>
    <w:p>
      <w:pPr>
        <w:pStyle w:val="BlockText"/>
        <w:shd w:val="clear" w:color="auto" w:fill="E7E6E6"/>
      </w:pPr>
      <w:r>
        <w:rPr>
          <w:bCs/>
          <w:b/>
          <w:sz w:val="21"/>
        </w:rPr>
        <w:t xml:space="preserve">Drafting note:</w:t>
      </w:r>
      <w:r>
        <w:rPr>
          <w:sz w:val="21"/>
        </w:rPr>
        <w:t xml:space="preserve"> </w:t>
      </w:r>
      <w:r>
        <w:rPr>
          <w:sz w:val="21"/>
        </w:rPr>
        <w:t xml:space="preserve">every section 16(4) finding must contain the sentence on section 16(5) and 16(6), even if the noticee did not raise it. Interest under section 50 on tax paid late is a separate question from the credit and is not wiped out by section 16(5).</w:t>
      </w:r>
    </w:p>
    <w:p>
      <w:pPr>
        <w:pStyle w:val="FirstParagraph"/>
        <w:keepNext/>
        <w:spacing w:before="240" w:after="80"/>
        <w:pBdr>
          <w:bottom w:val="single" w:sz="6" w:space="1" w:color="B4C6E7"/>
        </w:pBdr>
      </w:pPr>
      <w:r>
        <w:rPr>
          <w:bCs/>
          <w:b/>
          <w:color w:val="1F3864"/>
          <w:sz w:val="25"/>
        </w:rPr>
        <w:t xml:space="preserve">4. Tax declared in GSTR-1 but not paid through GSTR-3B</w:t>
      </w:r>
    </w:p>
    <w:p>
      <w:pPr>
        <w:pStyle w:val="BodyText"/>
        <w:spacing w:before="0" w:after="120" w:line="269" w:lineRule="auto"/>
        <w:jc w:val="both"/>
      </w:pPr>
      <w:r>
        <w:t xml:space="preserve">4.1</w:t>
      </w:r>
      <w:r>
        <w:t xml:space="preserve"> </w:t>
      </w:r>
      <w:r>
        <w:rPr>
          <w:bCs/>
          <w:b/>
        </w:rPr>
        <w:t xml:space="preserve">What decides it.</w:t>
      </w:r>
      <w:r>
        <w:t xml:space="preserve"> </w:t>
      </w:r>
      <w:r>
        <w:t xml:space="preserve">Tax on outward supplies declared in GSTR-1 but not included in GSTR-3B is</w:t>
      </w:r>
      <w:r>
        <w:t xml:space="preserve"> </w:t>
      </w:r>
      <w:r>
        <w:t xml:space="preserve">“</w:t>
      </w:r>
      <w:r>
        <w:t xml:space="preserve">self-assessed tax</w:t>
      </w:r>
      <w:r>
        <w:t xml:space="preserve">”</w:t>
      </w:r>
      <w:r>
        <w:t xml:space="preserve"> </w:t>
      </w:r>
      <w:r>
        <w:t xml:space="preserve">(Explanation to section 75(12)) and can be recovered directly under section 79, after the intimation in DRC-01B (rule 88C) and DRC-01D (rule 142B). An SCN is needed only where the liability is disputed.</w:t>
      </w:r>
      <w:r>
        <w:t xml:space="preserve"> </w:t>
      </w:r>
      <w:r>
        <w:rPr>
          <w:bCs/>
          <w:b/>
        </w:rPr>
        <w:t xml:space="preserve">Evidence:</w:t>
      </w:r>
      <w:r>
        <w:t xml:space="preserve"> </w:t>
      </w:r>
      <w:r>
        <w:t xml:space="preserve">GSTR-1 and GSTR-1A month by month, including amendments and credit notes; GSTR-3B Table 3.1; GSTR-9 Tables 4, 9 and 10 to 11; e-invoice and e-way bill data for disputed invoices; the reply reconciliation.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461"/>
        <w:gridCol w:w="4674"/>
        <w:gridCol w:w="1502"/>
      </w:tblGrid>
      <w:tr>
        <w:trPr>
          <w:tblHeader w:val="true"/>
          <w:tblHeader/>
        </w:trPr>
        <w:tc>
          <w:tcPr>
            <w:tcW w:type="dxa" w:w="3461"/>
            <w:shd w:val="clear" w:color="auto" w:fill="DCE6F1"/>
          </w:tcPr>
          <w:p>
            <w:pPr>
              <w:pStyle w:val="Compact"/>
              <w:spacing w:before="0" w:after="0" w:line="240" w:lineRule="auto"/>
              <w:jc w:val="left"/>
            </w:pPr>
            <w:r>
              <w:rPr>
                <w:b/>
                <w:color w:val="1F3864"/>
                <w:sz w:val="21"/>
              </w:rPr>
              <w:t xml:space="preserve">Defence usually raised</w:t>
            </w:r>
          </w:p>
        </w:tc>
        <w:tc>
          <w:tcPr>
            <w:tcW w:type="dxa" w:w="4674"/>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502"/>
            <w:shd w:val="clear" w:color="auto" w:fill="DCE6F1"/>
          </w:tcPr>
          <w:p>
            <w:pPr>
              <w:pStyle w:val="Compact"/>
              <w:spacing w:before="0" w:after="0" w:line="240" w:lineRule="auto"/>
              <w:jc w:val="left"/>
            </w:pPr>
            <w:r>
              <w:rPr>
                <w:b/>
                <w:color w:val="1F3864"/>
                <w:sz w:val="21"/>
              </w:rPr>
              <w:t xml:space="preserve">Authority</w:t>
            </w:r>
          </w:p>
        </w:tc>
      </w:tr>
      <w:tr>
        <w:tc>
          <w:tcPr>
            <w:tcW w:type="dxa" w:w="3461"/>
          </w:tcPr>
          <w:p>
            <w:pPr>
              <w:pStyle w:val="Compact"/>
              <w:spacing w:before="0" w:after="0" w:line="240" w:lineRule="auto"/>
              <w:jc w:val="left"/>
            </w:pPr>
            <w:r>
              <w:rPr>
                <w:sz w:val="21"/>
              </w:rPr>
              <w:t xml:space="preserve">The tax was paid in a later month’s GSTR-3B or in GSTR-9 / DRC-03.</w:t>
            </w:r>
          </w:p>
        </w:tc>
        <w:tc>
          <w:tcPr>
            <w:tcW w:type="dxa" w:w="4674"/>
          </w:tcPr>
          <w:p>
            <w:pPr>
              <w:pStyle w:val="Compact"/>
              <w:spacing w:before="0" w:after="0" w:line="240" w:lineRule="auto"/>
              <w:jc w:val="left"/>
            </w:pPr>
            <w:r>
              <w:rPr>
                <w:bCs/>
                <w:b/>
                <w:sz w:val="21"/>
              </w:rPr>
              <w:t xml:space="preserve">Accept</w:t>
            </w:r>
            <w:r>
              <w:rPr>
                <w:sz w:val="21"/>
              </w:rPr>
              <w:t xml:space="preserve"> </w:t>
            </w:r>
            <w:r>
              <w:rPr>
                <w:sz w:val="21"/>
              </w:rPr>
              <w:t xml:space="preserve">the tax to the extent verified; interest for the delay remains (module 10).</w:t>
            </w:r>
          </w:p>
        </w:tc>
        <w:tc>
          <w:tcPr>
            <w:tcW w:type="dxa" w:w="1502"/>
          </w:tcPr>
          <w:p>
            <w:pPr>
              <w:pStyle w:val="Compact"/>
              <w:spacing w:before="0" w:after="0" w:line="240" w:lineRule="auto"/>
              <w:jc w:val="left"/>
            </w:pPr>
            <w:r>
              <w:rPr>
                <w:sz w:val="21"/>
              </w:rPr>
              <w:t xml:space="preserve">Section 50(1)</w:t>
            </w:r>
          </w:p>
        </w:tc>
      </w:tr>
      <w:tr>
        <w:tc>
          <w:tcPr>
            <w:tcW w:type="dxa" w:w="3461"/>
          </w:tcPr>
          <w:p>
            <w:pPr>
              <w:pStyle w:val="Compact"/>
              <w:spacing w:before="0" w:after="0" w:line="240" w:lineRule="auto"/>
              <w:jc w:val="left"/>
            </w:pPr>
            <w:r>
              <w:rPr>
                <w:sz w:val="21"/>
              </w:rPr>
              <w:t xml:space="preserve">The GSTR-1 entries were duplicated, later amended, or reduced by credit notes.</w:t>
            </w:r>
          </w:p>
        </w:tc>
        <w:tc>
          <w:tcPr>
            <w:tcW w:type="dxa" w:w="4674"/>
          </w:tcPr>
          <w:p>
            <w:pPr>
              <w:pStyle w:val="Compact"/>
              <w:spacing w:before="0" w:after="0" w:line="240" w:lineRule="auto"/>
              <w:jc w:val="left"/>
            </w:pPr>
            <w:r>
              <w:rPr>
                <w:bCs/>
                <w:b/>
                <w:sz w:val="21"/>
              </w:rPr>
              <w:t xml:space="preserve">Accept</w:t>
            </w:r>
            <w:r>
              <w:rPr>
                <w:sz w:val="21"/>
              </w:rPr>
              <w:t xml:space="preserve"> </w:t>
            </w:r>
            <w:r>
              <w:rPr>
                <w:sz w:val="21"/>
              </w:rPr>
              <w:t xml:space="preserve">where the amendment or credit note is on the portal and meets section 34.</w:t>
            </w:r>
          </w:p>
        </w:tc>
        <w:tc>
          <w:tcPr>
            <w:tcW w:type="dxa" w:w="1502"/>
          </w:tcPr>
          <w:p>
            <w:pPr>
              <w:pStyle w:val="Compact"/>
              <w:spacing w:before="0" w:after="0" w:line="240" w:lineRule="auto"/>
              <w:jc w:val="left"/>
            </w:pPr>
            <w:r>
              <w:rPr>
                <w:sz w:val="21"/>
              </w:rPr>
              <w:t xml:space="preserve">Sections 34, 37</w:t>
            </w:r>
          </w:p>
        </w:tc>
      </w:tr>
      <w:tr>
        <w:tc>
          <w:tcPr>
            <w:tcW w:type="dxa" w:w="3461"/>
          </w:tcPr>
          <w:p>
            <w:pPr>
              <w:pStyle w:val="Compact"/>
              <w:spacing w:before="0" w:after="0" w:line="240" w:lineRule="auto"/>
              <w:jc w:val="left"/>
            </w:pPr>
            <w:r>
              <w:rPr>
                <w:sz w:val="21"/>
              </w:rPr>
              <w:t xml:space="preserve">Tax was paid as IGST instead of CGST and SGST, or the reverse.</w:t>
            </w:r>
          </w:p>
        </w:tc>
        <w:tc>
          <w:tcPr>
            <w:tcW w:type="dxa" w:w="4674"/>
          </w:tcPr>
          <w:p>
            <w:pPr>
              <w:pStyle w:val="Compact"/>
              <w:spacing w:before="0" w:after="0" w:line="240" w:lineRule="auto"/>
              <w:jc w:val="left"/>
            </w:pPr>
            <w:r>
              <w:rPr>
                <w:sz w:val="21"/>
              </w:rPr>
              <w:t xml:space="preserve">Give credit for the tax paid under the wrong head; the noticee’s remedy for the wrong head is section 77 refund; no interest on CGST and SGST where IGST was paid (section 77(2)).</w:t>
            </w:r>
          </w:p>
        </w:tc>
        <w:tc>
          <w:tcPr>
            <w:tcW w:type="dxa" w:w="1502"/>
          </w:tcPr>
          <w:p>
            <w:pPr>
              <w:pStyle w:val="Compact"/>
              <w:spacing w:before="0" w:after="0" w:line="240" w:lineRule="auto"/>
              <w:jc w:val="left"/>
            </w:pPr>
            <w:r>
              <w:rPr>
                <w:sz w:val="21"/>
              </w:rPr>
              <w:t xml:space="preserve">Section 77;</w:t>
            </w:r>
            <w:r>
              <w:rPr>
                <w:sz w:val="21"/>
              </w:rPr>
              <w:t xml:space="preserve"> </w:t>
            </w:r>
            <w:r>
              <w:rPr>
                <w:iCs/>
                <w:i/>
                <w:sz w:val="21"/>
              </w:rPr>
              <w:t xml:space="preserve">GR Tech Services</w:t>
            </w:r>
            <w:r>
              <w:rPr>
                <w:sz w:val="21"/>
              </w:rPr>
              <w:t xml:space="preserve"> </w:t>
            </w:r>
            <w:r>
              <w:rPr>
                <w:sz w:val="21"/>
              </w:rPr>
              <w:t xml:space="preserve">(Karnataka HC, 2026), persuasive</w:t>
            </w:r>
          </w:p>
        </w:tc>
      </w:tr>
      <w:tr>
        <w:tc>
          <w:tcPr>
            <w:tcW w:type="dxa" w:w="3461"/>
          </w:tcPr>
          <w:p>
            <w:pPr>
              <w:pStyle w:val="Compact"/>
              <w:spacing w:before="0" w:after="0" w:line="240" w:lineRule="auto"/>
              <w:jc w:val="left"/>
            </w:pPr>
            <w:r>
              <w:rPr>
                <w:sz w:val="21"/>
              </w:rPr>
              <w:t xml:space="preserve">Advances or cancelled e-invoices inflate GSTR-1.</w:t>
            </w:r>
          </w:p>
        </w:tc>
        <w:tc>
          <w:tcPr>
            <w:tcW w:type="dxa" w:w="4674"/>
          </w:tcPr>
          <w:p>
            <w:pPr>
              <w:pStyle w:val="Compact"/>
              <w:spacing w:before="0" w:after="0" w:line="240" w:lineRule="auto"/>
              <w:jc w:val="left"/>
            </w:pPr>
            <w:r>
              <w:rPr>
                <w:sz w:val="21"/>
              </w:rPr>
              <w:t xml:space="preserve">Accept where the record proves it.</w:t>
            </w:r>
          </w:p>
        </w:tc>
        <w:tc>
          <w:tcPr>
            <w:tcW w:type="dxa" w:w="1502"/>
          </w:tcPr>
          <w:p>
            <w:pPr>
              <w:pStyle w:val="Compact"/>
              <w:spacing w:before="0" w:after="0" w:line="240" w:lineRule="auto"/>
              <w:jc w:val="left"/>
            </w:pPr>
            <w:r>
              <w:rPr>
                <w:sz w:val="21"/>
              </w:rPr>
              <w:t xml:space="preserve">Section 37</w:t>
            </w:r>
          </w:p>
        </w:tc>
      </w:tr>
      <w:tr>
        <w:tc>
          <w:tcPr>
            <w:tcW w:type="dxa" w:w="3461"/>
          </w:tcPr>
          <w:p>
            <w:pPr>
              <w:pStyle w:val="Compact"/>
              <w:spacing w:before="0" w:after="0" w:line="240" w:lineRule="auto"/>
              <w:jc w:val="left"/>
            </w:pPr>
            <w:r>
              <w:rPr>
                <w:sz w:val="21"/>
              </w:rPr>
              <w:t xml:space="preserve">Section 74 invoked on the mismatch.</w:t>
            </w:r>
          </w:p>
        </w:tc>
        <w:tc>
          <w:tcPr>
            <w:tcW w:type="dxa" w:w="4674"/>
          </w:tcPr>
          <w:p>
            <w:pPr>
              <w:pStyle w:val="Compact"/>
              <w:spacing w:before="0" w:after="0" w:line="240" w:lineRule="auto"/>
              <w:jc w:val="left"/>
            </w:pPr>
            <w:r>
              <w:rPr>
                <w:sz w:val="21"/>
              </w:rPr>
              <w:t xml:space="preserve">A mismatch alone is not suppression.</w:t>
            </w:r>
          </w:p>
        </w:tc>
        <w:tc>
          <w:tcPr>
            <w:tcW w:type="dxa" w:w="1502"/>
          </w:tcPr>
          <w:p>
            <w:pPr>
              <w:pStyle w:val="Compact"/>
              <w:spacing w:before="0" w:after="0" w:line="240" w:lineRule="auto"/>
              <w:jc w:val="left"/>
            </w:pPr>
            <w:r>
              <w:rPr>
                <w:iCs/>
                <w:i/>
                <w:sz w:val="21"/>
              </w:rPr>
              <w:t xml:space="preserve">Sterling &amp; Wilson</w:t>
            </w:r>
            <w:r>
              <w:rPr>
                <w:sz w:val="21"/>
              </w:rPr>
              <w:t xml:space="preserve">, GSTAT PB</w:t>
            </w:r>
          </w:p>
        </w:tc>
      </w:tr>
    </w:tbl>
    <w:p>
      <w:pPr>
        <w:pStyle w:val="BodyText"/>
        <w:spacing w:before="0" w:after="120" w:line="269" w:lineRule="auto"/>
        <w:jc w:val="both"/>
      </w:pPr>
      <w:r>
        <w:t xml:space="preserve">4.2</w:t>
      </w:r>
      <w:r>
        <w:t xml:space="preserve"> </w:t>
      </w:r>
      <w:r>
        <w:rPr>
          <w:bCs/>
          <w:b/>
        </w:rPr>
        <w:t xml:space="preserve">Model finding.</w:t>
      </w:r>
      <w:r>
        <w:t xml:space="preserve"> </w:t>
      </w:r>
      <w:r>
        <w:t xml:space="preserve">“</w:t>
      </w:r>
      <w:r>
        <w:t xml:space="preserve">GSTR-1 for [months] declares outward tax of ₹[ ] (RUD-[ ]); GSTR-3B for the same months discharges ₹[ ]. The noticee’s reconciliation (D-[ ]) explains ₹[ ] by credit notes Nos. [ ] reported in GSTR-1 for [month] and ₹[ ] by tax paid through DRC-03 No. [ ] dated [ ]. I have verified both on the portal and accept them. The balance of ₹[ ] is tax declared by the noticee itself in GSTR-1 and not paid; no explanation is offered for it. It is confirmed. As this is self-assessed tax not paid within thirty days of its due date, penalty under section 73(9) is payable even though the noticee paid part of it after the SCN (section 73(11)).</w:t>
      </w:r>
      <w:r>
        <w:t xml:space="preserve">”</w:t>
      </w:r>
    </w:p>
    <w:p>
      <w:pPr>
        <w:pStyle w:val="BodyText"/>
        <w:spacing w:before="0" w:after="120" w:line="269" w:lineRule="auto"/>
        <w:jc w:val="both"/>
      </w:pPr>
      <w:r>
        <w:t xml:space="preserve">4.3</w:t>
      </w:r>
      <w:r>
        <w:t xml:space="preserve"> </w:t>
      </w:r>
      <w:r>
        <w:rPr>
          <w:bCs/>
          <w:b/>
        </w:rPr>
        <w:t xml:space="preserve">Drop the demand when:</w:t>
      </w:r>
      <w:r>
        <w:t xml:space="preserve"> </w:t>
      </w:r>
      <w:r>
        <w:t xml:space="preserve">the reconciliation shows the tax was paid, reversed by valid credit notes or paid under another head; the GSTR-1 figure includes non-taxable or duplicate entries proved from the portal.</w:t>
      </w:r>
    </w:p>
    <w:p>
      <w:pPr>
        <w:pStyle w:val="BodyText"/>
        <w:keepNext/>
        <w:spacing w:before="240" w:after="80"/>
        <w:pBdr>
          <w:bottom w:val="single" w:sz="6" w:space="1" w:color="B4C6E7"/>
        </w:pBdr>
      </w:pPr>
      <w:r>
        <w:rPr>
          <w:bCs/>
          <w:b/>
          <w:color w:val="1F3864"/>
          <w:sz w:val="25"/>
        </w:rPr>
        <w:t xml:space="preserve">5. Tax payable under reverse charge (section 9(3) and 9(4))</w:t>
      </w:r>
    </w:p>
    <w:p>
      <w:pPr>
        <w:pStyle w:val="BodyText"/>
        <w:spacing w:before="0" w:after="120" w:line="269" w:lineRule="auto"/>
        <w:jc w:val="both"/>
      </w:pPr>
      <w:r>
        <w:t xml:space="preserve">5.1</w:t>
      </w:r>
      <w:r>
        <w:t xml:space="preserve"> </w:t>
      </w:r>
      <w:r>
        <w:rPr>
          <w:bCs/>
          <w:b/>
        </w:rPr>
        <w:t xml:space="preserve">What decides it.</w:t>
      </w:r>
      <w:r>
        <w:t xml:space="preserve"> </w:t>
      </w:r>
      <w:r>
        <w:t xml:space="preserve">Tax on supplies notified under section 9(3) (Notification No. 13/2017-Central Tax (Rate) for services; No. 4/2017-Central Tax (Rate) for goods) or under section 9(4) (Notification No. 7/2019-Central Tax (Rate), for the real estate sector) is paid by the recipient. It cannot be paid from the electronic credit ledger, because</w:t>
      </w:r>
      <w:r>
        <w:t xml:space="preserve"> </w:t>
      </w:r>
      <w:r>
        <w:t xml:space="preserve">“</w:t>
      </w:r>
      <w:r>
        <w:t xml:space="preserve">output tax</w:t>
      </w:r>
      <w:r>
        <w:t xml:space="preserve">”</w:t>
      </w:r>
      <w:r>
        <w:t xml:space="preserve"> </w:t>
      </w:r>
      <w:r>
        <w:t xml:space="preserve">excludes tax payable on reverse charge (section 2(82); section 49(4)). The recipient issues the invoice under section 31(3)(f) for supplies from unregistered persons.</w:t>
      </w:r>
      <w:r>
        <w:t xml:space="preserve"> </w:t>
      </w:r>
      <w:r>
        <w:rPr>
          <w:bCs/>
          <w:b/>
        </w:rPr>
        <w:t xml:space="preserve">Evidence:</w:t>
      </w:r>
      <w:r>
        <w:t xml:space="preserve"> </w:t>
      </w:r>
      <w:r>
        <w:t xml:space="preserve">the entry in the notification and its date of effect; the supplier’s status (registered or not, body corporate or not, where the entry depends on it); the ledger accounts for the expense; the GSTR-3B Table 3.1(d) and 4A(3) entries; cash ledger payments.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889"/>
        <w:gridCol w:w="4522"/>
        <w:gridCol w:w="1227"/>
      </w:tblGrid>
      <w:tr>
        <w:trPr>
          <w:tblHeader w:val="true"/>
          <w:tblHeader/>
        </w:trPr>
        <w:tc>
          <w:tcPr>
            <w:tcW w:type="dxa" w:w="3889"/>
            <w:shd w:val="clear" w:color="auto" w:fill="DCE6F1"/>
          </w:tcPr>
          <w:p>
            <w:pPr>
              <w:pStyle w:val="Compact"/>
              <w:spacing w:before="0" w:after="0" w:line="240" w:lineRule="auto"/>
              <w:jc w:val="left"/>
            </w:pPr>
            <w:r>
              <w:rPr>
                <w:b/>
                <w:color w:val="1F3864"/>
                <w:sz w:val="21"/>
              </w:rPr>
              <w:t xml:space="preserve">Defence usually raised</w:t>
            </w:r>
          </w:p>
        </w:tc>
        <w:tc>
          <w:tcPr>
            <w:tcW w:type="dxa" w:w="4522"/>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227"/>
            <w:shd w:val="clear" w:color="auto" w:fill="DCE6F1"/>
          </w:tcPr>
          <w:p>
            <w:pPr>
              <w:pStyle w:val="Compact"/>
              <w:spacing w:before="0" w:after="0" w:line="240" w:lineRule="auto"/>
              <w:jc w:val="left"/>
            </w:pPr>
            <w:r>
              <w:rPr>
                <w:b/>
                <w:color w:val="1F3864"/>
                <w:sz w:val="21"/>
              </w:rPr>
              <w:t xml:space="preserve">Authority</w:t>
            </w:r>
          </w:p>
        </w:tc>
      </w:tr>
      <w:tr>
        <w:tc>
          <w:tcPr>
            <w:tcW w:type="dxa" w:w="3889"/>
          </w:tcPr>
          <w:p>
            <w:pPr>
              <w:pStyle w:val="Compact"/>
              <w:spacing w:before="0" w:after="0" w:line="240" w:lineRule="auto"/>
              <w:jc w:val="left"/>
            </w:pPr>
            <w:r>
              <w:rPr>
                <w:sz w:val="21"/>
              </w:rPr>
              <w:t xml:space="preserve">The service is not covered by the notification (wrong category, or the condition of the entry is not met).</w:t>
            </w:r>
          </w:p>
        </w:tc>
        <w:tc>
          <w:tcPr>
            <w:tcW w:type="dxa" w:w="4522"/>
          </w:tcPr>
          <w:p>
            <w:pPr>
              <w:pStyle w:val="Compact"/>
              <w:spacing w:before="0" w:after="0" w:line="240" w:lineRule="auto"/>
              <w:jc w:val="left"/>
            </w:pPr>
            <w:r>
              <w:rPr>
                <w:sz w:val="21"/>
              </w:rPr>
              <w:t xml:space="preserve">Decide on the entry’s words and its date of effect.</w:t>
            </w:r>
            <w:r>
              <w:rPr>
                <w:sz w:val="21"/>
              </w:rPr>
              <w:t xml:space="preserve"> </w:t>
            </w:r>
            <w:r>
              <w:rPr>
                <w:bCs/>
                <w:b/>
                <w:sz w:val="21"/>
              </w:rPr>
              <w:t xml:space="preserve">Accept</w:t>
            </w:r>
            <w:r>
              <w:rPr>
                <w:sz w:val="21"/>
              </w:rPr>
              <w:t xml:space="preserve"> </w:t>
            </w:r>
            <w:r>
              <w:rPr>
                <w:sz w:val="21"/>
              </w:rPr>
              <w:t xml:space="preserve">where the condition fails (for example, supplier or recipient not of the category named).</w:t>
            </w:r>
          </w:p>
        </w:tc>
        <w:tc>
          <w:tcPr>
            <w:tcW w:type="dxa" w:w="1227"/>
          </w:tcPr>
          <w:p>
            <w:pPr>
              <w:pStyle w:val="Compact"/>
              <w:spacing w:before="0" w:after="0" w:line="240" w:lineRule="auto"/>
              <w:jc w:val="left"/>
            </w:pPr>
            <w:r>
              <w:rPr>
                <w:sz w:val="21"/>
              </w:rPr>
              <w:t xml:space="preserve">Section 9(3); the notification entry</w:t>
            </w:r>
          </w:p>
        </w:tc>
      </w:tr>
      <w:tr>
        <w:tc>
          <w:tcPr>
            <w:tcW w:type="dxa" w:w="3889"/>
          </w:tcPr>
          <w:p>
            <w:pPr>
              <w:pStyle w:val="Compact"/>
              <w:spacing w:before="0" w:after="0" w:line="240" w:lineRule="auto"/>
              <w:jc w:val="left"/>
            </w:pPr>
            <w:r>
              <w:rPr>
                <w:sz w:val="21"/>
              </w:rPr>
              <w:t xml:space="preserve">The supplier charged GST under forward charge and paid it.</w:t>
            </w:r>
          </w:p>
        </w:tc>
        <w:tc>
          <w:tcPr>
            <w:tcW w:type="dxa" w:w="4522"/>
          </w:tcPr>
          <w:p>
            <w:pPr>
              <w:pStyle w:val="Compact"/>
              <w:spacing w:before="0" w:after="0" w:line="240" w:lineRule="auto"/>
              <w:jc w:val="left"/>
            </w:pPr>
            <w:r>
              <w:rPr>
                <w:sz w:val="21"/>
              </w:rPr>
              <w:t xml:space="preserve">The liability under section 9(3) is on the recipient; the supplier’s payment does not discharge it. Record the payment, and take it into account on intent (no suppression where the tax reached the Government).</w:t>
            </w:r>
          </w:p>
        </w:tc>
        <w:tc>
          <w:tcPr>
            <w:tcW w:type="dxa" w:w="1227"/>
          </w:tcPr>
          <w:p>
            <w:pPr>
              <w:pStyle w:val="Compact"/>
              <w:spacing w:before="0" w:after="0" w:line="240" w:lineRule="auto"/>
              <w:jc w:val="left"/>
            </w:pPr>
            <w:r>
              <w:rPr>
                <w:sz w:val="21"/>
              </w:rPr>
              <w:t xml:space="preserve">Section 9(3)</w:t>
            </w:r>
          </w:p>
        </w:tc>
      </w:tr>
      <w:tr>
        <w:tc>
          <w:tcPr>
            <w:tcW w:type="dxa" w:w="3889"/>
          </w:tcPr>
          <w:p>
            <w:pPr>
              <w:pStyle w:val="Compact"/>
              <w:spacing w:before="0" w:after="0" w:line="240" w:lineRule="auto"/>
              <w:jc w:val="left"/>
            </w:pPr>
            <w:r>
              <w:rPr>
                <w:sz w:val="21"/>
              </w:rPr>
              <w:t xml:space="preserve">The demand is revenue-neutral, because the tax paid would be available as credit.</w:t>
            </w:r>
          </w:p>
        </w:tc>
        <w:tc>
          <w:tcPr>
            <w:tcW w:type="dxa" w:w="4522"/>
          </w:tcPr>
          <w:p>
            <w:pPr>
              <w:pStyle w:val="Compact"/>
              <w:spacing w:before="0" w:after="0" w:line="240" w:lineRule="auto"/>
              <w:jc w:val="left"/>
            </w:pPr>
            <w:r>
              <w:rPr>
                <w:sz w:val="21"/>
              </w:rPr>
              <w:t xml:space="preserve">Not an answer to the tax: it must be paid in cash, and credit follows payment. It is relevant to whether intent to evade exists for section 74, and usually shows it does not.</w:t>
            </w:r>
          </w:p>
        </w:tc>
        <w:tc>
          <w:tcPr>
            <w:tcW w:type="dxa" w:w="1227"/>
          </w:tcPr>
          <w:p>
            <w:pPr>
              <w:pStyle w:val="Compact"/>
              <w:spacing w:before="0" w:after="0" w:line="240" w:lineRule="auto"/>
              <w:jc w:val="left"/>
            </w:pPr>
            <w:r>
              <w:rPr>
                <w:sz w:val="21"/>
              </w:rPr>
              <w:t xml:space="preserve">Sections 2(82), 49(4), 16</w:t>
            </w:r>
          </w:p>
        </w:tc>
      </w:tr>
      <w:tr>
        <w:tc>
          <w:tcPr>
            <w:tcW w:type="dxa" w:w="3889"/>
          </w:tcPr>
          <w:p>
            <w:pPr>
              <w:pStyle w:val="Compact"/>
              <w:spacing w:before="0" w:after="0" w:line="240" w:lineRule="auto"/>
              <w:jc w:val="left"/>
            </w:pPr>
            <w:r>
              <w:rPr>
                <w:sz w:val="21"/>
              </w:rPr>
              <w:t xml:space="preserve">The tax was paid in a later month.</w:t>
            </w:r>
          </w:p>
        </w:tc>
        <w:tc>
          <w:tcPr>
            <w:tcW w:type="dxa" w:w="4522"/>
          </w:tcPr>
          <w:p>
            <w:pPr>
              <w:pStyle w:val="Compact"/>
              <w:spacing w:before="0" w:after="0" w:line="240" w:lineRule="auto"/>
              <w:jc w:val="left"/>
            </w:pPr>
            <w:r>
              <w:rPr>
                <w:sz w:val="21"/>
              </w:rPr>
              <w:t xml:space="preserve">Accept the tax; interest under section 50(1) for the delay remains.</w:t>
            </w:r>
          </w:p>
        </w:tc>
        <w:tc>
          <w:tcPr>
            <w:tcW w:type="dxa" w:w="1227"/>
          </w:tcPr>
          <w:p>
            <w:pPr>
              <w:pStyle w:val="Compact"/>
              <w:spacing w:before="0" w:after="0" w:line="240" w:lineRule="auto"/>
              <w:jc w:val="left"/>
            </w:pPr>
            <w:r>
              <w:rPr>
                <w:sz w:val="21"/>
              </w:rPr>
              <w:t xml:space="preserve">Section 50(1)</w:t>
            </w:r>
          </w:p>
        </w:tc>
      </w:tr>
    </w:tbl>
    <w:p>
      <w:pPr>
        <w:pStyle w:val="BodyText"/>
        <w:spacing w:before="0" w:after="120" w:line="269" w:lineRule="auto"/>
        <w:jc w:val="both"/>
      </w:pPr>
      <w:r>
        <w:t xml:space="preserve">5.2</w:t>
      </w:r>
      <w:r>
        <w:t xml:space="preserve"> </w:t>
      </w:r>
      <w:r>
        <w:rPr>
          <w:bCs/>
          <w:b/>
        </w:rPr>
        <w:t xml:space="preserve">Model finding.</w:t>
      </w:r>
      <w:r>
        <w:t xml:space="preserve"> </w:t>
      </w:r>
      <w:r>
        <w:t xml:space="preserve">“</w:t>
      </w:r>
      <w:r>
        <w:t xml:space="preserve">The noticee’s ledger (RUD-[ ]) shows payments of ₹[ ] in FY [ ] to [category of supplier] for [service]. Entry [ ] of Notification No. 13/2017-Central Tax (Rate) makes the recipient liable for that service when [condition]. The noticee does not dispute the service (R-[ ]) but says that [ ]. [Answer.] Tax of ₹[ ] under reverse charge was payable in cash and was not paid. It is confirmed. As the noticee would have been entitled to credit of this tax on payment, and the expense was recorded in its books, I do not find intent to evade; [the demand is under section 73 / the penalty is under section 74A(5)(i)].</w:t>
      </w:r>
      <w:r>
        <w:t xml:space="preserve">”</w:t>
      </w:r>
    </w:p>
    <w:p>
      <w:pPr>
        <w:pStyle w:val="BodyText"/>
        <w:spacing w:before="0" w:after="120" w:line="269" w:lineRule="auto"/>
        <w:jc w:val="both"/>
      </w:pPr>
      <w:r>
        <w:t xml:space="preserve">5.3</w:t>
      </w:r>
      <w:r>
        <w:t xml:space="preserve"> </w:t>
      </w:r>
      <w:r>
        <w:rPr>
          <w:bCs/>
          <w:b/>
        </w:rPr>
        <w:t xml:space="preserve">Drop the demand when:</w:t>
      </w:r>
      <w:r>
        <w:t xml:space="preserve"> </w:t>
      </w:r>
      <w:r>
        <w:t xml:space="preserve">the entry does not cover the supply or its condition is not met; the tax was paid (late payment leaves only interest); the period is before the entry took effect.</w:t>
      </w:r>
    </w:p>
    <w:p>
      <w:pPr>
        <w:pStyle w:val="BodyText"/>
        <w:keepNext/>
        <w:spacing w:before="240" w:after="80"/>
        <w:pBdr>
          <w:bottom w:val="single" w:sz="6" w:space="1" w:color="B4C6E7"/>
        </w:pBdr>
      </w:pPr>
      <w:r>
        <w:rPr>
          <w:bCs/>
          <w:b/>
          <w:color w:val="1F3864"/>
          <w:sz w:val="25"/>
        </w:rPr>
        <w:t xml:space="preserve">6. Fake invoices or non-existent supplier (sections 16(2)(b), 74 and 122)</w:t>
      </w:r>
    </w:p>
    <w:p>
      <w:pPr>
        <w:pStyle w:val="BodyText"/>
        <w:spacing w:before="0" w:after="120" w:line="269" w:lineRule="auto"/>
        <w:jc w:val="both"/>
      </w:pPr>
      <w:r>
        <w:t xml:space="preserve">6.1</w:t>
      </w:r>
      <w:r>
        <w:t xml:space="preserve"> </w:t>
      </w:r>
      <w:r>
        <w:rPr>
          <w:bCs/>
          <w:b/>
        </w:rPr>
        <w:t xml:space="preserve">What decides it.</w:t>
      </w:r>
      <w:r>
        <w:t xml:space="preserve"> </w:t>
      </w:r>
      <w:r>
        <w:t xml:space="preserve">The burden of proving eligibility for credit is on the person claiming it (section 155). A dealer must prove the genuineness of the transaction and the actual movement of goods; invoices and bank payments alone are not enough (</w:t>
      </w:r>
      <w:r>
        <w:rPr>
          <w:iCs/>
          <w:i/>
        </w:rPr>
        <w:t xml:space="preserve">State of Karnataka v. Ecom Gill Coffee Trading</w:t>
      </w:r>
      <w:r>
        <w:t xml:space="preserve">, Supreme Court, 13.03.2023, CA 230/2023). Circular No. 171/03/2022-GST sets the provisions: the recipient who availed</w:t>
      </w:r>
      <w:r>
        <w:t xml:space="preserve"> </w:t>
      </w:r>
      <w:r>
        <w:rPr>
          <w:bCs/>
          <w:b/>
        </w:rPr>
        <w:t xml:space="preserve">and utilised</w:t>
      </w:r>
      <w:r>
        <w:t xml:space="preserve"> </w:t>
      </w:r>
      <w:r>
        <w:t xml:space="preserve">credit on invoices without supply pays tax, interest and penalty under section 74, with no separate section 122 penalty for the same act; the issuer of invoices without supply is liable to penalty under section 122(1)(ii), not to a section 74 demand; a person who retains the benefit of such transactions and at whose instance they are done is liable under section 122(1A) (acts from 01.01.2021).</w:t>
      </w:r>
      <w:r>
        <w:t xml:space="preserve"> </w:t>
      </w:r>
      <w:r>
        <w:rPr>
          <w:bCs/>
          <w:b/>
        </w:rPr>
        <w:t xml:space="preserve">Evidence, supplier by supplier:</w:t>
      </w:r>
      <w:r>
        <w:t xml:space="preserve"> </w:t>
      </w:r>
      <w:r>
        <w:t xml:space="preserve">registration status on each invoice date; inspection report with date, officer and findings; e-way bills, vehicle, toll or RFID data; transport and freight documents; weighbridge records; stock and production records; payment trail, including round-tripping; statements, and whether cross-examination was sought and decided.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403"/>
        <w:gridCol w:w="4506"/>
        <w:gridCol w:w="1729"/>
      </w:tblGrid>
      <w:tr>
        <w:trPr>
          <w:tblHeader w:val="true"/>
          <w:tblHeader/>
        </w:trPr>
        <w:tc>
          <w:tcPr>
            <w:tcW w:type="dxa" w:w="3403"/>
            <w:shd w:val="clear" w:color="auto" w:fill="DCE6F1"/>
          </w:tcPr>
          <w:p>
            <w:pPr>
              <w:pStyle w:val="Compact"/>
              <w:spacing w:before="0" w:after="0" w:line="240" w:lineRule="auto"/>
              <w:jc w:val="left"/>
            </w:pPr>
            <w:r>
              <w:rPr>
                <w:b/>
                <w:color w:val="1F3864"/>
                <w:sz w:val="21"/>
              </w:rPr>
              <w:t xml:space="preserve">Defence usually raised</w:t>
            </w:r>
          </w:p>
        </w:tc>
        <w:tc>
          <w:tcPr>
            <w:tcW w:type="dxa" w:w="4506"/>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729"/>
            <w:shd w:val="clear" w:color="auto" w:fill="DCE6F1"/>
          </w:tcPr>
          <w:p>
            <w:pPr>
              <w:pStyle w:val="Compact"/>
              <w:spacing w:before="0" w:after="0" w:line="240" w:lineRule="auto"/>
              <w:jc w:val="left"/>
            </w:pPr>
            <w:r>
              <w:rPr>
                <w:b/>
                <w:color w:val="1F3864"/>
                <w:sz w:val="21"/>
              </w:rPr>
              <w:t xml:space="preserve">Authority</w:t>
            </w:r>
          </w:p>
        </w:tc>
      </w:tr>
      <w:tr>
        <w:tc>
          <w:tcPr>
            <w:tcW w:type="dxa" w:w="3403"/>
          </w:tcPr>
          <w:p>
            <w:pPr>
              <w:pStyle w:val="Compact"/>
              <w:spacing w:before="0" w:after="0" w:line="240" w:lineRule="auto"/>
              <w:jc w:val="left"/>
            </w:pPr>
            <w:r>
              <w:rPr>
                <w:sz w:val="21"/>
              </w:rPr>
              <w:t xml:space="preserve">We hold tax invoices, paid by bank, and the supplier was registered.</w:t>
            </w:r>
          </w:p>
        </w:tc>
        <w:tc>
          <w:tcPr>
            <w:tcW w:type="dxa" w:w="4506"/>
          </w:tcPr>
          <w:p>
            <w:pPr>
              <w:pStyle w:val="Compact"/>
              <w:spacing w:before="0" w:after="0" w:line="240" w:lineRule="auto"/>
              <w:jc w:val="left"/>
            </w:pPr>
            <w:r>
              <w:rPr>
                <w:sz w:val="21"/>
              </w:rPr>
              <w:t xml:space="preserve">Not enough: the noticee must prove receipt of goods (section 16(2)(b)). Say which documents were called for, what was produced and why it fails.</w:t>
            </w:r>
          </w:p>
        </w:tc>
        <w:tc>
          <w:tcPr>
            <w:tcW w:type="dxa" w:w="1729"/>
          </w:tcPr>
          <w:p>
            <w:pPr>
              <w:pStyle w:val="Compact"/>
              <w:spacing w:before="0" w:after="0" w:line="240" w:lineRule="auto"/>
              <w:jc w:val="left"/>
            </w:pPr>
            <w:r>
              <w:rPr>
                <w:sz w:val="21"/>
              </w:rPr>
              <w:t xml:space="preserve">Section 155;</w:t>
            </w:r>
            <w:r>
              <w:rPr>
                <w:sz w:val="21"/>
              </w:rPr>
              <w:t xml:space="preserve"> </w:t>
            </w:r>
            <w:r>
              <w:rPr>
                <w:iCs/>
                <w:i/>
                <w:sz w:val="21"/>
              </w:rPr>
              <w:t xml:space="preserve">Ecom Gill</w:t>
            </w:r>
            <w:r>
              <w:rPr>
                <w:sz w:val="21"/>
              </w:rPr>
              <w:t xml:space="preserve"> </w:t>
            </w:r>
            <w:r>
              <w:rPr>
                <w:sz w:val="21"/>
              </w:rPr>
              <w:t xml:space="preserve">(SC)</w:t>
            </w:r>
          </w:p>
        </w:tc>
      </w:tr>
      <w:tr>
        <w:tc>
          <w:tcPr>
            <w:tcW w:type="dxa" w:w="3403"/>
          </w:tcPr>
          <w:p>
            <w:pPr>
              <w:pStyle w:val="Compact"/>
              <w:spacing w:before="0" w:after="0" w:line="240" w:lineRule="auto"/>
              <w:jc w:val="left"/>
            </w:pPr>
            <w:r>
              <w:rPr>
                <w:sz w:val="21"/>
              </w:rPr>
              <w:t xml:space="preserve">The goods moved: e-way bills were generated.</w:t>
            </w:r>
          </w:p>
        </w:tc>
        <w:tc>
          <w:tcPr>
            <w:tcW w:type="dxa" w:w="4506"/>
          </w:tcPr>
          <w:p>
            <w:pPr>
              <w:pStyle w:val="Compact"/>
              <w:spacing w:before="0" w:after="0" w:line="240" w:lineRule="auto"/>
              <w:jc w:val="left"/>
            </w:pPr>
            <w:r>
              <w:rPr>
                <w:sz w:val="21"/>
              </w:rPr>
              <w:t xml:space="preserve">Test the e-way bills against vehicle and toll data.</w:t>
            </w:r>
            <w:r>
              <w:rPr>
                <w:sz w:val="21"/>
              </w:rPr>
              <w:t xml:space="preserve"> </w:t>
            </w:r>
            <w:r>
              <w:rPr>
                <w:bCs/>
                <w:b/>
                <w:sz w:val="21"/>
              </w:rPr>
              <w:t xml:space="preserve">Accept</w:t>
            </w:r>
            <w:r>
              <w:rPr>
                <w:sz w:val="21"/>
              </w:rPr>
              <w:t xml:space="preserve"> </w:t>
            </w:r>
            <w:r>
              <w:rPr>
                <w:sz w:val="21"/>
              </w:rPr>
              <w:t xml:space="preserve">for suppliers where movement is proved.</w:t>
            </w:r>
          </w:p>
        </w:tc>
        <w:tc>
          <w:tcPr>
            <w:tcW w:type="dxa" w:w="1729"/>
          </w:tcPr>
          <w:p>
            <w:pPr>
              <w:pStyle w:val="Compact"/>
              <w:spacing w:before="0" w:after="0" w:line="240" w:lineRule="auto"/>
              <w:jc w:val="left"/>
            </w:pPr>
            <w:r>
              <w:rPr>
                <w:sz w:val="21"/>
              </w:rPr>
              <w:t xml:space="preserve">Section 16(2)(b)</w:t>
            </w:r>
          </w:p>
        </w:tc>
      </w:tr>
      <w:tr>
        <w:tc>
          <w:tcPr>
            <w:tcW w:type="dxa" w:w="3403"/>
          </w:tcPr>
          <w:p>
            <w:pPr>
              <w:pStyle w:val="Compact"/>
              <w:spacing w:before="0" w:after="0" w:line="240" w:lineRule="auto"/>
              <w:jc w:val="left"/>
            </w:pPr>
            <w:r>
              <w:rPr>
                <w:sz w:val="21"/>
              </w:rPr>
              <w:t xml:space="preserve">The supplier’s registration was cancelled later, with retrospective effect.</w:t>
            </w:r>
          </w:p>
        </w:tc>
        <w:tc>
          <w:tcPr>
            <w:tcW w:type="dxa" w:w="4506"/>
          </w:tcPr>
          <w:p>
            <w:pPr>
              <w:pStyle w:val="Compact"/>
              <w:spacing w:before="0" w:after="0" w:line="240" w:lineRule="auto"/>
              <w:jc w:val="left"/>
            </w:pPr>
            <w:r>
              <w:rPr>
                <w:sz w:val="21"/>
              </w:rPr>
              <w:t xml:space="preserve">Cancellation alone is not proof. Rely on the inspection and movement evidence for the invoice dates.</w:t>
            </w:r>
          </w:p>
        </w:tc>
        <w:tc>
          <w:tcPr>
            <w:tcW w:type="dxa" w:w="1729"/>
          </w:tcPr>
          <w:p>
            <w:pPr>
              <w:pStyle w:val="Compact"/>
              <w:spacing w:before="0" w:after="0" w:line="240" w:lineRule="auto"/>
              <w:jc w:val="left"/>
            </w:pPr>
            <w:r>
              <w:rPr>
                <w:iCs/>
                <w:i/>
                <w:sz w:val="21"/>
              </w:rPr>
              <w:t xml:space="preserve">LGW Industries</w:t>
            </w:r>
            <w:r>
              <w:rPr>
                <w:sz w:val="21"/>
              </w:rPr>
              <w:t xml:space="preserve"> </w:t>
            </w:r>
            <w:r>
              <w:rPr>
                <w:sz w:val="21"/>
              </w:rPr>
              <w:t xml:space="preserve">(Calcutta HC), persuasive</w:t>
            </w:r>
          </w:p>
        </w:tc>
      </w:tr>
      <w:tr>
        <w:tc>
          <w:tcPr>
            <w:tcW w:type="dxa" w:w="3403"/>
          </w:tcPr>
          <w:p>
            <w:pPr>
              <w:pStyle w:val="Compact"/>
              <w:spacing w:before="0" w:after="0" w:line="240" w:lineRule="auto"/>
              <w:jc w:val="left"/>
            </w:pPr>
            <w:r>
              <w:rPr>
                <w:sz w:val="21"/>
              </w:rPr>
              <w:t xml:space="preserve">Statements relied on were retracted, or cross-examination was refused.</w:t>
            </w:r>
          </w:p>
        </w:tc>
        <w:tc>
          <w:tcPr>
            <w:tcW w:type="dxa" w:w="4506"/>
          </w:tcPr>
          <w:p>
            <w:pPr>
              <w:pStyle w:val="Compact"/>
              <w:spacing w:before="0" w:after="0" w:line="240" w:lineRule="auto"/>
              <w:jc w:val="left"/>
            </w:pPr>
            <w:r>
              <w:rPr>
                <w:sz w:val="21"/>
              </w:rPr>
              <w:t xml:space="preserve">Rely on corroborated evidence. If a statement is central and cross-examination was sought, decide the request before the order; if refused, do not rely on the statement.</w:t>
            </w:r>
          </w:p>
        </w:tc>
        <w:tc>
          <w:tcPr>
            <w:tcW w:type="dxa" w:w="1729"/>
          </w:tcPr>
          <w:p>
            <w:pPr>
              <w:pStyle w:val="Compact"/>
              <w:spacing w:before="0" w:after="0" w:line="240" w:lineRule="auto"/>
              <w:jc w:val="left"/>
            </w:pPr>
            <w:r>
              <w:rPr>
                <w:sz w:val="21"/>
              </w:rPr>
              <w:t xml:space="preserve">Template B1 para 5.5</w:t>
            </w:r>
          </w:p>
        </w:tc>
      </w:tr>
      <w:tr>
        <w:tc>
          <w:tcPr>
            <w:tcW w:type="dxa" w:w="3403"/>
          </w:tcPr>
          <w:p>
            <w:pPr>
              <w:pStyle w:val="Compact"/>
              <w:spacing w:before="0" w:after="0" w:line="240" w:lineRule="auto"/>
              <w:jc w:val="left"/>
            </w:pPr>
            <w:r>
              <w:rPr>
                <w:sz w:val="21"/>
              </w:rPr>
              <w:t xml:space="preserve">The investigation report was not supplied.</w:t>
            </w:r>
          </w:p>
        </w:tc>
        <w:tc>
          <w:tcPr>
            <w:tcW w:type="dxa" w:w="4506"/>
          </w:tcPr>
          <w:p>
            <w:pPr>
              <w:pStyle w:val="Compact"/>
              <w:spacing w:before="0" w:after="0" w:line="240" w:lineRule="auto"/>
              <w:jc w:val="left"/>
            </w:pPr>
            <w:r>
              <w:rPr>
                <w:sz w:val="21"/>
              </w:rPr>
              <w:t xml:space="preserve">Supply it before the order. A section 74 finding cannot rest on an unverified, undisclosed report of another wing.</w:t>
            </w:r>
          </w:p>
        </w:tc>
        <w:tc>
          <w:tcPr>
            <w:tcW w:type="dxa" w:w="1729"/>
          </w:tcPr>
          <w:p>
            <w:pPr>
              <w:pStyle w:val="Compact"/>
              <w:spacing w:before="0" w:after="0" w:line="240" w:lineRule="auto"/>
              <w:jc w:val="left"/>
            </w:pPr>
            <w:r>
              <w:rPr>
                <w:iCs/>
                <w:i/>
                <w:sz w:val="21"/>
              </w:rPr>
              <w:t xml:space="preserve">Safecon Lifescience</w:t>
            </w:r>
            <w:r>
              <w:rPr>
                <w:sz w:val="21"/>
              </w:rPr>
              <w:t xml:space="preserve"> </w:t>
            </w:r>
            <w:r>
              <w:rPr>
                <w:sz w:val="21"/>
              </w:rPr>
              <w:t xml:space="preserve">(Allahabad HC; SLP dismissed), persuasive</w:t>
            </w:r>
          </w:p>
        </w:tc>
      </w:tr>
      <w:tr>
        <w:tc>
          <w:tcPr>
            <w:tcW w:type="dxa" w:w="3403"/>
          </w:tcPr>
          <w:p>
            <w:pPr>
              <w:pStyle w:val="Compact"/>
              <w:spacing w:before="0" w:after="0" w:line="240" w:lineRule="auto"/>
              <w:jc w:val="left"/>
            </w:pPr>
            <w:r>
              <w:rPr>
                <w:sz w:val="21"/>
              </w:rPr>
              <w:t xml:space="preserve">Section 122(1A) applies only to a taxable person.</w:t>
            </w:r>
          </w:p>
        </w:tc>
        <w:tc>
          <w:tcPr>
            <w:tcW w:type="dxa" w:w="4506"/>
          </w:tcPr>
          <w:p>
            <w:pPr>
              <w:pStyle w:val="Compact"/>
              <w:spacing w:before="0" w:after="0" w:line="240" w:lineRule="auto"/>
              <w:jc w:val="left"/>
            </w:pPr>
            <w:r>
              <w:rPr>
                <w:sz w:val="21"/>
              </w:rPr>
              <w:t xml:space="preserve">High Courts differ (</w:t>
            </w:r>
            <w:r>
              <w:rPr>
                <w:iCs/>
                <w:i/>
                <w:sz w:val="21"/>
              </w:rPr>
              <w:t xml:space="preserve">Amit Manilal Haria</w:t>
            </w:r>
            <w:r>
              <w:rPr>
                <w:sz w:val="21"/>
              </w:rPr>
              <w:t xml:space="preserve">, Bombay HC, against; Delhi and Gauhati HCs, for). No Supreme Court or Telangana ruling was found. Record the person’s role and benefit, and the view taken.</w:t>
            </w:r>
          </w:p>
        </w:tc>
        <w:tc>
          <w:tcPr>
            <w:tcW w:type="dxa" w:w="1729"/>
          </w:tcPr>
          <w:p>
            <w:pPr>
              <w:pStyle w:val="Compact"/>
              <w:spacing w:before="0" w:after="0" w:line="240" w:lineRule="auto"/>
              <w:jc w:val="left"/>
            </w:pPr>
            <w:r>
              <w:rPr>
                <w:sz w:val="21"/>
              </w:rPr>
              <w:t xml:space="preserve">Section 122(1A)</w:t>
            </w:r>
          </w:p>
        </w:tc>
      </w:tr>
    </w:tbl>
    <w:p>
      <w:pPr>
        <w:pStyle w:val="BodyText"/>
        <w:spacing w:before="0" w:after="120" w:line="269" w:lineRule="auto"/>
        <w:jc w:val="both"/>
      </w:pPr>
      <w:r>
        <w:t xml:space="preserve">6.2</w:t>
      </w:r>
      <w:r>
        <w:t xml:space="preserve"> </w:t>
      </w:r>
      <w:r>
        <w:rPr>
          <w:bCs/>
          <w:b/>
        </w:rPr>
        <w:t xml:space="preserve">Model finding (supplier-wise).</w:t>
      </w:r>
      <w:r>
        <w:t xml:space="preserve"> </w:t>
      </w:r>
      <w:r>
        <w:t xml:space="preserve">“</w:t>
      </w:r>
      <w:r>
        <w:t xml:space="preserve">Supplier S-[ ] ([name], GSTIN [ ]): the invoices (₹[ ], credit ₹[ ]) are dated [ ] to [ ]. The inspection on [date] by [officer] (RUD-[ ]) found no business at the declared address, and the owner of the premises stated that [ ]. Of [n] e-way bills, the vehicles of [n] did not pass any toll plaza on the route on the dates shown (RUD-[ ]); [n] vehicles are registered as [two-wheelers / cars]. The noticee was asked by letter dated [ ] (RUD-[ ]) to produce transport documents, freight payments, weighbridge slips and stock entries. It produced only invoices and bank statements (D-[ ]). The payments were transferred onward to [ ] within [ ] days (RUD-[ ]). Taken together, the noticee has not discharged the burden under section 155 of proving receipt of the goods (</w:t>
      </w:r>
      <w:r>
        <w:rPr>
          <w:iCs/>
          <w:i/>
        </w:rPr>
        <w:t xml:space="preserve">Ecom Gill</w:t>
      </w:r>
      <w:r>
        <w:t xml:space="preserve">, Supreme Court). Credit of ₹[ ] on S-[ ]’s invoices is inadmissible under section 16(2)(b). Supplier S-[ ]: e-way bills are supported by toll data and freight payments (D-[ ]); the department has no contrary evidence. The credit of ₹[ ] is allowed and that part is dropped.</w:t>
      </w:r>
      <w:r>
        <w:t xml:space="preserve">”</w:t>
      </w:r>
    </w:p>
    <w:p>
      <w:pPr>
        <w:pStyle w:val="BodyText"/>
        <w:spacing w:before="0" w:after="120" w:line="269" w:lineRule="auto"/>
        <w:jc w:val="both"/>
      </w:pPr>
      <w:r>
        <w:t xml:space="preserve">6.3</w:t>
      </w:r>
      <w:r>
        <w:t xml:space="preserve"> </w:t>
      </w:r>
      <w:r>
        <w:rPr>
          <w:bCs/>
          <w:b/>
        </w:rPr>
        <w:t xml:space="preserve">Drop the demand when:</w:t>
      </w:r>
      <w:r>
        <w:t xml:space="preserve"> </w:t>
      </w:r>
      <w:r>
        <w:t xml:space="preserve">movement and payment are proved and the department has only the supplier’s later cancellation; the evidence for that supplier was not served; the credit was availed but not utilised and the SCN demands only interest under section 50(3).</w:t>
      </w:r>
    </w:p>
    <w:p>
      <w:pPr>
        <w:pStyle w:val="BlockText"/>
        <w:shd w:val="clear" w:color="auto" w:fill="E7E6E6"/>
      </w:pPr>
      <w:r>
        <w:rPr>
          <w:bCs/>
          <w:b/>
          <w:sz w:val="21"/>
        </w:rPr>
        <w:t xml:space="preserve">Drafting note:</w:t>
      </w:r>
      <w:r>
        <w:rPr>
          <w:sz w:val="21"/>
        </w:rPr>
        <w:t xml:space="preserve"> </w:t>
      </w:r>
      <w:r>
        <w:rPr>
          <w:sz w:val="21"/>
        </w:rPr>
        <w:t xml:space="preserve">the section 74 finding (B1 para 7.4) must show the noticee’s own knowledge or participation, not only the supplier’s fraud. Interest under section 50(3) runs only from utilisation (rule 88B(3)).</w:t>
      </w:r>
    </w:p>
    <w:p>
      <w:pPr>
        <w:pStyle w:val="FirstParagraph"/>
        <w:keepNext/>
        <w:spacing w:before="240" w:after="80"/>
        <w:pBdr>
          <w:bottom w:val="single" w:sz="6" w:space="1" w:color="B4C6E7"/>
        </w:pBdr>
      </w:pPr>
      <w:r>
        <w:rPr>
          <w:bCs/>
          <w:b/>
          <w:color w:val="1F3864"/>
          <w:sz w:val="25"/>
        </w:rPr>
        <w:t xml:space="preserve">7. Person liable to register but not registered</w:t>
      </w:r>
    </w:p>
    <w:p>
      <w:pPr>
        <w:pStyle w:val="BodyText"/>
        <w:spacing w:before="0" w:after="120" w:line="269" w:lineRule="auto"/>
        <w:jc w:val="both"/>
      </w:pPr>
      <w:r>
        <w:t xml:space="preserve">7.1</w:t>
      </w:r>
      <w:r>
        <w:t xml:space="preserve"> </w:t>
      </w:r>
      <w:r>
        <w:rPr>
          <w:bCs/>
          <w:b/>
        </w:rPr>
        <w:t xml:space="preserve">What decides it.</w:t>
      </w:r>
      <w:r>
        <w:t xml:space="preserve"> </w:t>
      </w:r>
      <w:r>
        <w:t xml:space="preserve">A</w:t>
      </w:r>
      <w:r>
        <w:t xml:space="preserve"> </w:t>
      </w:r>
      <w:r>
        <w:t xml:space="preserve">“</w:t>
      </w:r>
      <w:r>
        <w:t xml:space="preserve">taxable person</w:t>
      </w:r>
      <w:r>
        <w:t xml:space="preserve">”</w:t>
      </w:r>
      <w:r>
        <w:t xml:space="preserve"> </w:t>
      </w:r>
      <w:r>
        <w:t xml:space="preserve">includes a person liable to be registered under section 22 or 24 (section 2(107)). The department must prove,</w:t>
      </w:r>
      <w:r>
        <w:t xml:space="preserve"> </w:t>
      </w:r>
      <w:r>
        <w:rPr>
          <w:bCs/>
          <w:b/>
        </w:rPr>
        <w:t xml:space="preserve">year by year</w:t>
      </w:r>
      <w:r>
        <w:t xml:space="preserve">, that the person was liable to register: aggregate turnover (section 2(6)) above the threshold in section 22(1) [or Notification No. 10/2019-Central Tax for exclusive suppliers of goods, subject to its conditions], or a category of compulsory registration under section 24. The tax is then determined under section 73, 74 or 74A, or by best judgment assessment under section 63 within five years from the annual return due date, after a hearing.</w:t>
      </w:r>
      <w:r>
        <w:t xml:space="preserve"> </w:t>
      </w:r>
      <w:r>
        <w:rPr>
          <w:bCs/>
          <w:b/>
        </w:rPr>
        <w:t xml:space="preserve">Evidence:</w:t>
      </w:r>
      <w:r>
        <w:t xml:space="preserve"> </w:t>
      </w:r>
      <w:r>
        <w:t xml:space="preserve">the source of the turnover figures (bank statements, contracts, third-party data such as mining or registration records) and how each figure was converted into value; the rate entry; any exemption.</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280"/>
        <w:gridCol w:w="4685"/>
        <w:gridCol w:w="1673"/>
      </w:tblGrid>
      <w:tr>
        <w:trPr>
          <w:tblHeader w:val="true"/>
          <w:tblHeader/>
        </w:trPr>
        <w:tc>
          <w:tcPr>
            <w:tcW w:type="dxa" w:w="3280"/>
            <w:shd w:val="clear" w:color="auto" w:fill="DCE6F1"/>
          </w:tcPr>
          <w:p>
            <w:pPr>
              <w:pStyle w:val="Compact"/>
              <w:spacing w:before="0" w:after="0" w:line="240" w:lineRule="auto"/>
              <w:jc w:val="left"/>
            </w:pPr>
            <w:r>
              <w:rPr>
                <w:b/>
                <w:color w:val="1F3864"/>
                <w:sz w:val="21"/>
              </w:rPr>
              <w:t xml:space="preserve">Defence usually raised</w:t>
            </w:r>
          </w:p>
        </w:tc>
        <w:tc>
          <w:tcPr>
            <w:tcW w:type="dxa" w:w="4685"/>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673"/>
            <w:shd w:val="clear" w:color="auto" w:fill="DCE6F1"/>
          </w:tcPr>
          <w:p>
            <w:pPr>
              <w:pStyle w:val="Compact"/>
              <w:spacing w:before="0" w:after="0" w:line="240" w:lineRule="auto"/>
              <w:jc w:val="left"/>
            </w:pPr>
            <w:r>
              <w:rPr>
                <w:b/>
                <w:color w:val="1F3864"/>
                <w:sz w:val="21"/>
              </w:rPr>
              <w:t xml:space="preserve">Authority</w:t>
            </w:r>
          </w:p>
        </w:tc>
      </w:tr>
      <w:tr>
        <w:tc>
          <w:tcPr>
            <w:tcW w:type="dxa" w:w="3280"/>
          </w:tcPr>
          <w:p>
            <w:pPr>
              <w:pStyle w:val="Compact"/>
              <w:spacing w:before="0" w:after="0" w:line="240" w:lineRule="auto"/>
              <w:jc w:val="left"/>
            </w:pPr>
            <w:r>
              <w:rPr>
                <w:sz w:val="21"/>
              </w:rPr>
              <w:t xml:space="preserve">Turnover was below the threshold in that year.</w:t>
            </w:r>
          </w:p>
        </w:tc>
        <w:tc>
          <w:tcPr>
            <w:tcW w:type="dxa" w:w="4685"/>
          </w:tcPr>
          <w:p>
            <w:pPr>
              <w:pStyle w:val="Compact"/>
              <w:spacing w:before="0" w:after="0" w:line="240" w:lineRule="auto"/>
              <w:jc w:val="left"/>
            </w:pPr>
            <w:r>
              <w:rPr>
                <w:sz w:val="21"/>
              </w:rPr>
              <w:t xml:space="preserve">Test the department’s figures year by year.</w:t>
            </w:r>
            <w:r>
              <w:rPr>
                <w:sz w:val="21"/>
              </w:rPr>
              <w:t xml:space="preserve"> </w:t>
            </w:r>
            <w:r>
              <w:rPr>
                <w:bCs/>
                <w:b/>
                <w:sz w:val="21"/>
              </w:rPr>
              <w:t xml:space="preserve">Accept</w:t>
            </w:r>
            <w:r>
              <w:rPr>
                <w:sz w:val="21"/>
              </w:rPr>
              <w:t xml:space="preserve"> </w:t>
            </w:r>
            <w:r>
              <w:rPr>
                <w:sz w:val="21"/>
              </w:rPr>
              <w:t xml:space="preserve">for any year in which liability to register is not proved.</w:t>
            </w:r>
          </w:p>
        </w:tc>
        <w:tc>
          <w:tcPr>
            <w:tcW w:type="dxa" w:w="1673"/>
          </w:tcPr>
          <w:p>
            <w:pPr>
              <w:pStyle w:val="Compact"/>
              <w:spacing w:before="0" w:after="0" w:line="240" w:lineRule="auto"/>
              <w:jc w:val="left"/>
            </w:pPr>
            <w:r>
              <w:rPr>
                <w:sz w:val="21"/>
              </w:rPr>
              <w:t xml:space="preserve">Sections 22, 2(6)</w:t>
            </w:r>
          </w:p>
        </w:tc>
      </w:tr>
      <w:tr>
        <w:tc>
          <w:tcPr>
            <w:tcW w:type="dxa" w:w="3280"/>
          </w:tcPr>
          <w:p>
            <w:pPr>
              <w:pStyle w:val="Compact"/>
              <w:spacing w:before="0" w:after="0" w:line="240" w:lineRule="auto"/>
              <w:jc w:val="left"/>
            </w:pPr>
            <w:r>
              <w:rPr>
                <w:sz w:val="21"/>
              </w:rPr>
              <w:t xml:space="preserve">The value is wrongly derived from third-party data (quantity, unit conversion, price).</w:t>
            </w:r>
          </w:p>
        </w:tc>
        <w:tc>
          <w:tcPr>
            <w:tcW w:type="dxa" w:w="4685"/>
          </w:tcPr>
          <w:p>
            <w:pPr>
              <w:pStyle w:val="Compact"/>
              <w:spacing w:before="0" w:after="0" w:line="240" w:lineRule="auto"/>
              <w:jc w:val="left"/>
            </w:pPr>
            <w:r>
              <w:rPr>
                <w:sz w:val="21"/>
              </w:rPr>
              <w:t xml:space="preserve">Re-check each conversion factor and its source, and test the result against an independent figure (for example, the royalty or market price). If the value is overstated, reduce it; if the basis cannot be established, drop.</w:t>
            </w:r>
          </w:p>
        </w:tc>
        <w:tc>
          <w:tcPr>
            <w:tcW w:type="dxa" w:w="1673"/>
          </w:tcPr>
          <w:p>
            <w:pPr>
              <w:pStyle w:val="Compact"/>
              <w:spacing w:before="0" w:after="0" w:line="240" w:lineRule="auto"/>
              <w:jc w:val="left"/>
            </w:pPr>
            <w:r>
              <w:rPr>
                <w:sz w:val="21"/>
              </w:rPr>
              <w:t xml:space="preserve">Section 15; section 75(6)</w:t>
            </w:r>
          </w:p>
        </w:tc>
      </w:tr>
      <w:tr>
        <w:tc>
          <w:tcPr>
            <w:tcW w:type="dxa" w:w="3280"/>
          </w:tcPr>
          <w:p>
            <w:pPr>
              <w:pStyle w:val="Compact"/>
              <w:spacing w:before="0" w:after="0" w:line="240" w:lineRule="auto"/>
              <w:jc w:val="left"/>
            </w:pPr>
            <w:r>
              <w:rPr>
                <w:sz w:val="21"/>
              </w:rPr>
              <w:t xml:space="preserve">The supplies were exempt or not supplies at all.</w:t>
            </w:r>
          </w:p>
        </w:tc>
        <w:tc>
          <w:tcPr>
            <w:tcW w:type="dxa" w:w="4685"/>
          </w:tcPr>
          <w:p>
            <w:pPr>
              <w:pStyle w:val="Compact"/>
              <w:spacing w:before="0" w:after="0" w:line="240" w:lineRule="auto"/>
              <w:jc w:val="left"/>
            </w:pPr>
            <w:r>
              <w:rPr>
                <w:sz w:val="21"/>
              </w:rPr>
              <w:t xml:space="preserve">Decide on the exemption entry or Schedule III; exemptions are read strictly and the burden is on the claimant.</w:t>
            </w:r>
          </w:p>
        </w:tc>
        <w:tc>
          <w:tcPr>
            <w:tcW w:type="dxa" w:w="1673"/>
          </w:tcPr>
          <w:p>
            <w:pPr>
              <w:pStyle w:val="Compact"/>
              <w:spacing w:before="0" w:after="0" w:line="240" w:lineRule="auto"/>
              <w:jc w:val="left"/>
            </w:pPr>
            <w:r>
              <w:rPr>
                <w:iCs/>
                <w:i/>
                <w:sz w:val="21"/>
              </w:rPr>
              <w:t xml:space="preserve">Dilip Kumar &amp; Co.</w:t>
            </w:r>
            <w:r>
              <w:rPr>
                <w:sz w:val="21"/>
              </w:rPr>
              <w:t xml:space="preserve"> </w:t>
            </w:r>
            <w:r>
              <w:rPr>
                <w:sz w:val="21"/>
              </w:rPr>
              <w:t xml:space="preserve">(SC, Constitution Bench, 30.07.2018)</w:t>
            </w:r>
          </w:p>
        </w:tc>
      </w:tr>
      <w:tr>
        <w:tc>
          <w:tcPr>
            <w:tcW w:type="dxa" w:w="3280"/>
          </w:tcPr>
          <w:p>
            <w:pPr>
              <w:pStyle w:val="Compact"/>
              <w:spacing w:before="0" w:after="0" w:line="240" w:lineRule="auto"/>
              <w:jc w:val="left"/>
            </w:pPr>
            <w:r>
              <w:rPr>
                <w:sz w:val="21"/>
              </w:rPr>
              <w:t xml:space="preserve">Credit should be allowed on purchases.</w:t>
            </w:r>
          </w:p>
        </w:tc>
        <w:tc>
          <w:tcPr>
            <w:tcW w:type="dxa" w:w="4685"/>
          </w:tcPr>
          <w:p>
            <w:pPr>
              <w:pStyle w:val="Compact"/>
              <w:spacing w:before="0" w:after="0" w:line="240" w:lineRule="auto"/>
              <w:jc w:val="left"/>
            </w:pPr>
            <w:r>
              <w:rPr>
                <w:sz w:val="21"/>
              </w:rPr>
              <w:t xml:space="preserve">Credit is available only to a registered person and on the conditions of section 16; record the claim and decide it on those conditions.</w:t>
            </w:r>
          </w:p>
        </w:tc>
        <w:tc>
          <w:tcPr>
            <w:tcW w:type="dxa" w:w="1673"/>
          </w:tcPr>
          <w:p>
            <w:pPr>
              <w:pStyle w:val="Compact"/>
              <w:spacing w:before="0" w:after="0" w:line="240" w:lineRule="auto"/>
              <w:jc w:val="left"/>
            </w:pPr>
            <w:r>
              <w:rPr>
                <w:sz w:val="21"/>
              </w:rPr>
              <w:t xml:space="preserve">Section 16(1), (2)</w:t>
            </w:r>
          </w:p>
        </w:tc>
      </w:tr>
      <w:tr>
        <w:tc>
          <w:tcPr>
            <w:tcW w:type="dxa" w:w="3280"/>
          </w:tcPr>
          <w:p>
            <w:pPr>
              <w:pStyle w:val="Compact"/>
              <w:spacing w:before="0" w:after="0" w:line="240" w:lineRule="auto"/>
              <w:jc w:val="left"/>
            </w:pPr>
            <w:r>
              <w:rPr>
                <w:sz w:val="21"/>
              </w:rPr>
              <w:t xml:space="preserve">Section 74 is not attracted because no return was due.</w:t>
            </w:r>
          </w:p>
        </w:tc>
        <w:tc>
          <w:tcPr>
            <w:tcW w:type="dxa" w:w="4685"/>
          </w:tcPr>
          <w:p>
            <w:pPr>
              <w:pStyle w:val="Compact"/>
              <w:spacing w:before="0" w:after="0" w:line="240" w:lineRule="auto"/>
              <w:jc w:val="left"/>
            </w:pPr>
            <w:r>
              <w:rPr>
                <w:sz w:val="21"/>
              </w:rPr>
              <w:t xml:space="preserve">Suppression includes failure to furnish information asked for in writing (Explanation 2 to section 74 / 74A). Rely on it only if the SCN pleads such a request and its non-compliance.</w:t>
            </w:r>
          </w:p>
        </w:tc>
        <w:tc>
          <w:tcPr>
            <w:tcW w:type="dxa" w:w="1673"/>
          </w:tcPr>
          <w:p>
            <w:pPr>
              <w:pStyle w:val="Compact"/>
              <w:spacing w:before="0" w:after="0" w:line="240" w:lineRule="auto"/>
              <w:jc w:val="left"/>
            </w:pPr>
            <w:r>
              <w:rPr>
                <w:sz w:val="21"/>
              </w:rPr>
              <w:t xml:space="preserve">Explanation 2 to section 74</w:t>
            </w:r>
          </w:p>
        </w:tc>
      </w:tr>
    </w:tbl>
    <w:p>
      <w:pPr>
        <w:pStyle w:val="BodyText"/>
        <w:spacing w:before="0" w:after="120" w:line="269" w:lineRule="auto"/>
        <w:jc w:val="both"/>
      </w:pPr>
      <w:r>
        <w:t xml:space="preserve">7.2</w:t>
      </w:r>
      <w:r>
        <w:t xml:space="preserve"> </w:t>
      </w:r>
      <w:r>
        <w:rPr>
          <w:bCs/>
          <w:b/>
        </w:rPr>
        <w:t xml:space="preserve">Model finding.</w:t>
      </w:r>
      <w:r>
        <w:t xml:space="preserve"> </w:t>
      </w:r>
      <w:r>
        <w:t xml:space="preserve">“</w:t>
      </w:r>
      <w:r>
        <w:t xml:space="preserve">The SCN (para [ ]) treats the noticee as liable to register from FY [ ] on the basis of [source] (RUD-[ ]). For FY [ ], the receipts shown in the noticee’s bank account (RUD-[ ]) are ₹[ ], of which ₹[ ] relate to [supply], taxable at [ ]% under entry [ ] of Notification No. [ ]. Aggregate turnover therefore exceeded ₹[threshold] on [date], and the noticee was liable to register under section 22(1) from that date. For FY [ ], the receipts are ₹[ ], below the threshold, and the demand of ₹[ ] for that year is dropped. [The value in the SCN was derived by converting [unit] to [unit] at [factor]. The source of that factor is [ ]. I have checked it against [independent figure]: [it is consistent / it overstates the value [ ] times]. The value is re-computed at ₹[ ] in Table [ ].]</w:t>
      </w:r>
      <w:r>
        <w:t xml:space="preserve">”</w:t>
      </w:r>
    </w:p>
    <w:p>
      <w:pPr>
        <w:pStyle w:val="BodyText"/>
        <w:spacing w:before="0" w:after="120" w:line="269" w:lineRule="auto"/>
        <w:jc w:val="both"/>
      </w:pPr>
      <w:r>
        <w:t xml:space="preserve">7.3</w:t>
      </w:r>
      <w:r>
        <w:t xml:space="preserve"> </w:t>
      </w:r>
      <w:r>
        <w:rPr>
          <w:bCs/>
          <w:b/>
        </w:rPr>
        <w:t xml:space="preserve">Drop the demand when:</w:t>
      </w:r>
      <w:r>
        <w:t xml:space="preserve"> </w:t>
      </w:r>
      <w:r>
        <w:t xml:space="preserve">liability to register is not proved for the year; the valuation cannot be traced to evidence; the supplies are exempt.</w:t>
      </w:r>
    </w:p>
    <w:p>
      <w:pPr>
        <w:pStyle w:val="BodyText"/>
        <w:keepNext/>
        <w:spacing w:before="240" w:after="80"/>
        <w:pBdr>
          <w:bottom w:val="single" w:sz="6" w:space="1" w:color="B4C6E7"/>
        </w:pBdr>
      </w:pPr>
      <w:r>
        <w:rPr>
          <w:bCs/>
          <w:b/>
          <w:color w:val="1F3864"/>
          <w:sz w:val="25"/>
        </w:rPr>
        <w:t xml:space="preserve">8. Rate of tax or classification</w:t>
      </w:r>
    </w:p>
    <w:p>
      <w:pPr>
        <w:pStyle w:val="BodyText"/>
        <w:spacing w:before="0" w:after="120" w:line="269" w:lineRule="auto"/>
        <w:jc w:val="both"/>
      </w:pPr>
      <w:r>
        <w:t xml:space="preserve">8.1</w:t>
      </w:r>
      <w:r>
        <w:t xml:space="preserve"> </w:t>
      </w:r>
      <w:r>
        <w:rPr>
          <w:bCs/>
          <w:b/>
        </w:rPr>
        <w:t xml:space="preserve">What decides it.</w:t>
      </w:r>
      <w:r>
        <w:t xml:space="preserve"> </w:t>
      </w:r>
      <w:r>
        <w:t xml:space="preserve">Classification follows the rate notification (Notification No. 1/2017-Central Tax (Rate) for goods; No. 11/2017-Central Tax (Rate) for services) read with the First Schedule to the Customs Tariff Act, its rules of interpretation and section and chapter notes, as the notification’s Explanation provides. The rules of interpretation are applied in sequence: the heading and the notes first (</w:t>
      </w:r>
      <w:r>
        <w:rPr>
          <w:iCs/>
          <w:i/>
        </w:rPr>
        <w:t xml:space="preserve">Welkin Foods</w:t>
      </w:r>
      <w:r>
        <w:t xml:space="preserve">, Supreme Court, January 2026, single source). Goods are classified by their form at the time of sale, not their end use (</w:t>
      </w:r>
      <w:r>
        <w:rPr>
          <w:iCs/>
          <w:i/>
        </w:rPr>
        <w:t xml:space="preserve">Cadila Health Care</w:t>
      </w:r>
      <w:r>
        <w:t xml:space="preserve">, Supreme Court, 05.10.2026). The department, which proposes the change, must show why the noticee’s heading is wrong; the noticee claiming an exemption must show it fits (</w:t>
      </w:r>
      <w:r>
        <w:rPr>
          <w:iCs/>
          <w:i/>
        </w:rPr>
        <w:t xml:space="preserve">Dilip Kumar</w:t>
      </w:r>
      <w:r>
        <w:t xml:space="preserve">, SC).</w:t>
      </w:r>
      <w:r>
        <w:t xml:space="preserve"> </w:t>
      </w:r>
      <w:r>
        <w:rPr>
          <w:bCs/>
          <w:b/>
        </w:rPr>
        <w:t xml:space="preserve">Evidence:</w:t>
      </w:r>
      <w:r>
        <w:t xml:space="preserve"> </w:t>
      </w:r>
      <w:r>
        <w:t xml:space="preserve">description, technical literature, test reports, labels and packaging, invoices, the HSN Explanatory Notes.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179"/>
        <w:gridCol w:w="4669"/>
        <w:gridCol w:w="1790"/>
      </w:tblGrid>
      <w:tr>
        <w:trPr>
          <w:tblHeader w:val="true"/>
          <w:tblHeader/>
        </w:trPr>
        <w:tc>
          <w:tcPr>
            <w:tcW w:type="dxa" w:w="3179"/>
            <w:shd w:val="clear" w:color="auto" w:fill="DCE6F1"/>
          </w:tcPr>
          <w:p>
            <w:pPr>
              <w:pStyle w:val="Compact"/>
              <w:spacing w:before="0" w:after="0" w:line="240" w:lineRule="auto"/>
              <w:jc w:val="left"/>
            </w:pPr>
            <w:r>
              <w:rPr>
                <w:b/>
                <w:color w:val="1F3864"/>
                <w:sz w:val="21"/>
              </w:rPr>
              <w:t xml:space="preserve">Defence usually raised</w:t>
            </w:r>
          </w:p>
        </w:tc>
        <w:tc>
          <w:tcPr>
            <w:tcW w:type="dxa" w:w="4669"/>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790"/>
            <w:shd w:val="clear" w:color="auto" w:fill="DCE6F1"/>
          </w:tcPr>
          <w:p>
            <w:pPr>
              <w:pStyle w:val="Compact"/>
              <w:spacing w:before="0" w:after="0" w:line="240" w:lineRule="auto"/>
              <w:jc w:val="left"/>
            </w:pPr>
            <w:r>
              <w:rPr>
                <w:b/>
                <w:color w:val="1F3864"/>
                <w:sz w:val="21"/>
              </w:rPr>
              <w:t xml:space="preserve">Authority</w:t>
            </w:r>
          </w:p>
        </w:tc>
      </w:tr>
      <w:tr>
        <w:tc>
          <w:tcPr>
            <w:tcW w:type="dxa" w:w="3179"/>
          </w:tcPr>
          <w:p>
            <w:pPr>
              <w:pStyle w:val="Compact"/>
              <w:spacing w:before="0" w:after="0" w:line="240" w:lineRule="auto"/>
              <w:jc w:val="left"/>
            </w:pPr>
            <w:r>
              <w:rPr>
                <w:sz w:val="21"/>
              </w:rPr>
              <w:t xml:space="preserve">The goods fall in the noticee’s heading; the trade understands them so.</w:t>
            </w:r>
          </w:p>
        </w:tc>
        <w:tc>
          <w:tcPr>
            <w:tcW w:type="dxa" w:w="4669"/>
          </w:tcPr>
          <w:p>
            <w:pPr>
              <w:pStyle w:val="Compact"/>
              <w:spacing w:before="0" w:after="0" w:line="240" w:lineRule="auto"/>
              <w:jc w:val="left"/>
            </w:pPr>
            <w:r>
              <w:rPr>
                <w:sz w:val="21"/>
              </w:rPr>
              <w:t xml:space="preserve">Apply the rules in sequence and say why each heading fits or fails. Trade understanding helps only where the heading text and notes leave the question open.</w:t>
            </w:r>
          </w:p>
        </w:tc>
        <w:tc>
          <w:tcPr>
            <w:tcW w:type="dxa" w:w="1790"/>
          </w:tcPr>
          <w:p>
            <w:pPr>
              <w:pStyle w:val="Compact"/>
              <w:spacing w:before="0" w:after="0" w:line="240" w:lineRule="auto"/>
              <w:jc w:val="left"/>
            </w:pPr>
            <w:r>
              <w:rPr>
                <w:sz w:val="21"/>
              </w:rPr>
              <w:t xml:space="preserve">Rules of interpretation;</w:t>
            </w:r>
            <w:r>
              <w:rPr>
                <w:sz w:val="21"/>
              </w:rPr>
              <w:t xml:space="preserve"> </w:t>
            </w:r>
            <w:r>
              <w:rPr>
                <w:iCs/>
                <w:i/>
                <w:sz w:val="21"/>
              </w:rPr>
              <w:t xml:space="preserve">Welkin Foods</w:t>
            </w:r>
            <w:r>
              <w:rPr>
                <w:sz w:val="21"/>
              </w:rPr>
              <w:t xml:space="preserve"> </w:t>
            </w:r>
            <w:r>
              <w:rPr>
                <w:sz w:val="21"/>
              </w:rPr>
              <w:t xml:space="preserve">(SC)</w:t>
            </w:r>
          </w:p>
        </w:tc>
      </w:tr>
      <w:tr>
        <w:tc>
          <w:tcPr>
            <w:tcW w:type="dxa" w:w="3179"/>
          </w:tcPr>
          <w:p>
            <w:pPr>
              <w:pStyle w:val="Compact"/>
              <w:spacing w:before="0" w:after="0" w:line="240" w:lineRule="auto"/>
              <w:jc w:val="left"/>
            </w:pPr>
            <w:r>
              <w:rPr>
                <w:sz w:val="21"/>
              </w:rPr>
              <w:t xml:space="preserve">A Board circular or Telangana HC ruling supports the noticee.</w:t>
            </w:r>
          </w:p>
        </w:tc>
        <w:tc>
          <w:tcPr>
            <w:tcW w:type="dxa" w:w="4669"/>
          </w:tcPr>
          <w:p>
            <w:pPr>
              <w:pStyle w:val="Compact"/>
              <w:spacing w:before="0" w:after="0" w:line="240" w:lineRule="auto"/>
              <w:jc w:val="left"/>
            </w:pPr>
            <w:r>
              <w:rPr>
                <w:sz w:val="21"/>
              </w:rPr>
              <w:t xml:space="preserve">Follow it.</w:t>
            </w:r>
          </w:p>
        </w:tc>
        <w:tc>
          <w:tcPr>
            <w:tcW w:type="dxa" w:w="1790"/>
          </w:tcPr>
          <w:p>
            <w:pPr>
              <w:pStyle w:val="Compact"/>
              <w:spacing w:before="0" w:after="0" w:line="240" w:lineRule="auto"/>
              <w:jc w:val="left"/>
            </w:pPr>
            <w:r>
              <w:rPr>
                <w:iCs/>
                <w:i/>
                <w:sz w:val="21"/>
              </w:rPr>
              <w:t xml:space="preserve">Ratan Melting</w:t>
            </w:r>
            <w:r>
              <w:rPr>
                <w:sz w:val="21"/>
              </w:rPr>
              <w:t xml:space="preserve"> </w:t>
            </w:r>
            <w:r>
              <w:rPr>
                <w:sz w:val="21"/>
              </w:rPr>
              <w:t xml:space="preserve">(SC)</w:t>
            </w:r>
          </w:p>
        </w:tc>
      </w:tr>
      <w:tr>
        <w:tc>
          <w:tcPr>
            <w:tcW w:type="dxa" w:w="3179"/>
          </w:tcPr>
          <w:p>
            <w:pPr>
              <w:pStyle w:val="Compact"/>
              <w:spacing w:before="0" w:after="0" w:line="240" w:lineRule="auto"/>
              <w:jc w:val="left"/>
            </w:pPr>
            <w:r>
              <w:rPr>
                <w:sz w:val="21"/>
              </w:rPr>
              <w:t xml:space="preserve">Tax was paid at the lower rate.</w:t>
            </w:r>
          </w:p>
        </w:tc>
        <w:tc>
          <w:tcPr>
            <w:tcW w:type="dxa" w:w="4669"/>
          </w:tcPr>
          <w:p>
            <w:pPr>
              <w:pStyle w:val="Compact"/>
              <w:spacing w:before="0" w:after="0" w:line="240" w:lineRule="auto"/>
              <w:jc w:val="left"/>
            </w:pPr>
            <w:r>
              <w:rPr>
                <w:sz w:val="21"/>
              </w:rPr>
              <w:t xml:space="preserve">Demand only the difference in rate, giving credit for tax paid.</w:t>
            </w:r>
          </w:p>
        </w:tc>
        <w:tc>
          <w:tcPr>
            <w:tcW w:type="dxa" w:w="1790"/>
          </w:tcPr>
          <w:p>
            <w:pPr>
              <w:pStyle w:val="Compact"/>
              <w:spacing w:before="0" w:after="0" w:line="240" w:lineRule="auto"/>
              <w:jc w:val="left"/>
            </w:pPr>
            <w:r>
              <w:rPr>
                <w:sz w:val="21"/>
              </w:rPr>
              <w:t xml:space="preserve">Section 75(7)</w:t>
            </w:r>
          </w:p>
        </w:tc>
      </w:tr>
      <w:tr>
        <w:tc>
          <w:tcPr>
            <w:tcW w:type="dxa" w:w="3179"/>
          </w:tcPr>
          <w:p>
            <w:pPr>
              <w:pStyle w:val="Compact"/>
              <w:spacing w:before="0" w:after="0" w:line="240" w:lineRule="auto"/>
              <w:jc w:val="left"/>
            </w:pPr>
            <w:r>
              <w:rPr>
                <w:sz w:val="21"/>
              </w:rPr>
              <w:t xml:space="preserve">Tax was paid as IGST and not CGST and SGST (or the reverse).</w:t>
            </w:r>
          </w:p>
        </w:tc>
        <w:tc>
          <w:tcPr>
            <w:tcW w:type="dxa" w:w="4669"/>
          </w:tcPr>
          <w:p>
            <w:pPr>
              <w:pStyle w:val="Compact"/>
              <w:spacing w:before="0" w:after="0" w:line="240" w:lineRule="auto"/>
              <w:jc w:val="left"/>
            </w:pPr>
            <w:r>
              <w:rPr>
                <w:sz w:val="21"/>
              </w:rPr>
              <w:t xml:space="preserve">Give credit for the tax paid; no interest on the CGST and SGST where IGST was paid (section 77(2)).</w:t>
            </w:r>
          </w:p>
        </w:tc>
        <w:tc>
          <w:tcPr>
            <w:tcW w:type="dxa" w:w="1790"/>
          </w:tcPr>
          <w:p>
            <w:pPr>
              <w:pStyle w:val="Compact"/>
              <w:spacing w:before="0" w:after="0" w:line="240" w:lineRule="auto"/>
              <w:jc w:val="left"/>
            </w:pPr>
            <w:r>
              <w:rPr>
                <w:sz w:val="21"/>
              </w:rPr>
              <w:t xml:space="preserve">Section 77;</w:t>
            </w:r>
            <w:r>
              <w:rPr>
                <w:sz w:val="21"/>
              </w:rPr>
              <w:t xml:space="preserve"> </w:t>
            </w:r>
            <w:r>
              <w:rPr>
                <w:iCs/>
                <w:i/>
                <w:sz w:val="21"/>
              </w:rPr>
              <w:t xml:space="preserve">GR Tech Services</w:t>
            </w:r>
            <w:r>
              <w:rPr>
                <w:sz w:val="21"/>
              </w:rPr>
              <w:t xml:space="preserve"> </w:t>
            </w:r>
            <w:r>
              <w:rPr>
                <w:sz w:val="21"/>
              </w:rPr>
              <w:t xml:space="preserve">(Karnataka HC), persuasive</w:t>
            </w:r>
          </w:p>
        </w:tc>
      </w:tr>
      <w:tr>
        <w:tc>
          <w:tcPr>
            <w:tcW w:type="dxa" w:w="3179"/>
          </w:tcPr>
          <w:p>
            <w:pPr>
              <w:pStyle w:val="Compact"/>
              <w:spacing w:before="0" w:after="0" w:line="240" w:lineRule="auto"/>
              <w:jc w:val="left"/>
            </w:pPr>
            <w:r>
              <w:rPr>
                <w:sz w:val="21"/>
              </w:rPr>
              <w:t xml:space="preserve">Section 74 is invoked for a rate dispute.</w:t>
            </w:r>
          </w:p>
        </w:tc>
        <w:tc>
          <w:tcPr>
            <w:tcW w:type="dxa" w:w="4669"/>
          </w:tcPr>
          <w:p>
            <w:pPr>
              <w:pStyle w:val="Compact"/>
              <w:spacing w:before="0" w:after="0" w:line="240" w:lineRule="auto"/>
              <w:jc w:val="left"/>
            </w:pPr>
            <w:r>
              <w:rPr>
                <w:sz w:val="21"/>
              </w:rPr>
              <w:t xml:space="preserve">A rate or classification dispute disclosed in the returns is not suppression.</w:t>
            </w:r>
          </w:p>
        </w:tc>
        <w:tc>
          <w:tcPr>
            <w:tcW w:type="dxa" w:w="1790"/>
          </w:tcPr>
          <w:p>
            <w:pPr>
              <w:pStyle w:val="Compact"/>
              <w:spacing w:before="0" w:after="0" w:line="240" w:lineRule="auto"/>
              <w:jc w:val="left"/>
            </w:pPr>
            <w:r>
              <w:rPr>
                <w:iCs/>
                <w:i/>
                <w:sz w:val="21"/>
              </w:rPr>
              <w:t xml:space="preserve">G.R. Infra Projects</w:t>
            </w:r>
            <w:r>
              <w:rPr>
                <w:sz w:val="21"/>
              </w:rPr>
              <w:t xml:space="preserve"> </w:t>
            </w:r>
            <w:r>
              <w:rPr>
                <w:sz w:val="21"/>
              </w:rPr>
              <w:t xml:space="preserve">(SC)</w:t>
            </w:r>
          </w:p>
        </w:tc>
      </w:tr>
    </w:tbl>
    <w:p>
      <w:pPr>
        <w:pStyle w:val="BodyText"/>
        <w:spacing w:before="0" w:after="120" w:line="269" w:lineRule="auto"/>
        <w:jc w:val="both"/>
      </w:pPr>
      <w:r>
        <w:t xml:space="preserve">8.2</w:t>
      </w:r>
      <w:r>
        <w:t xml:space="preserve"> </w:t>
      </w:r>
      <w:r>
        <w:rPr>
          <w:bCs/>
          <w:b/>
        </w:rPr>
        <w:t xml:space="preserve">Model finding.</w:t>
      </w:r>
      <w:r>
        <w:t xml:space="preserve"> </w:t>
      </w:r>
      <w:r>
        <w:t xml:space="preserve">“</w:t>
      </w:r>
      <w:r>
        <w:t xml:space="preserve">The noticee supplies [product] and has paid tax at [ ]% under heading [ ]. The SCN (para [ ]) classifies it under heading [ ], taxable at [ ]%. The product is [description from the record: composition, form, packaging] (RUD-[ ], D-[ ]). Heading [ ] covers</w:t>
      </w:r>
      <w:r>
        <w:t xml:space="preserve"> </w:t>
      </w:r>
      <w:r>
        <w:t xml:space="preserve">‘</w:t>
      </w:r>
      <w:r>
        <w:t xml:space="preserve">[heading text]</w:t>
      </w:r>
      <w:r>
        <w:t xml:space="preserve">’</w:t>
      </w:r>
      <w:r>
        <w:t xml:space="preserve">; Note [ ] to Chapter [ ] [includes / excludes] [ ]. The product [is / is not] within those words because [ ]. [The noticee’s heading [ ] fails at rule 1 because [ ].] The differential tax of ₹[ ] (tax at [ ]% less tax paid at [ ]%) is confirmed. As the noticee disclosed the product and the rate in its returns, I do not find suppression; [the demand is under section 73 / the penalty is under section 74A(5)(i)].</w:t>
      </w:r>
      <w:r>
        <w:t xml:space="preserve">”</w:t>
      </w:r>
    </w:p>
    <w:p>
      <w:pPr>
        <w:pStyle w:val="BodyText"/>
        <w:spacing w:before="0" w:after="120" w:line="269" w:lineRule="auto"/>
        <w:jc w:val="both"/>
      </w:pPr>
      <w:r>
        <w:t xml:space="preserve">8.3</w:t>
      </w:r>
      <w:r>
        <w:t xml:space="preserve"> </w:t>
      </w:r>
      <w:r>
        <w:rPr>
          <w:bCs/>
          <w:b/>
        </w:rPr>
        <w:t xml:space="preserve">Drop the demand when:</w:t>
      </w:r>
      <w:r>
        <w:t xml:space="preserve"> </w:t>
      </w:r>
      <w:r>
        <w:t xml:space="preserve">the heading proposed is not shown to fit; the noticee’s heading is supported by the notes, a binding circular or a binding ruling; the goods’ form at sale differs from what the SCN assumed.</w:t>
      </w:r>
    </w:p>
    <w:p>
      <w:pPr>
        <w:pStyle w:val="BodyText"/>
        <w:keepNext/>
        <w:spacing w:before="240" w:after="80"/>
        <w:pBdr>
          <w:bottom w:val="single" w:sz="6" w:space="1" w:color="B4C6E7"/>
        </w:pBdr>
      </w:pPr>
      <w:r>
        <w:rPr>
          <w:bCs/>
          <w:b/>
          <w:color w:val="1F3864"/>
          <w:sz w:val="25"/>
        </w:rPr>
        <w:t xml:space="preserve">9. Blocked credit (section 17(5))</w:t>
      </w:r>
    </w:p>
    <w:p>
      <w:pPr>
        <w:pStyle w:val="BodyText"/>
        <w:spacing w:before="0" w:after="120" w:line="269" w:lineRule="auto"/>
        <w:jc w:val="both"/>
      </w:pPr>
      <w:r>
        <w:t xml:space="preserve">9.1</w:t>
      </w:r>
      <w:r>
        <w:t xml:space="preserve"> </w:t>
      </w:r>
      <w:r>
        <w:rPr>
          <w:bCs/>
          <w:b/>
        </w:rPr>
        <w:t xml:space="preserve">What decides it.</w:t>
      </w:r>
      <w:r>
        <w:t xml:space="preserve"> </w:t>
      </w:r>
      <w:r>
        <w:t xml:space="preserve">Credit is blocked on the items in section 17(5), subject to the exceptions in each clause. The main clauses: (a) and (aa) motor vehicles, vessels and aircraft, except for the uses named; (b) food, beverages, outdoor catering, beauty treatment, health services, cosmetic surgery, leasing of such vehicles, life and health insurance, club and fitness membership, and leave travel, with the provisos for supplies of the same category and for what an employer is obliged by law to provide; (c) works contract services and (d) goods or services for construction of an immovable property on own account, other than</w:t>
      </w:r>
      <w:r>
        <w:t xml:space="preserve"> </w:t>
      </w:r>
      <w:r>
        <w:t xml:space="preserve">“</w:t>
      </w:r>
      <w:r>
        <w:t xml:space="preserve">plant and machinery</w:t>
      </w:r>
      <w:r>
        <w:t xml:space="preserve">”</w:t>
      </w:r>
      <w:r>
        <w:t xml:space="preserve"> </w:t>
      </w:r>
      <w:r>
        <w:t xml:space="preserve">(Explanation 2 to section 17(5), inserted by the Finance Act, 2025 with retrospective effect, reads</w:t>
      </w:r>
      <w:r>
        <w:t xml:space="preserve"> </w:t>
      </w:r>
      <w:r>
        <w:t xml:space="preserve">“</w:t>
      </w:r>
      <w:r>
        <w:t xml:space="preserve">plant or machinery</w:t>
      </w:r>
      <w:r>
        <w:t xml:space="preserve">”</w:t>
      </w:r>
      <w:r>
        <w:t xml:space="preserve"> </w:t>
      </w:r>
      <w:r>
        <w:t xml:space="preserve">as</w:t>
      </w:r>
      <w:r>
        <w:t xml:space="preserve"> </w:t>
      </w:r>
      <w:r>
        <w:t xml:space="preserve">“</w:t>
      </w:r>
      <w:r>
        <w:t xml:space="preserve">plant and machinery</w:t>
      </w:r>
      <w:r>
        <w:t xml:space="preserve">”</w:t>
      </w:r>
      <w:r>
        <w:t xml:space="preserve">, overriding any judgment, including the functionality test in</w:t>
      </w:r>
      <w:r>
        <w:t xml:space="preserve"> </w:t>
      </w:r>
      <w:r>
        <w:rPr>
          <w:iCs/>
          <w:i/>
        </w:rPr>
        <w:t xml:space="preserve">Safari Retreats</w:t>
      </w:r>
      <w:r>
        <w:t xml:space="preserve">, Supreme Court, 03.10.2024); (fa) corporate social responsibility, from 01.10.2023; (g) personal consumption; (h) goods lost, stolen, destroyed, written off, gifted or given as free samples.</w:t>
      </w:r>
      <w:r>
        <w:t xml:space="preserve"> </w:t>
      </w:r>
      <w:r>
        <w:rPr>
          <w:bCs/>
          <w:b/>
        </w:rPr>
        <w:t xml:space="preserve">Evidence:</w:t>
      </w:r>
      <w:r>
        <w:t xml:space="preserve"> </w:t>
      </w:r>
      <w:r>
        <w:t xml:space="preserve">the nature of the item; the accounting (capitalised to building or to plant); the use; the law that obliges the employer, where claimed.</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372"/>
        <w:gridCol w:w="4453"/>
        <w:gridCol w:w="1813"/>
      </w:tblGrid>
      <w:tr>
        <w:trPr>
          <w:tblHeader w:val="true"/>
          <w:tblHeader/>
        </w:trPr>
        <w:tc>
          <w:tcPr>
            <w:tcW w:type="dxa" w:w="3372"/>
            <w:shd w:val="clear" w:color="auto" w:fill="DCE6F1"/>
          </w:tcPr>
          <w:p>
            <w:pPr>
              <w:pStyle w:val="Compact"/>
              <w:spacing w:before="0" w:after="0" w:line="240" w:lineRule="auto"/>
              <w:jc w:val="left"/>
            </w:pPr>
            <w:r>
              <w:rPr>
                <w:b/>
                <w:color w:val="1F3864"/>
                <w:sz w:val="21"/>
              </w:rPr>
              <w:t xml:space="preserve">Defence usually raised</w:t>
            </w:r>
          </w:p>
        </w:tc>
        <w:tc>
          <w:tcPr>
            <w:tcW w:type="dxa" w:w="4453"/>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813"/>
            <w:shd w:val="clear" w:color="auto" w:fill="DCE6F1"/>
          </w:tcPr>
          <w:p>
            <w:pPr>
              <w:pStyle w:val="Compact"/>
              <w:spacing w:before="0" w:after="0" w:line="240" w:lineRule="auto"/>
              <w:jc w:val="left"/>
            </w:pPr>
            <w:r>
              <w:rPr>
                <w:b/>
                <w:color w:val="1F3864"/>
                <w:sz w:val="21"/>
              </w:rPr>
              <w:t xml:space="preserve">Authority</w:t>
            </w:r>
          </w:p>
        </w:tc>
      </w:tr>
      <w:tr>
        <w:tc>
          <w:tcPr>
            <w:tcW w:type="dxa" w:w="3372"/>
          </w:tcPr>
          <w:p>
            <w:pPr>
              <w:pStyle w:val="Compact"/>
              <w:spacing w:before="0" w:after="0" w:line="240" w:lineRule="auto"/>
              <w:jc w:val="left"/>
            </w:pPr>
            <w:r>
              <w:rPr>
                <w:sz w:val="21"/>
              </w:rPr>
              <w:t xml:space="preserve">The item is</w:t>
            </w:r>
            <w:r>
              <w:rPr>
                <w:sz w:val="21"/>
              </w:rPr>
              <w:t xml:space="preserve"> </w:t>
            </w:r>
            <w:r>
              <w:rPr>
                <w:sz w:val="21"/>
              </w:rPr>
              <w:t xml:space="preserve">“</w:t>
            </w:r>
            <w:r>
              <w:rPr>
                <w:sz w:val="21"/>
              </w:rPr>
              <w:t xml:space="preserve">plant and machinery</w:t>
            </w:r>
            <w:r>
              <w:rPr>
                <w:sz w:val="21"/>
              </w:rPr>
              <w:t xml:space="preserve">”</w:t>
            </w:r>
            <w:r>
              <w:rPr>
                <w:sz w:val="21"/>
              </w:rPr>
              <w:t xml:space="preserve">, not a building.</w:t>
            </w:r>
          </w:p>
        </w:tc>
        <w:tc>
          <w:tcPr>
            <w:tcW w:type="dxa" w:w="4453"/>
          </w:tcPr>
          <w:p>
            <w:pPr>
              <w:pStyle w:val="Compact"/>
              <w:spacing w:before="0" w:after="0" w:line="240" w:lineRule="auto"/>
              <w:jc w:val="left"/>
            </w:pPr>
            <w:r>
              <w:rPr>
                <w:sz w:val="21"/>
              </w:rPr>
              <w:t xml:space="preserve">Apply the definition in the Explanation to section 17: apparatus, equipment and machinery fixed to earth by foundation or structural support, used for making outward supplies, including the foundation, but excluding land, buildings and other civil structures and the other items listed.</w:t>
            </w:r>
            <w:r>
              <w:rPr>
                <w:sz w:val="21"/>
              </w:rPr>
              <w:t xml:space="preserve"> </w:t>
            </w:r>
            <w:r>
              <w:rPr>
                <w:bCs/>
                <w:b/>
                <w:sz w:val="21"/>
              </w:rPr>
              <w:t xml:space="preserve">Accept</w:t>
            </w:r>
            <w:r>
              <w:rPr>
                <w:sz w:val="21"/>
              </w:rPr>
              <w:t xml:space="preserve"> </w:t>
            </w:r>
            <w:r>
              <w:rPr>
                <w:sz w:val="21"/>
              </w:rPr>
              <w:t xml:space="preserve">for items that meet it.</w:t>
            </w:r>
          </w:p>
        </w:tc>
        <w:tc>
          <w:tcPr>
            <w:tcW w:type="dxa" w:w="1813"/>
          </w:tcPr>
          <w:p>
            <w:pPr>
              <w:pStyle w:val="Compact"/>
              <w:spacing w:before="0" w:after="0" w:line="240" w:lineRule="auto"/>
              <w:jc w:val="left"/>
            </w:pPr>
            <w:r>
              <w:rPr>
                <w:sz w:val="21"/>
              </w:rPr>
              <w:t xml:space="preserve">Section 17(5)(d), Explanation 2; Explanation to section 17</w:t>
            </w:r>
          </w:p>
        </w:tc>
      </w:tr>
      <w:tr>
        <w:tc>
          <w:tcPr>
            <w:tcW w:type="dxa" w:w="3372"/>
          </w:tcPr>
          <w:p>
            <w:pPr>
              <w:pStyle w:val="Compact"/>
              <w:spacing w:before="0" w:after="0" w:line="240" w:lineRule="auto"/>
              <w:jc w:val="left"/>
            </w:pPr>
            <w:r>
              <w:rPr>
                <w:iCs/>
                <w:i/>
                <w:sz w:val="21"/>
              </w:rPr>
              <w:t xml:space="preserve">Safari Retreats</w:t>
            </w:r>
            <w:r>
              <w:rPr>
                <w:sz w:val="21"/>
              </w:rPr>
              <w:t xml:space="preserve"> </w:t>
            </w:r>
            <w:r>
              <w:rPr>
                <w:sz w:val="21"/>
              </w:rPr>
              <w:t xml:space="preserve">allows credit on a building used for letting.</w:t>
            </w:r>
          </w:p>
        </w:tc>
        <w:tc>
          <w:tcPr>
            <w:tcW w:type="dxa" w:w="4453"/>
          </w:tcPr>
          <w:p>
            <w:pPr>
              <w:pStyle w:val="Compact"/>
              <w:spacing w:before="0" w:after="0" w:line="240" w:lineRule="auto"/>
              <w:jc w:val="left"/>
            </w:pPr>
            <w:r>
              <w:rPr>
                <w:sz w:val="21"/>
              </w:rPr>
              <w:t xml:space="preserve">The Finance Act, 2025 amendment overrides the functionality test.</w:t>
            </w:r>
          </w:p>
        </w:tc>
        <w:tc>
          <w:tcPr>
            <w:tcW w:type="dxa" w:w="1813"/>
          </w:tcPr>
          <w:p>
            <w:pPr>
              <w:pStyle w:val="Compact"/>
              <w:spacing w:before="0" w:after="0" w:line="240" w:lineRule="auto"/>
              <w:jc w:val="left"/>
            </w:pPr>
            <w:r>
              <w:rPr>
                <w:sz w:val="21"/>
              </w:rPr>
              <w:t xml:space="preserve">Explanation 2 to section 17(5)</w:t>
            </w:r>
          </w:p>
        </w:tc>
      </w:tr>
      <w:tr>
        <w:tc>
          <w:tcPr>
            <w:tcW w:type="dxa" w:w="3372"/>
          </w:tcPr>
          <w:p>
            <w:pPr>
              <w:pStyle w:val="Compact"/>
              <w:spacing w:before="0" w:after="0" w:line="240" w:lineRule="auto"/>
              <w:jc w:val="left"/>
            </w:pPr>
            <w:r>
              <w:rPr>
                <w:sz w:val="21"/>
              </w:rPr>
              <w:t xml:space="preserve">The canteen or insurance is required by law (for example under labour law).</w:t>
            </w:r>
          </w:p>
        </w:tc>
        <w:tc>
          <w:tcPr>
            <w:tcW w:type="dxa" w:w="4453"/>
          </w:tcPr>
          <w:p>
            <w:pPr>
              <w:pStyle w:val="Compact"/>
              <w:spacing w:before="0" w:after="0" w:line="240" w:lineRule="auto"/>
              <w:jc w:val="left"/>
            </w:pPr>
            <w:r>
              <w:rPr>
                <w:bCs/>
                <w:b/>
                <w:sz w:val="21"/>
              </w:rPr>
              <w:t xml:space="preserve">Accept</w:t>
            </w:r>
            <w:r>
              <w:rPr>
                <w:sz w:val="21"/>
              </w:rPr>
              <w:t xml:space="preserve"> </w:t>
            </w:r>
            <w:r>
              <w:rPr>
                <w:sz w:val="21"/>
              </w:rPr>
              <w:t xml:space="preserve">where the noticee shows the specific legal obligation.</w:t>
            </w:r>
          </w:p>
        </w:tc>
        <w:tc>
          <w:tcPr>
            <w:tcW w:type="dxa" w:w="1813"/>
          </w:tcPr>
          <w:p>
            <w:pPr>
              <w:pStyle w:val="Compact"/>
              <w:spacing w:before="0" w:after="0" w:line="240" w:lineRule="auto"/>
              <w:jc w:val="left"/>
            </w:pPr>
            <w:r>
              <w:rPr>
                <w:sz w:val="21"/>
              </w:rPr>
              <w:t xml:space="preserve">Proviso to section 17(5)(b)</w:t>
            </w:r>
          </w:p>
        </w:tc>
      </w:tr>
      <w:tr>
        <w:tc>
          <w:tcPr>
            <w:tcW w:type="dxa" w:w="3372"/>
          </w:tcPr>
          <w:p>
            <w:pPr>
              <w:pStyle w:val="Compact"/>
              <w:spacing w:before="0" w:after="0" w:line="240" w:lineRule="auto"/>
              <w:jc w:val="left"/>
            </w:pPr>
            <w:r>
              <w:rPr>
                <w:sz w:val="21"/>
              </w:rPr>
              <w:t xml:space="preserve">The vehicle or service is used to make an outward supply of the same category.</w:t>
            </w:r>
          </w:p>
        </w:tc>
        <w:tc>
          <w:tcPr>
            <w:tcW w:type="dxa" w:w="4453"/>
          </w:tcPr>
          <w:p>
            <w:pPr>
              <w:pStyle w:val="Compact"/>
              <w:spacing w:before="0" w:after="0" w:line="240" w:lineRule="auto"/>
              <w:jc w:val="left"/>
            </w:pPr>
            <w:r>
              <w:rPr>
                <w:bCs/>
                <w:b/>
                <w:sz w:val="21"/>
              </w:rPr>
              <w:t xml:space="preserve">Accept</w:t>
            </w:r>
            <w:r>
              <w:rPr>
                <w:sz w:val="21"/>
              </w:rPr>
              <w:t xml:space="preserve"> </w:t>
            </w:r>
            <w:r>
              <w:rPr>
                <w:sz w:val="21"/>
              </w:rPr>
              <w:t xml:space="preserve">where the outward supply is shown.</w:t>
            </w:r>
          </w:p>
        </w:tc>
        <w:tc>
          <w:tcPr>
            <w:tcW w:type="dxa" w:w="1813"/>
          </w:tcPr>
          <w:p>
            <w:pPr>
              <w:pStyle w:val="Compact"/>
              <w:spacing w:before="0" w:after="0" w:line="240" w:lineRule="auto"/>
              <w:jc w:val="left"/>
            </w:pPr>
            <w:r>
              <w:rPr>
                <w:sz w:val="21"/>
              </w:rPr>
              <w:t xml:space="preserve">Section 17(5)(a), (b) provisos</w:t>
            </w:r>
          </w:p>
        </w:tc>
      </w:tr>
      <w:tr>
        <w:tc>
          <w:tcPr>
            <w:tcW w:type="dxa" w:w="3372"/>
          </w:tcPr>
          <w:p>
            <w:pPr>
              <w:pStyle w:val="Compact"/>
              <w:spacing w:before="0" w:after="0" w:line="240" w:lineRule="auto"/>
              <w:jc w:val="left"/>
            </w:pPr>
            <w:r>
              <w:rPr>
                <w:sz w:val="21"/>
              </w:rPr>
              <w:t xml:space="preserve">Credit on CSR before 01.10.2023.</w:t>
            </w:r>
          </w:p>
        </w:tc>
        <w:tc>
          <w:tcPr>
            <w:tcW w:type="dxa" w:w="4453"/>
          </w:tcPr>
          <w:p>
            <w:pPr>
              <w:pStyle w:val="Compact"/>
              <w:spacing w:before="0" w:after="0" w:line="240" w:lineRule="auto"/>
              <w:jc w:val="left"/>
            </w:pPr>
            <w:r>
              <w:rPr>
                <w:sz w:val="21"/>
              </w:rPr>
              <w:t xml:space="preserve">Clause (fa) does not apply before that date; test under section 16(1) (use in the course or furtherance of business).</w:t>
            </w:r>
          </w:p>
        </w:tc>
        <w:tc>
          <w:tcPr>
            <w:tcW w:type="dxa" w:w="1813"/>
          </w:tcPr>
          <w:p>
            <w:pPr>
              <w:pStyle w:val="Compact"/>
              <w:spacing w:before="0" w:after="0" w:line="240" w:lineRule="auto"/>
              <w:jc w:val="left"/>
            </w:pPr>
            <w:r>
              <w:rPr>
                <w:sz w:val="21"/>
              </w:rPr>
              <w:t xml:space="preserve">Section 17(5)(fa)</w:t>
            </w:r>
          </w:p>
        </w:tc>
      </w:tr>
    </w:tbl>
    <w:p>
      <w:pPr>
        <w:pStyle w:val="BodyText"/>
        <w:spacing w:before="0" w:after="120" w:line="269" w:lineRule="auto"/>
        <w:jc w:val="both"/>
      </w:pPr>
      <w:r>
        <w:t xml:space="preserve">9.2</w:t>
      </w:r>
      <w:r>
        <w:t xml:space="preserve"> </w:t>
      </w:r>
      <w:r>
        <w:rPr>
          <w:bCs/>
          <w:b/>
        </w:rPr>
        <w:t xml:space="preserve">Model finding.</w:t>
      </w:r>
      <w:r>
        <w:t xml:space="preserve"> </w:t>
      </w:r>
      <w:r>
        <w:t xml:space="preserve">“</w:t>
      </w:r>
      <w:r>
        <w:t xml:space="preserve">The noticee availed credit of ₹[ ] on [items] (RUD-[ ]) used in [the construction of its office building at [ ]]. The fixed asset register (D-[ ]) shows the cost capitalised to</w:t>
      </w:r>
      <w:r>
        <w:t xml:space="preserve"> </w:t>
      </w:r>
      <w:r>
        <w:t xml:space="preserve">‘</w:t>
      </w:r>
      <w:r>
        <w:t xml:space="preserve">Building</w:t>
      </w:r>
      <w:r>
        <w:t xml:space="preserve">’</w:t>
      </w:r>
      <w:r>
        <w:t xml:space="preserve">. These are goods and services received for construction of an immovable property on the noticee’s own account. The noticee’s claim (R-[ ]) that the building is</w:t>
      </w:r>
      <w:r>
        <w:t xml:space="preserve"> </w:t>
      </w:r>
      <w:r>
        <w:t xml:space="preserve">‘</w:t>
      </w:r>
      <w:r>
        <w:t xml:space="preserve">plant</w:t>
      </w:r>
      <w:r>
        <w:t xml:space="preserve">’</w:t>
      </w:r>
      <w:r>
        <w:t xml:space="preserve"> </w:t>
      </w:r>
      <w:r>
        <w:t xml:space="preserve">rests on the functionality test, which Explanation 2 to section 17(5) now excludes. Credit of ₹[ ] is blocked by section 17(5)(d) and is confirmed. Credit of ₹[ ] on [the foundation and structural supports of the [machine] in the production shed] is the foundation and structural support of machinery fixed to earth and used for making outward supplies. It is part of plant and machinery, and that part is dropped.</w:t>
      </w:r>
      <w:r>
        <w:t xml:space="preserve">”</w:t>
      </w:r>
    </w:p>
    <w:p>
      <w:pPr>
        <w:pStyle w:val="BodyText"/>
        <w:spacing w:before="0" w:after="120" w:line="269" w:lineRule="auto"/>
        <w:jc w:val="both"/>
      </w:pPr>
      <w:r>
        <w:t xml:space="preserve">9.3</w:t>
      </w:r>
      <w:r>
        <w:t xml:space="preserve"> </w:t>
      </w:r>
      <w:r>
        <w:rPr>
          <w:bCs/>
          <w:b/>
        </w:rPr>
        <w:t xml:space="preserve">Drop the demand when:</w:t>
      </w:r>
      <w:r>
        <w:t xml:space="preserve"> </w:t>
      </w:r>
      <w:r>
        <w:t xml:space="preserve">an exception in the clause is proved; the item is plant and machinery; the period is before the clause took effect.</w:t>
      </w:r>
    </w:p>
    <w:p>
      <w:pPr>
        <w:pStyle w:val="BlockText"/>
        <w:shd w:val="clear" w:color="auto" w:fill="E7E6E6"/>
      </w:pPr>
      <w:r>
        <w:rPr>
          <w:bCs/>
          <w:b/>
          <w:sz w:val="21"/>
        </w:rPr>
        <w:t xml:space="preserve">Drafting note:</w:t>
      </w:r>
      <w:r>
        <w:rPr>
          <w:sz w:val="21"/>
        </w:rPr>
        <w:t xml:space="preserve"> </w:t>
      </w:r>
      <w:r>
        <w:rPr>
          <w:sz w:val="21"/>
        </w:rPr>
        <w:t xml:space="preserve">a blocked-credit claim shown openly in the returns is not suppression; use section 73 or 74A(5)(i) unless the SCN pleads specific facts of concealment.</w:t>
      </w:r>
    </w:p>
    <w:p>
      <w:pPr>
        <w:pStyle w:val="FirstParagraph"/>
        <w:keepNext/>
        <w:spacing w:before="240" w:after="80"/>
        <w:pBdr>
          <w:bottom w:val="single" w:sz="6" w:space="1" w:color="B4C6E7"/>
        </w:pBdr>
      </w:pPr>
      <w:r>
        <w:rPr>
          <w:bCs/>
          <w:b/>
          <w:color w:val="1F3864"/>
          <w:sz w:val="25"/>
        </w:rPr>
        <w:t xml:space="preserve">10. Late fee and interest</w:t>
      </w:r>
    </w:p>
    <w:p>
      <w:pPr>
        <w:pStyle w:val="BodyText"/>
        <w:spacing w:before="0" w:after="120" w:line="269" w:lineRule="auto"/>
        <w:jc w:val="both"/>
      </w:pPr>
      <w:r>
        <w:t xml:space="preserve">10.1</w:t>
      </w:r>
      <w:r>
        <w:t xml:space="preserve"> </w:t>
      </w:r>
      <w:r>
        <w:rPr>
          <w:bCs/>
          <w:b/>
        </w:rPr>
        <w:t xml:space="preserve">Interest: what decides it.</w:t>
      </w:r>
      <w:r>
        <w:t xml:space="preserve"> </w:t>
      </w:r>
      <w:r>
        <w:t xml:space="preserve">Interest under section 50(1) is payable on tax not paid by its due date, for the period it remains unpaid, at eighteen per cent (Notification No. 13/2017-Central Tax). For tax on supplies of a tax period declared in the return for that period filed late, interest is levied only on the part paid from the electronic cash ledger, unless the return was filed after proceedings under section 73, 74 or 74A for that period began (proviso to section 50(1); rule 88B(1)). Interest under section 50(3) is payable only on credit wrongly availed and utilised (rule 88B(3)). Undisputed interest on self-assessed tax is recovered through DRC-01D (rule 142B); a disputed interest demand needs an SCN.</w:t>
      </w:r>
    </w:p>
    <w:p>
      <w:pPr>
        <w:pStyle w:val="BodyText"/>
        <w:spacing w:before="0" w:after="120" w:line="269" w:lineRule="auto"/>
        <w:jc w:val="both"/>
      </w:pPr>
      <w:r>
        <w:t xml:space="preserve">10.2</w:t>
      </w:r>
      <w:r>
        <w:t xml:space="preserve"> </w:t>
      </w:r>
      <w:r>
        <w:rPr>
          <w:bCs/>
          <w:b/>
        </w:rPr>
        <w:t xml:space="preserve">Late fee: what decides it.</w:t>
      </w:r>
      <w:r>
        <w:t xml:space="preserve"> </w:t>
      </w:r>
      <w:r>
        <w:t xml:space="preserve">Late fee is levied by section 47: for GSTR-1 and GSTR-3B, one hundred rupees a day under the CGST Act up to five thousand rupees (section 47(1)), reduced for many registered persons by Notifications No. 20/2021-Central Tax (GSTR-1) and 19/2021-Central Tax (GSTR-3B); for the annual return, one hundred rupees a day up to a quarter per cent of turnover (section 47(2)), as rationalised by Notification No. 7/2023-Central Tax. Check the due date (and any extension notification) for each return before computing the days of delay.</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3499"/>
        <w:gridCol w:w="4172"/>
        <w:gridCol w:w="1967"/>
      </w:tblGrid>
      <w:tr>
        <w:trPr>
          <w:tblHeader w:val="true"/>
          <w:tblHeader/>
        </w:trPr>
        <w:tc>
          <w:tcPr>
            <w:tcW w:type="dxa" w:w="3499"/>
            <w:shd w:val="clear" w:color="auto" w:fill="DCE6F1"/>
          </w:tcPr>
          <w:p>
            <w:pPr>
              <w:pStyle w:val="Compact"/>
              <w:spacing w:before="0" w:after="0" w:line="240" w:lineRule="auto"/>
              <w:jc w:val="left"/>
            </w:pPr>
            <w:r>
              <w:rPr>
                <w:b/>
                <w:color w:val="1F3864"/>
                <w:sz w:val="21"/>
              </w:rPr>
              <w:t xml:space="preserve">Defence usually raised</w:t>
            </w:r>
          </w:p>
        </w:tc>
        <w:tc>
          <w:tcPr>
            <w:tcW w:type="dxa" w:w="4172"/>
            <w:shd w:val="clear" w:color="auto" w:fill="DCE6F1"/>
          </w:tcPr>
          <w:p>
            <w:pPr>
              <w:pStyle w:val="Compact"/>
              <w:spacing w:before="0" w:after="0" w:line="240" w:lineRule="auto"/>
              <w:jc w:val="left"/>
            </w:pPr>
            <w:r>
              <w:rPr>
                <w:b/>
                <w:color w:val="1F3864"/>
                <w:sz w:val="21"/>
              </w:rPr>
              <w:t xml:space="preserve">How to answer it, or when to accept it</w:t>
            </w:r>
          </w:p>
        </w:tc>
        <w:tc>
          <w:tcPr>
            <w:tcW w:type="dxa" w:w="1967"/>
            <w:shd w:val="clear" w:color="auto" w:fill="DCE6F1"/>
          </w:tcPr>
          <w:p>
            <w:pPr>
              <w:pStyle w:val="Compact"/>
              <w:spacing w:before="0" w:after="0" w:line="240" w:lineRule="auto"/>
              <w:jc w:val="left"/>
            </w:pPr>
            <w:r>
              <w:rPr>
                <w:b/>
                <w:color w:val="1F3864"/>
                <w:sz w:val="21"/>
              </w:rPr>
              <w:t xml:space="preserve">Authority</w:t>
            </w:r>
          </w:p>
        </w:tc>
      </w:tr>
      <w:tr>
        <w:tc>
          <w:tcPr>
            <w:tcW w:type="dxa" w:w="3499"/>
          </w:tcPr>
          <w:p>
            <w:pPr>
              <w:pStyle w:val="Compact"/>
              <w:spacing w:before="0" w:after="0" w:line="240" w:lineRule="auto"/>
              <w:jc w:val="left"/>
            </w:pPr>
            <w:r>
              <w:rPr>
                <w:sz w:val="21"/>
              </w:rPr>
              <w:t xml:space="preserve">The return was filed late but the tax was in the cash ledger before the due date.</w:t>
            </w:r>
          </w:p>
        </w:tc>
        <w:tc>
          <w:tcPr>
            <w:tcW w:type="dxa" w:w="4172"/>
          </w:tcPr>
          <w:p>
            <w:pPr>
              <w:pStyle w:val="Compact"/>
              <w:spacing w:before="0" w:after="0" w:line="240" w:lineRule="auto"/>
              <w:jc w:val="left"/>
            </w:pPr>
            <w:r>
              <w:rPr>
                <w:bCs/>
                <w:b/>
                <w:sz w:val="21"/>
              </w:rPr>
              <w:t xml:space="preserve">Accept</w:t>
            </w:r>
            <w:r>
              <w:rPr>
                <w:sz w:val="21"/>
              </w:rPr>
              <w:t xml:space="preserve">: that amount is left out (proviso to rule 88B(1)).</w:t>
            </w:r>
          </w:p>
        </w:tc>
        <w:tc>
          <w:tcPr>
            <w:tcW w:type="dxa" w:w="1967"/>
          </w:tcPr>
          <w:p>
            <w:pPr>
              <w:pStyle w:val="Compact"/>
              <w:spacing w:before="0" w:after="0" w:line="240" w:lineRule="auto"/>
              <w:jc w:val="left"/>
            </w:pPr>
            <w:r>
              <w:rPr>
                <w:sz w:val="21"/>
              </w:rPr>
              <w:t xml:space="preserve">Rule 88B(1)</w:t>
            </w:r>
          </w:p>
        </w:tc>
      </w:tr>
      <w:tr>
        <w:tc>
          <w:tcPr>
            <w:tcW w:type="dxa" w:w="3499"/>
          </w:tcPr>
          <w:p>
            <w:pPr>
              <w:pStyle w:val="Compact"/>
              <w:spacing w:before="0" w:after="0" w:line="240" w:lineRule="auto"/>
              <w:jc w:val="left"/>
            </w:pPr>
            <w:r>
              <w:rPr>
                <w:sz w:val="21"/>
              </w:rPr>
              <w:t xml:space="preserve">Interest should be on the cash portion only.</w:t>
            </w:r>
          </w:p>
        </w:tc>
        <w:tc>
          <w:tcPr>
            <w:tcW w:type="dxa" w:w="4172"/>
          </w:tcPr>
          <w:p>
            <w:pPr>
              <w:pStyle w:val="Compact"/>
              <w:spacing w:before="0" w:after="0" w:line="240" w:lineRule="auto"/>
              <w:jc w:val="left"/>
            </w:pPr>
            <w:r>
              <w:rPr>
                <w:bCs/>
                <w:b/>
                <w:sz w:val="21"/>
              </w:rPr>
              <w:t xml:space="preserve">Accept</w:t>
            </w:r>
            <w:r>
              <w:rPr>
                <w:sz w:val="21"/>
              </w:rPr>
              <w:t xml:space="preserve"> </w:t>
            </w:r>
            <w:r>
              <w:rPr>
                <w:sz w:val="21"/>
              </w:rPr>
              <w:t xml:space="preserve">where the return for the same period was filed late and before proceedings began; record the dates. Otherwise interest is on the tax unpaid (rule 88B(2)).</w:t>
            </w:r>
          </w:p>
        </w:tc>
        <w:tc>
          <w:tcPr>
            <w:tcW w:type="dxa" w:w="1967"/>
          </w:tcPr>
          <w:p>
            <w:pPr>
              <w:pStyle w:val="Compact"/>
              <w:spacing w:before="0" w:after="0" w:line="240" w:lineRule="auto"/>
              <w:jc w:val="left"/>
            </w:pPr>
            <w:r>
              <w:rPr>
                <w:sz w:val="21"/>
              </w:rPr>
              <w:t xml:space="preserve">Proviso to section 50(1)</w:t>
            </w:r>
          </w:p>
        </w:tc>
      </w:tr>
      <w:tr>
        <w:tc>
          <w:tcPr>
            <w:tcW w:type="dxa" w:w="3499"/>
          </w:tcPr>
          <w:p>
            <w:pPr>
              <w:pStyle w:val="Compact"/>
              <w:spacing w:before="0" w:after="0" w:line="240" w:lineRule="auto"/>
              <w:jc w:val="left"/>
            </w:pPr>
            <w:r>
              <w:rPr>
                <w:sz w:val="21"/>
              </w:rPr>
              <w:t xml:space="preserve">Credit was availed but never utilised, so no section 50(3) interest.</w:t>
            </w:r>
          </w:p>
        </w:tc>
        <w:tc>
          <w:tcPr>
            <w:tcW w:type="dxa" w:w="4172"/>
          </w:tcPr>
          <w:p>
            <w:pPr>
              <w:pStyle w:val="Compact"/>
              <w:spacing w:before="0" w:after="0" w:line="240" w:lineRule="auto"/>
              <w:jc w:val="left"/>
            </w:pPr>
            <w:r>
              <w:rPr>
                <w:bCs/>
                <w:b/>
                <w:sz w:val="21"/>
              </w:rPr>
              <w:t xml:space="preserve">Accept</w:t>
            </w:r>
            <w:r>
              <w:rPr>
                <w:sz w:val="21"/>
              </w:rPr>
              <w:t xml:space="preserve"> </w:t>
            </w:r>
            <w:r>
              <w:rPr>
                <w:sz w:val="21"/>
              </w:rPr>
              <w:t xml:space="preserve">for the period the credit ledger balance stayed at or above the disputed credit.</w:t>
            </w:r>
          </w:p>
        </w:tc>
        <w:tc>
          <w:tcPr>
            <w:tcW w:type="dxa" w:w="1967"/>
          </w:tcPr>
          <w:p>
            <w:pPr>
              <w:pStyle w:val="Compact"/>
              <w:spacing w:before="0" w:after="0" w:line="240" w:lineRule="auto"/>
              <w:jc w:val="left"/>
            </w:pPr>
            <w:r>
              <w:rPr>
                <w:sz w:val="21"/>
              </w:rPr>
              <w:t xml:space="preserve">Rule 88B(3)</w:t>
            </w:r>
          </w:p>
        </w:tc>
      </w:tr>
      <w:tr>
        <w:tc>
          <w:tcPr>
            <w:tcW w:type="dxa" w:w="3499"/>
          </w:tcPr>
          <w:p>
            <w:pPr>
              <w:pStyle w:val="Compact"/>
              <w:spacing w:before="0" w:after="0" w:line="240" w:lineRule="auto"/>
              <w:jc w:val="left"/>
            </w:pPr>
            <w:r>
              <w:rPr>
                <w:sz w:val="21"/>
              </w:rPr>
              <w:t xml:space="preserve">The interest was not proposed in the SCN.</w:t>
            </w:r>
          </w:p>
        </w:tc>
        <w:tc>
          <w:tcPr>
            <w:tcW w:type="dxa" w:w="4172"/>
          </w:tcPr>
          <w:p>
            <w:pPr>
              <w:pStyle w:val="Compact"/>
              <w:spacing w:before="0" w:after="0" w:line="240" w:lineRule="auto"/>
              <w:jc w:val="left"/>
            </w:pPr>
            <w:r>
              <w:rPr>
                <w:bCs/>
                <w:b/>
                <w:sz w:val="21"/>
              </w:rPr>
              <w:t xml:space="preserve">Accept</w:t>
            </w:r>
            <w:r>
              <w:rPr>
                <w:sz w:val="21"/>
              </w:rPr>
              <w:t xml:space="preserve">: do not confirm interest the SCN never proposed.</w:t>
            </w:r>
          </w:p>
        </w:tc>
        <w:tc>
          <w:tcPr>
            <w:tcW w:type="dxa" w:w="1967"/>
          </w:tcPr>
          <w:p>
            <w:pPr>
              <w:pStyle w:val="Compact"/>
              <w:spacing w:before="0" w:after="0" w:line="240" w:lineRule="auto"/>
              <w:jc w:val="left"/>
            </w:pPr>
            <w:r>
              <w:rPr>
                <w:sz w:val="21"/>
              </w:rPr>
              <w:t xml:space="preserve">Section 75(7);</w:t>
            </w:r>
            <w:r>
              <w:rPr>
                <w:sz w:val="21"/>
              </w:rPr>
              <w:t xml:space="preserve"> </w:t>
            </w:r>
            <w:r>
              <w:rPr>
                <w:iCs/>
                <w:i/>
                <w:sz w:val="21"/>
              </w:rPr>
              <w:t xml:space="preserve">Sanjay Construction</w:t>
            </w:r>
            <w:r>
              <w:rPr>
                <w:sz w:val="21"/>
              </w:rPr>
              <w:t xml:space="preserve"> </w:t>
            </w:r>
            <w:r>
              <w:rPr>
                <w:sz w:val="21"/>
              </w:rPr>
              <w:t xml:space="preserve">(Allahabad HC, 2026), persuasive</w:t>
            </w:r>
          </w:p>
        </w:tc>
      </w:tr>
      <w:tr>
        <w:tc>
          <w:tcPr>
            <w:tcW w:type="dxa" w:w="3499"/>
          </w:tcPr>
          <w:p>
            <w:pPr>
              <w:pStyle w:val="Compact"/>
              <w:spacing w:before="0" w:after="0" w:line="240" w:lineRule="auto"/>
              <w:jc w:val="left"/>
            </w:pPr>
            <w:r>
              <w:rPr>
                <w:sz w:val="21"/>
              </w:rPr>
              <w:t xml:space="preserve">Late fee is already collected by the portal, or the period is covered by a waiver notification.</w:t>
            </w:r>
          </w:p>
        </w:tc>
        <w:tc>
          <w:tcPr>
            <w:tcW w:type="dxa" w:w="4172"/>
          </w:tcPr>
          <w:p>
            <w:pPr>
              <w:pStyle w:val="Compact"/>
              <w:spacing w:before="0" w:after="0" w:line="240" w:lineRule="auto"/>
              <w:jc w:val="left"/>
            </w:pPr>
            <w:r>
              <w:rPr>
                <w:bCs/>
                <w:b/>
                <w:sz w:val="21"/>
              </w:rPr>
              <w:t xml:space="preserve">Accept</w:t>
            </w:r>
            <w:r>
              <w:rPr>
                <w:sz w:val="21"/>
              </w:rPr>
              <w:t xml:space="preserve"> </w:t>
            </w:r>
            <w:r>
              <w:rPr>
                <w:sz w:val="21"/>
              </w:rPr>
              <w:t xml:space="preserve">where the portal or the notification shows it.</w:t>
            </w:r>
          </w:p>
        </w:tc>
        <w:tc>
          <w:tcPr>
            <w:tcW w:type="dxa" w:w="1967"/>
          </w:tcPr>
          <w:p>
            <w:pPr>
              <w:pStyle w:val="Compact"/>
              <w:spacing w:before="0" w:after="0" w:line="240" w:lineRule="auto"/>
              <w:jc w:val="left"/>
            </w:pPr>
            <w:r>
              <w:rPr>
                <w:sz w:val="21"/>
              </w:rPr>
              <w:t xml:space="preserve">Section 47; Notifications 19/2021-CT, 20/2021-CT, 7/2023-CT</w:t>
            </w:r>
          </w:p>
        </w:tc>
      </w:tr>
      <w:tr>
        <w:tc>
          <w:tcPr>
            <w:tcW w:type="dxa" w:w="3499"/>
          </w:tcPr>
          <w:p>
            <w:pPr>
              <w:pStyle w:val="Compact"/>
              <w:spacing w:before="0" w:after="0" w:line="240" w:lineRule="auto"/>
              <w:jc w:val="left"/>
            </w:pPr>
            <w:r>
              <w:rPr>
                <w:sz w:val="21"/>
              </w:rPr>
              <w:t xml:space="preserve">A penalty under section 125 is proposed for the late return.</w:t>
            </w:r>
          </w:p>
        </w:tc>
        <w:tc>
          <w:tcPr>
            <w:tcW w:type="dxa" w:w="4172"/>
          </w:tcPr>
          <w:p>
            <w:pPr>
              <w:pStyle w:val="Compact"/>
              <w:spacing w:before="0" w:after="0" w:line="240" w:lineRule="auto"/>
              <w:jc w:val="left"/>
            </w:pPr>
            <w:r>
              <w:rPr>
                <w:sz w:val="21"/>
              </w:rPr>
              <w:t xml:space="preserve">Section 125 applies only where no penalty is separately provided; courts have refused a section 125 penalty on top of the section 47 late fee.</w:t>
            </w:r>
          </w:p>
        </w:tc>
        <w:tc>
          <w:tcPr>
            <w:tcW w:type="dxa" w:w="1967"/>
          </w:tcPr>
          <w:p>
            <w:pPr>
              <w:pStyle w:val="Compact"/>
              <w:spacing w:before="0" w:after="0" w:line="240" w:lineRule="auto"/>
              <w:jc w:val="left"/>
            </w:pPr>
            <w:r>
              <w:rPr>
                <w:iCs/>
                <w:i/>
                <w:sz w:val="21"/>
              </w:rPr>
              <w:t xml:space="preserve">Kandan Hardware Mart</w:t>
            </w:r>
            <w:r>
              <w:rPr>
                <w:sz w:val="21"/>
              </w:rPr>
              <w:t xml:space="preserve"> </w:t>
            </w:r>
            <w:r>
              <w:rPr>
                <w:sz w:val="21"/>
              </w:rPr>
              <w:t xml:space="preserve">(Madras HC, 2026), persuasive</w:t>
            </w:r>
          </w:p>
        </w:tc>
      </w:tr>
    </w:tbl>
    <w:p>
      <w:pPr>
        <w:pStyle w:val="BodyText"/>
        <w:spacing w:before="0" w:after="120" w:line="269" w:lineRule="auto"/>
        <w:jc w:val="both"/>
      </w:pPr>
      <w:r>
        <w:t xml:space="preserve">10.3</w:t>
      </w:r>
      <w:r>
        <w:t xml:space="preserve"> </w:t>
      </w:r>
      <w:r>
        <w:rPr>
          <w:bCs/>
          <w:b/>
        </w:rPr>
        <w:t xml:space="preserve">Model finding (interest).</w:t>
      </w:r>
      <w:r>
        <w:t xml:space="preserve"> </w:t>
      </w:r>
      <w:r>
        <w:t xml:space="preserve">“</w:t>
      </w:r>
      <w:r>
        <w:t xml:space="preserve">The noticee filed GSTR-3B for [months] after the due dates (Table A1). These returns were filed before [date], when these proceedings began. Under the proviso to section 50(1) and rule 88B(1), interest is payable only on the tax paid by debit to the electronic cash ledger, ₹[ ], for the days of delay. [₹[ ] was in the cash ledger from before the due date and is left out (proviso to rule 88B(1)).] Interest of ₹[ ] is confirmed.</w:t>
      </w:r>
      <w:r>
        <w:t xml:space="preserve">”</w:t>
      </w:r>
    </w:p>
    <w:p>
      <w:pPr>
        <w:pStyle w:val="BodyText"/>
        <w:spacing w:before="0" w:after="120" w:line="269" w:lineRule="auto"/>
        <w:jc w:val="both"/>
      </w:pPr>
      <w:r>
        <w:t xml:space="preserve">10.4</w:t>
      </w:r>
      <w:r>
        <w:t xml:space="preserve"> </w:t>
      </w:r>
      <w:r>
        <w:rPr>
          <w:bCs/>
          <w:b/>
        </w:rPr>
        <w:t xml:space="preserve">Model finding (late fee).</w:t>
      </w:r>
      <w:r>
        <w:t xml:space="preserve"> </w:t>
      </w:r>
      <w:r>
        <w:t xml:space="preserve">“</w:t>
      </w:r>
      <w:r>
        <w:t xml:space="preserve">The SCN (para [ ]) proposes late fee for GSTR-[ ] for [months], filed on [dates] against due dates of [dates]. Under section 47(1) read with Notification No. [ ]-Central Tax, the late fee for a registered person with [nil tax liability / aggregate turnover of [ ]] is limited to ₹[ ] per return under the CGST Act. The portal record (RUD-[ ]) shows that ₹[ ] was paid when the returns were filed. The balance of ₹[ ] is confirmed under section 47.</w:t>
      </w:r>
      <w:r>
        <w:t xml:space="preserve">”</w:t>
      </w:r>
    </w:p>
    <w:p>
      <w:pPr>
        <w:pStyle w:val="BodyText"/>
        <w:spacing w:before="0" w:after="120" w:line="269" w:lineRule="auto"/>
        <w:jc w:val="both"/>
      </w:pPr>
      <w:r>
        <w:t xml:space="preserve">10.5</w:t>
      </w:r>
      <w:r>
        <w:t xml:space="preserve"> </w:t>
      </w:r>
      <w:r>
        <w:rPr>
          <w:bCs/>
          <w:b/>
        </w:rPr>
        <w:t xml:space="preserve">Drop the demand when:</w:t>
      </w:r>
      <w:r>
        <w:t xml:space="preserve"> </w:t>
      </w:r>
      <w:r>
        <w:t xml:space="preserve">the interest was not proposed in the SCN; the credit was not utilised; the late fee was paid or waived for that period.</w:t>
      </w:r>
    </w:p>
    <w:p>
      <w:pPr>
        <w:pStyle w:val="BlockText"/>
        <w:shd w:val="clear" w:color="auto" w:fill="E7E6E6"/>
      </w:pPr>
      <w:r>
        <w:rPr>
          <w:bCs/>
          <w:b/>
          <w:sz w:val="21"/>
        </w:rPr>
        <w:t xml:space="preserve">Drafting note:</w:t>
      </w:r>
      <w:r>
        <w:rPr>
          <w:sz w:val="21"/>
        </w:rPr>
        <w:t xml:space="preserve"> </w:t>
      </w:r>
      <w:r>
        <w:rPr>
          <w:sz w:val="21"/>
        </w:rPr>
        <w:t xml:space="preserve">late fee is not</w:t>
      </w:r>
      <w:r>
        <w:rPr>
          <w:sz w:val="21"/>
        </w:rPr>
        <w:t xml:space="preserve"> </w:t>
      </w:r>
      <w:r>
        <w:rPr>
          <w:sz w:val="21"/>
        </w:rPr>
        <w:t xml:space="preserve">“</w:t>
      </w:r>
      <w:r>
        <w:rPr>
          <w:sz w:val="21"/>
        </w:rPr>
        <w:t xml:space="preserve">tax</w:t>
      </w:r>
      <w:r>
        <w:rPr>
          <w:sz w:val="21"/>
        </w:rPr>
        <w:t xml:space="preserve">”</w:t>
      </w:r>
      <w:r>
        <w:rPr>
          <w:sz w:val="21"/>
        </w:rPr>
        <w:t xml:space="preserve">: do not compute a section 73(9) penalty or section 50 interest on it, and keep it as a separate line in the order and DRC-07 (</w:t>
      </w:r>
      <w:r>
        <w:rPr>
          <w:sz w:val="21"/>
        </w:rPr>
        <w:t xml:space="preserve">“</w:t>
      </w:r>
      <w:r>
        <w:rPr>
          <w:sz w:val="21"/>
        </w:rPr>
        <w:t xml:space="preserve">Fee</w:t>
      </w:r>
      <w:r>
        <w:rPr>
          <w:sz w:val="21"/>
        </w:rPr>
        <w:t xml:space="preserve">”</w:t>
      </w:r>
      <w:r>
        <w:rPr>
          <w:sz w:val="21"/>
        </w:rPr>
        <w:t xml:space="preserve"> </w:t>
      </w:r>
      <w:r>
        <w:rPr>
          <w:sz w:val="21"/>
        </w:rPr>
        <w:t xml:space="preserve">column). The files contain no ruling or circular on the right machinery for a disputed late fee; state section 47 as the levying provision and confirm only the arithmetic amount unpaid.</w:t>
      </w:r>
    </w:p>
    <w:bookmarkEnd w:id="20"/>
    <w:sectPr>
      <w:headerReference w:type="default" r:id="rId9"/>
      <w:footerReference w:type="default" r:id="rId10"/>
      <w:pgSz w:w="11906" w:h="16838"/>
      <w:pgMar w:bottom="1134" w:left="1134" w:right="1134" w:top="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Template B2</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B2: Finding modules for orders-in-original (ten common issues)</dc:title>
  <dc:creator>Sangareddy CGST Division</dc:creator>
  <cp:keywords/>
  <dcterms:created xsi:type="dcterms:W3CDTF">2026-10-14T07:46:43Z</dcterms:created>
  <dcterms:modified xsi:type="dcterms:W3CDTF">2026-10-14T07:46:43Z</dcterms:modified>
</cp:coreProperties>
</file>

<file path=docProps/custom.xml><?xml version="1.0" encoding="utf-8"?>
<Properties xmlns="http://schemas.openxmlformats.org/officeDocument/2006/custom-properties" xmlns:vt="http://schemas.openxmlformats.org/officeDocument/2006/docPropsVTypes"/>
</file>