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सहायक आयुक्त का कार्यालय</w:t>
      </w:r>
    </w:p>
    <w:p>
      <w:pPr>
        <w:spacing w:before="0" w:after="0" w:line="240" w:lineRule="auto"/>
        <w:jc w:val="center"/>
      </w:pPr>
      <w:r>
        <w:rPr>
          <w:b/>
          <w:sz w:val="23"/>
          <w:szCs w:val="23"/>
          <w:bCs/>
        </w:rPr>
        <w:t>OFFICE OF THE ASSISTANT COMMISSIONER OF CENTRAL TAX</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ORDER-IN-ORIGINAL (EX PARTE)</w:t>
      </w:r>
      <w:r>
        <w:br/>
      </w:r>
      <w:r>
        <w:t xml:space="preserve">under section [73(9) / 74(9) / 74A(6)] of the Central Goods and Services Tax Act, 2017</w:t>
      </w:r>
      <w:r>
        <w:br/>
      </w:r>
      <w:r>
        <w:t xml:space="preserve">(summary uploaded in FORM GST DRC-07 under rule 142(5)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952"/>
        <w:gridCol w:w="7686"/>
      </w:tblGrid>
      <w:tr>
        <w:trPr>
          <w:tblHeader w:val="true"/>
          <w:tblHeader/>
        </w:trPr>
        <w:tc>
          <w:tcPr>
            <w:tcW w:type="dxa" w:w="1952"/>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686"/>
            <w:shd w:val="clear" w:color="auto" w:fill="DCE6F1"/>
          </w:tcPr>
          <w:p>
            <w:pPr>
              <w:pStyle w:val="Compact"/>
              <w:spacing w:before="0" w:after="0" w:line="240" w:lineRule="auto"/>
              <w:jc w:val="left"/>
            </w:pPr>
            <w:r>
              <w:rPr>
                <w:b/>
                <w:color w:val="1F3864"/>
                <w:sz w:val="21"/>
              </w:rPr>
              <w:t xml:space="preserve">Details</w:t>
            </w:r>
          </w:p>
        </w:tc>
      </w:tr>
      <w:tr>
        <w:tc>
          <w:tcPr>
            <w:tcW w:type="dxa" w:w="1952"/>
            <w:shd w:val="clear" w:color="auto" w:fill="F5F8FC"/>
          </w:tcPr>
          <w:p>
            <w:pPr>
              <w:pStyle w:val="Compact"/>
              <w:spacing w:before="0" w:after="0" w:line="240" w:lineRule="auto"/>
              <w:jc w:val="left"/>
            </w:pPr>
            <w:r>
              <w:rPr>
                <w:b/>
                <w:sz w:val="21"/>
              </w:rPr>
              <w:t xml:space="preserve">Order-in-Original No. and date</w:t>
            </w:r>
          </w:p>
        </w:tc>
        <w:tc>
          <w:tcPr>
            <w:tcW w:type="dxa" w:w="7686"/>
          </w:tcPr>
          <w:p>
            <w:pPr>
              <w:pStyle w:val="Compact"/>
              <w:spacing w:before="0" w:after="0" w:line="240" w:lineRule="auto"/>
              <w:jc w:val="left"/>
            </w:pPr>
            <w:r>
              <w:rPr>
                <w:sz w:val="21"/>
              </w:rPr>
              <w:t xml:space="preserve">OIO No. [ ]/[YYYY-YY]/AC/[Division code] dated [DD.MM.YYYY]</w:t>
            </w:r>
          </w:p>
        </w:tc>
      </w:tr>
      <w:tr>
        <w:tc>
          <w:tcPr>
            <w:tcW w:type="dxa" w:w="1952"/>
            <w:shd w:val="clear" w:color="auto" w:fill="F5F8FC"/>
          </w:tcPr>
          <w:p>
            <w:pPr>
              <w:pStyle w:val="Compact"/>
              <w:spacing w:before="0" w:after="0" w:line="240" w:lineRule="auto"/>
              <w:jc w:val="left"/>
            </w:pPr>
            <w:r>
              <w:rPr>
                <w:b/>
                <w:sz w:val="21"/>
              </w:rPr>
              <w:t xml:space="preserve">Reference No. (RFN) / DIN</w:t>
            </w:r>
          </w:p>
        </w:tc>
        <w:tc>
          <w:tcPr>
            <w:tcW w:type="dxa" w:w="7686"/>
          </w:tcPr>
          <w:p>
            <w:pPr>
              <w:pStyle w:val="Compact"/>
              <w:spacing w:before="0" w:after="0" w:line="240" w:lineRule="auto"/>
              <w:jc w:val="left"/>
            </w:pPr>
            <w:r>
              <w:rPr>
                <w:sz w:val="21"/>
              </w:rPr>
              <w:t xml:space="preserve">RFN [ ] of the DRC-07. [DIN [ ] on copies sent by e-mail or post (Circular No. 249/06/2025-GST).]</w:t>
            </w:r>
          </w:p>
        </w:tc>
      </w:tr>
      <w:tr>
        <w:tc>
          <w:tcPr>
            <w:tcW w:type="dxa" w:w="1952"/>
            <w:shd w:val="clear" w:color="auto" w:fill="F5F8FC"/>
          </w:tcPr>
          <w:p>
            <w:pPr>
              <w:pStyle w:val="Compact"/>
              <w:spacing w:before="0" w:after="0" w:line="240" w:lineRule="auto"/>
              <w:jc w:val="left"/>
            </w:pPr>
            <w:r>
              <w:rPr>
                <w:b/>
                <w:sz w:val="21"/>
              </w:rPr>
              <w:t xml:space="preserve">Passed by</w:t>
            </w:r>
          </w:p>
        </w:tc>
        <w:tc>
          <w:tcPr>
            <w:tcW w:type="dxa" w:w="7686"/>
          </w:tcPr>
          <w:p>
            <w:pPr>
              <w:pStyle w:val="Compact"/>
              <w:spacing w:before="0" w:after="0" w:line="240" w:lineRule="auto"/>
              <w:jc w:val="left"/>
            </w:pPr>
            <w:r>
              <w:rPr>
                <w:sz w:val="21"/>
              </w:rPr>
              <w:t xml:space="preserve">Dr. B. Santosh Kumar, Assistant Commissioner of Central Tax, Sangareddy CGST Division, Medchal CGST Commissionerate</w:t>
            </w:r>
          </w:p>
        </w:tc>
      </w:tr>
      <w:tr>
        <w:tc>
          <w:tcPr>
            <w:tcW w:type="dxa" w:w="1952"/>
            <w:shd w:val="clear" w:color="auto" w:fill="F5F8FC"/>
          </w:tcPr>
          <w:p>
            <w:pPr>
              <w:pStyle w:val="Compact"/>
              <w:spacing w:before="0" w:after="0" w:line="240" w:lineRule="auto"/>
              <w:jc w:val="left"/>
            </w:pPr>
            <w:r>
              <w:rPr>
                <w:b/>
                <w:sz w:val="21"/>
              </w:rPr>
              <w:t xml:space="preserve">Noticee</w:t>
            </w:r>
          </w:p>
        </w:tc>
        <w:tc>
          <w:tcPr>
            <w:tcW w:type="dxa" w:w="7686"/>
          </w:tcPr>
          <w:p>
            <w:pPr>
              <w:pStyle w:val="Compact"/>
              <w:spacing w:before="0" w:after="0" w:line="240" w:lineRule="auto"/>
              <w:jc w:val="left"/>
            </w:pPr>
            <w:r>
              <w:rPr>
                <w:sz w:val="21"/>
              </w:rPr>
              <w:t xml:space="preserve">[Legal name] ([trade name]), GSTIN [ ], [address]; registration [active / cancelled from [ ]]</w:t>
            </w:r>
          </w:p>
        </w:tc>
      </w:tr>
      <w:tr>
        <w:tc>
          <w:tcPr>
            <w:tcW w:type="dxa" w:w="1952"/>
            <w:shd w:val="clear" w:color="auto" w:fill="F5F8FC"/>
          </w:tcPr>
          <w:p>
            <w:pPr>
              <w:pStyle w:val="Compact"/>
              <w:spacing w:before="0" w:after="0" w:line="240" w:lineRule="auto"/>
              <w:jc w:val="left"/>
            </w:pPr>
            <w:r>
              <w:rPr>
                <w:b/>
                <w:sz w:val="21"/>
              </w:rPr>
              <w:t xml:space="preserve">Show cause notice</w:t>
            </w:r>
          </w:p>
        </w:tc>
        <w:tc>
          <w:tcPr>
            <w:tcW w:type="dxa" w:w="7686"/>
          </w:tcPr>
          <w:p>
            <w:pPr>
              <w:pStyle w:val="Compact"/>
              <w:spacing w:before="0" w:after="0" w:line="240" w:lineRule="auto"/>
              <w:jc w:val="left"/>
            </w:pPr>
            <w:r>
              <w:rPr>
                <w:sz w:val="21"/>
              </w:rPr>
              <w:t xml:space="preserve">SCN No. [ ] dated [DD.MM.YYYY], with DRC-01 reference [ ], under section [73(1) / 74(1) / 74A(1)]</w:t>
            </w:r>
          </w:p>
        </w:tc>
      </w:tr>
      <w:tr>
        <w:tc>
          <w:tcPr>
            <w:tcW w:type="dxa" w:w="1952"/>
            <w:shd w:val="clear" w:color="auto" w:fill="F5F8FC"/>
          </w:tcPr>
          <w:p>
            <w:pPr>
              <w:pStyle w:val="Compact"/>
              <w:spacing w:before="0" w:after="0" w:line="240" w:lineRule="auto"/>
              <w:jc w:val="left"/>
            </w:pPr>
            <w:r>
              <w:rPr>
                <w:b/>
                <w:sz w:val="21"/>
              </w:rPr>
              <w:t xml:space="preserve">Financial year and tax periods</w:t>
            </w:r>
          </w:p>
        </w:tc>
        <w:tc>
          <w:tcPr>
            <w:tcW w:type="dxa" w:w="7686"/>
          </w:tcPr>
          <w:p>
            <w:pPr>
              <w:pStyle w:val="Compact"/>
              <w:spacing w:before="0" w:after="0" w:line="240" w:lineRule="auto"/>
              <w:jc w:val="left"/>
            </w:pPr>
            <w:r>
              <w:rPr>
                <w:sz w:val="21"/>
              </w:rPr>
              <w:t xml:space="preserve">FY [YYYY-YY]: [Month YYYY] to [Month YYYY]</w:t>
            </w:r>
          </w:p>
        </w:tc>
      </w:tr>
      <w:tr>
        <w:tc>
          <w:tcPr>
            <w:tcW w:type="dxa" w:w="1952"/>
            <w:shd w:val="clear" w:color="auto" w:fill="F5F8FC"/>
          </w:tcPr>
          <w:p>
            <w:pPr>
              <w:pStyle w:val="Compact"/>
              <w:spacing w:before="0" w:after="0" w:line="240" w:lineRule="auto"/>
              <w:jc w:val="left"/>
            </w:pPr>
            <w:r>
              <w:rPr>
                <w:b/>
                <w:sz w:val="21"/>
              </w:rPr>
              <w:t xml:space="preserve">Amount proposed in the SCN</w:t>
            </w:r>
          </w:p>
        </w:tc>
        <w:tc>
          <w:tcPr>
            <w:tcW w:type="dxa" w:w="7686"/>
          </w:tcPr>
          <w:p>
            <w:pPr>
              <w:pStyle w:val="Compact"/>
              <w:spacing w:before="0" w:after="0" w:line="240" w:lineRule="auto"/>
              <w:jc w:val="left"/>
            </w:pPr>
            <w:r>
              <w:rPr>
                <w:sz w:val="21"/>
              </w:rPr>
              <w:t xml:space="preserve">Tax ₹[ ] (CGST ₹[ ], SGST ₹[ ], IGST ₹[ ], Cess ₹[ ]); interest under section [50(1) / 50(3)]; penalty under section [ ]</w:t>
            </w:r>
          </w:p>
        </w:tc>
      </w:tr>
      <w:tr>
        <w:tc>
          <w:tcPr>
            <w:tcW w:type="dxa" w:w="1952"/>
            <w:shd w:val="clear" w:color="auto" w:fill="F5F8FC"/>
          </w:tcPr>
          <w:p>
            <w:pPr>
              <w:pStyle w:val="Compact"/>
              <w:spacing w:before="0" w:after="0" w:line="240" w:lineRule="auto"/>
              <w:jc w:val="left"/>
            </w:pPr>
            <w:r>
              <w:rPr>
                <w:b/>
                <w:sz w:val="21"/>
              </w:rPr>
              <w:t xml:space="preserve">Reply</w:t>
            </w:r>
          </w:p>
        </w:tc>
        <w:tc>
          <w:tcPr>
            <w:tcW w:type="dxa" w:w="7686"/>
          </w:tcPr>
          <w:p>
            <w:pPr>
              <w:pStyle w:val="Compact"/>
              <w:spacing w:before="0" w:after="0" w:line="240" w:lineRule="auto"/>
              <w:jc w:val="left"/>
            </w:pPr>
            <w:r>
              <w:rPr>
                <w:sz w:val="21"/>
              </w:rPr>
              <w:t xml:space="preserve">None received</w:t>
            </w:r>
          </w:p>
        </w:tc>
      </w:tr>
      <w:tr>
        <w:tc>
          <w:tcPr>
            <w:tcW w:type="dxa" w:w="1952"/>
            <w:shd w:val="clear" w:color="auto" w:fill="F5F8FC"/>
          </w:tcPr>
          <w:p>
            <w:pPr>
              <w:pStyle w:val="Compact"/>
              <w:spacing w:before="0" w:after="0" w:line="240" w:lineRule="auto"/>
              <w:jc w:val="left"/>
            </w:pPr>
            <w:r>
              <w:rPr>
                <w:b/>
                <w:sz w:val="21"/>
              </w:rPr>
              <w:t xml:space="preserve">Hearing notices</w:t>
            </w:r>
          </w:p>
        </w:tc>
        <w:tc>
          <w:tcPr>
            <w:tcW w:type="dxa" w:w="7686"/>
          </w:tcPr>
          <w:p>
            <w:pPr>
              <w:pStyle w:val="Compact"/>
              <w:spacing w:before="0" w:after="0" w:line="240" w:lineRule="auto"/>
              <w:jc w:val="left"/>
            </w:pPr>
            <w:r>
              <w:rPr>
                <w:sz w:val="21"/>
              </w:rPr>
              <w:t xml:space="preserve">[DD.MM.YYYY], [DD.MM.YYYY], [DD.MM.YYYY]: no appearance (para 4)</w:t>
            </w:r>
          </w:p>
        </w:tc>
      </w:tr>
      <w:tr>
        <w:tc>
          <w:tcPr>
            <w:tcW w:type="dxa" w:w="1952"/>
            <w:shd w:val="clear" w:color="auto" w:fill="F5F8FC"/>
          </w:tcPr>
          <w:p>
            <w:pPr>
              <w:pStyle w:val="Compact"/>
              <w:spacing w:before="0" w:after="0" w:line="240" w:lineRule="auto"/>
              <w:jc w:val="left"/>
            </w:pPr>
            <w:r>
              <w:rPr>
                <w:b/>
                <w:sz w:val="21"/>
              </w:rPr>
              <w:t xml:space="preserve">Last date for this order</w:t>
            </w:r>
          </w:p>
        </w:tc>
        <w:tc>
          <w:tcPr>
            <w:tcW w:type="dxa" w:w="7686"/>
          </w:tcPr>
          <w:p>
            <w:pPr>
              <w:pStyle w:val="Compact"/>
              <w:spacing w:before="0" w:after="0" w:line="240" w:lineRule="auto"/>
              <w:jc w:val="left"/>
            </w:pPr>
            <w:r>
              <w:rPr>
                <w:sz w:val="21"/>
              </w:rPr>
              <w:t xml:space="preserve">[DD.MM.YYYY] under section [73(10) / 74(10) / 74A(7)]</w:t>
            </w:r>
          </w:p>
        </w:tc>
      </w:tr>
      <w:tr>
        <w:tc>
          <w:tcPr>
            <w:tcW w:type="dxa" w:w="1952"/>
            <w:shd w:val="clear" w:color="auto" w:fill="F5F8FC"/>
          </w:tcPr>
          <w:p>
            <w:pPr>
              <w:pStyle w:val="Compact"/>
              <w:spacing w:before="0" w:after="0" w:line="240" w:lineRule="auto"/>
              <w:jc w:val="left"/>
            </w:pPr>
            <w:r>
              <w:rPr>
                <w:b/>
                <w:sz w:val="21"/>
              </w:rPr>
              <w:t xml:space="preserve">Result</w:t>
            </w:r>
          </w:p>
        </w:tc>
        <w:tc>
          <w:tcPr>
            <w:tcW w:type="dxa" w:w="7686"/>
          </w:tcPr>
          <w:p>
            <w:pPr>
              <w:pStyle w:val="Compact"/>
              <w:spacing w:before="0" w:after="0" w:line="240" w:lineRule="auto"/>
              <w:jc w:val="left"/>
            </w:pPr>
            <w:r>
              <w:rPr>
                <w:sz w:val="21"/>
              </w:rPr>
              <w:t xml:space="preserve">Confirmed: tax ₹[ ]; dropped: tax ₹[ ] (para 8)</w:t>
            </w:r>
          </w:p>
        </w:tc>
      </w:tr>
    </w:tbl>
    <w:p>
      <w:pPr>
        <w:pStyle w:val="BodyText"/>
        <w:keepNext/>
        <w:spacing w:before="240" w:after="80"/>
        <w:pBdr>
          <w:bottom w:val="single" w:sz="6" w:space="1" w:color="B4C6E7"/>
        </w:pBdr>
        <w:jc w:val="center"/>
      </w:pPr>
      <w:r>
        <w:rPr>
          <w:bCs/>
          <w:b/>
          <w:color w:val="1F3864"/>
          <w:sz w:val="25"/>
        </w:rPr>
        <w:t xml:space="preserve">IMPORTANT NOTE FOR THE NOTICEE</w:t>
      </w:r>
    </w:p>
    <w:p>
      <w:pPr>
        <w:numPr>
          <w:ilvl w:val="0"/>
          <w:numId w:val="1001"/>
        </w:numPr>
        <w:pStyle w:val="Compact"/>
        <w:spacing w:before="0" w:after="120" w:line="269" w:lineRule="auto"/>
      </w:pPr>
      <w:r>
        <w:t xml:space="preserve">This copy is granted free of charge for the private use of the person to whom it is issued.</w:t>
      </w:r>
    </w:p>
    <w:p>
      <w:pPr>
        <w:numPr>
          <w:ilvl w:val="0"/>
          <w:numId w:val="1001"/>
        </w:numPr>
        <w:pStyle w:val="Compact"/>
        <w:spacing w:before="0" w:after="120" w:line="269" w:lineRule="auto"/>
      </w:pPr>
      <w:r>
        <w:t xml:space="preserve">Any person aggrieved by this order may appeal under section 107(1) of the Central Goods and Services Tax Act, 2017 (the CGST Act) to the Appellate Authority, the Commissioner (Appeals-II), Hyderabad, Headquarters Office, 7th Floor, L.B. Stadium Road, Basheerbagh, Hyderabad – 500 004 (rule 109A(1)(b) of the CGST Rules, 2017), within</w:t>
      </w:r>
      <w:r>
        <w:t xml:space="preserve"> </w:t>
      </w:r>
      <w:r>
        <w:rPr>
          <w:bCs/>
          <w:b/>
        </w:rPr>
        <w:t xml:space="preserve">three months</w:t>
      </w:r>
      <w:r>
        <w:t xml:space="preserve"> </w:t>
      </w:r>
      <w:r>
        <w:t xml:space="preserve">from the date on which this order is communicated. Under section 107(4), the Appellate Authority may allow a further period of</w:t>
      </w:r>
      <w:r>
        <w:t xml:space="preserve"> </w:t>
      </w:r>
      <w:r>
        <w:rPr>
          <w:bCs/>
          <w:b/>
        </w:rPr>
        <w:t xml:space="preserve">one month</w:t>
      </w:r>
      <w:r>
        <w:t xml:space="preserve"> </w:t>
      </w:r>
      <w:r>
        <w:t xml:space="preserve">if satisfied that there was sufficient cause.</w:t>
      </w:r>
    </w:p>
    <w:p>
      <w:pPr>
        <w:numPr>
          <w:ilvl w:val="0"/>
          <w:numId w:val="1001"/>
        </w:numPr>
        <w:pStyle w:val="Compact"/>
        <w:spacing w:before="0" w:after="120" w:line="269" w:lineRule="auto"/>
      </w:pPr>
      <w:r>
        <w:t xml:space="preserve">The appeal is filed</w:t>
      </w:r>
      <w:r>
        <w:t xml:space="preserve"> </w:t>
      </w:r>
      <w:r>
        <w:rPr>
          <w:bCs/>
          <w:b/>
        </w:rPr>
        <w:t xml:space="preserve">electronically in FORM GST APL-01 on the common portal</w:t>
      </w:r>
      <w:r>
        <w:t xml:space="preserve"> </w:t>
      </w:r>
      <w:r>
        <w:t xml:space="preserve">(rule 108).</w:t>
      </w:r>
    </w:p>
    <w:p>
      <w:pPr>
        <w:numPr>
          <w:ilvl w:val="0"/>
          <w:numId w:val="1001"/>
        </w:numPr>
        <w:pStyle w:val="Compact"/>
        <w:spacing w:before="0" w:after="120" w:line="269" w:lineRule="auto"/>
      </w:pPr>
      <w:r>
        <w:rPr>
          <w:bCs/>
          <w:b/>
        </w:rPr>
        <w:t xml:space="preserve">Pre-deposit (section 107(6)).</w:t>
      </w:r>
      <w:r>
        <w:t xml:space="preserve"> </w:t>
      </w:r>
      <w:r>
        <w:t xml:space="preserve">No appeal can be filed unless the appellant has paid (a) in full, the part of the tax, interest, fine, fee and penalty arising from this order that is admitted by him; and (b) ten per cent of the remaining amount of</w:t>
      </w:r>
      <w:r>
        <w:t xml:space="preserve"> </w:t>
      </w:r>
      <w:r>
        <w:rPr>
          <w:bCs/>
          <w:b/>
        </w:rPr>
        <w:t xml:space="preserve">tax in dispute</w:t>
      </w:r>
      <w:r>
        <w:t xml:space="preserve"> </w:t>
      </w:r>
      <w:r>
        <w:t xml:space="preserve">arising from this order, subject to a maximum of twenty crore rupees. Where this order demands only a penalty without any demand of tax, ten per cent of that penalty is payable (proviso to section 107(6)). On payment of the pre-deposit, recovery of the balance is deemed to be stayed (section 107(7)).</w:t>
      </w:r>
    </w:p>
    <w:p>
      <w:pPr>
        <w:numPr>
          <w:ilvl w:val="0"/>
          <w:numId w:val="1001"/>
        </w:numPr>
        <w:pStyle w:val="Compact"/>
        <w:spacing w:before="0" w:after="120" w:line="269" w:lineRule="auto"/>
      </w:pPr>
      <w:r>
        <w:t xml:space="preserve">This order is passed under the CGST Act and the CGST Rules, and also under the corresponding provisions of the Telangana Goods and Services Tax Act, 2017 and the Integrated Goods and Services Tax Act, 2017 (section 20), as applicable.</w:t>
      </w:r>
    </w:p>
    <w:p>
      <w:pPr>
        <w:pStyle w:val="FirstParagraph"/>
        <w:keepNext/>
        <w:spacing w:before="240" w:after="80"/>
        <w:pBdr>
          <w:bottom w:val="single" w:sz="6" w:space="1" w:color="B4C6E7"/>
        </w:pBdr>
      </w:pPr>
      <w:r>
        <w:rPr>
          <w:bCs/>
          <w:b/>
          <w:color w:val="1F3864"/>
          <w:sz w:val="25"/>
        </w:rPr>
        <w:t xml:space="preserve">1. Authority to pass this order</w:t>
      </w:r>
    </w:p>
    <w:p>
      <w:pPr>
        <w:pStyle w:val="BodyText"/>
        <w:spacing w:before="0" w:after="120" w:line="269" w:lineRule="auto"/>
        <w:jc w:val="both"/>
      </w:pPr>
      <w:r>
        <w:t xml:space="preserve">1.1 This order is passed by the undersigned as the proper officer under section [73 / 74 / 74A], the tax proposed (₹[ ], [central tax / integrated tax / both]) being within the limits for a Deputy or Assistant Commissioner in para 5 of Circular No. 31/05/2018-GST, as amended [and Circular No. 254/11/2025-GST for section 74A].</w:t>
      </w:r>
    </w:p>
    <w:p>
      <w:pPr>
        <w:pStyle w:val="BodyText"/>
        <w:spacing w:before="0" w:after="120" w:line="269" w:lineRule="auto"/>
        <w:jc w:val="both"/>
      </w:pPr>
      <w:r>
        <w:t xml:space="preserve">1.2 It was verified on the common portal on [DD.MM.YYYY] [and with the [State tax office] by letter dated [ ]] that no proceedings on the subject matter of this SCN have been initiated by the State tax administration (section 6(2)(b)), and that no other order has been passed for the same period and issues.</w:t>
      </w:r>
    </w:p>
    <w:p>
      <w:pPr>
        <w:pStyle w:val="BodyText"/>
        <w:keepNext/>
        <w:spacing w:before="240" w:after="80"/>
        <w:pBdr>
          <w:bottom w:val="single" w:sz="6" w:space="1" w:color="B4C6E7"/>
        </w:pBdr>
      </w:pPr>
      <w:r>
        <w:rPr>
          <w:bCs/>
          <w:b/>
          <w:color w:val="1F3864"/>
          <w:sz w:val="25"/>
        </w:rPr>
        <w:t xml:space="preserve">2. Brief facts</w:t>
      </w:r>
    </w:p>
    <w:p>
      <w:pPr>
        <w:pStyle w:val="BodyText"/>
        <w:spacing w:before="0" w:after="120" w:line="269" w:lineRule="auto"/>
        <w:jc w:val="both"/>
      </w:pPr>
      <w:r>
        <w:t xml:space="preserve">2.1 [Legal name] (the noticee), GSTIN [ ], is engaged in [business]. The case arose from [scrutiny / audit / investigation / intimation], [with dates].</w:t>
      </w:r>
    </w:p>
    <w:p>
      <w:pPr>
        <w:pStyle w:val="BodyText"/>
        <w:spacing w:before="0" w:after="120" w:line="269" w:lineRule="auto"/>
      </w:pPr>
      <w:r>
        <w:t xml:space="preserve">2.2 The SCN alleges, in brief: [one or two sentences per issue, each with the SCN paragraph number].</w:t>
      </w:r>
    </w:p>
    <w:p>
      <w:pPr>
        <w:pStyle w:val="BodyText"/>
        <w:keepNext/>
        <w:spacing w:before="240" w:after="80"/>
        <w:pBdr>
          <w:bottom w:val="single" w:sz="6" w:space="1" w:color="B4C6E7"/>
        </w:pBdr>
      </w:pPr>
      <w:r>
        <w:rPr>
          <w:bCs/>
          <w:b/>
          <w:color w:val="1F3864"/>
          <w:sz w:val="25"/>
        </w:rPr>
        <w:t xml:space="preserve">3. The show cause notice and its proposals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08"/>
        <w:gridCol w:w="1108"/>
        <w:gridCol w:w="1219"/>
        <w:gridCol w:w="1773"/>
        <w:gridCol w:w="1551"/>
        <w:gridCol w:w="1440"/>
        <w:gridCol w:w="1440"/>
      </w:tblGrid>
      <w:tr>
        <w:trPr>
          <w:tblHeader w:val="true"/>
          <w:tblHeader/>
        </w:trPr>
        <w:tc>
          <w:tcPr>
            <w:tcW w:type="dxa" w:w="1108"/>
            <w:shd w:val="clear" w:color="auto" w:fill="DCE6F1"/>
          </w:tcPr>
          <w:p>
            <w:pPr>
              <w:pStyle w:val="Compact"/>
              <w:spacing w:before="0" w:after="0" w:line="240" w:lineRule="auto"/>
              <w:jc w:val="left"/>
            </w:pPr>
            <w:r>
              <w:rPr>
                <w:b/>
                <w:color w:val="1F3864"/>
                <w:sz w:val="18"/>
              </w:rPr>
              <w:t xml:space="preserve">Issue</w:t>
            </w:r>
          </w:p>
        </w:tc>
        <w:tc>
          <w:tcPr>
            <w:tcW w:type="dxa" w:w="1108"/>
            <w:shd w:val="clear" w:color="auto" w:fill="DCE6F1"/>
          </w:tcPr>
          <w:p>
            <w:pPr>
              <w:pStyle w:val="Compact"/>
              <w:spacing w:before="0" w:after="0" w:line="240" w:lineRule="auto"/>
              <w:jc w:val="left"/>
            </w:pPr>
            <w:r>
              <w:rPr>
                <w:b/>
                <w:color w:val="1F3864"/>
                <w:sz w:val="18"/>
              </w:rPr>
              <w:t xml:space="preserve">SCN para</w:t>
            </w:r>
          </w:p>
        </w:tc>
        <w:tc>
          <w:tcPr>
            <w:tcW w:type="dxa" w:w="1219"/>
            <w:shd w:val="clear" w:color="auto" w:fill="DCE6F1"/>
          </w:tcPr>
          <w:p>
            <w:pPr>
              <w:pStyle w:val="Compact"/>
              <w:spacing w:before="0" w:after="0" w:line="240" w:lineRule="auto"/>
              <w:jc w:val="left"/>
            </w:pPr>
            <w:r>
              <w:rPr>
                <w:b/>
                <w:color w:val="1F3864"/>
                <w:sz w:val="18"/>
              </w:rPr>
              <w:t xml:space="preserve">Period</w:t>
            </w:r>
          </w:p>
        </w:tc>
        <w:tc>
          <w:tcPr>
            <w:tcW w:type="dxa" w:w="1773"/>
            <w:shd w:val="clear" w:color="auto" w:fill="DCE6F1"/>
          </w:tcPr>
          <w:p>
            <w:pPr>
              <w:pStyle w:val="Compact"/>
              <w:spacing w:before="0" w:after="0" w:line="240" w:lineRule="auto"/>
              <w:jc w:val="left"/>
            </w:pPr>
            <w:r>
              <w:rPr>
                <w:b/>
                <w:color w:val="1F3864"/>
                <w:sz w:val="18"/>
              </w:rPr>
              <w:t xml:space="preserve">Provision alleged to be contravened</w:t>
            </w:r>
          </w:p>
        </w:tc>
        <w:tc>
          <w:tcPr>
            <w:tcW w:type="dxa" w:w="1551"/>
            <w:shd w:val="clear" w:color="auto" w:fill="DCE6F1"/>
          </w:tcPr>
          <w:p>
            <w:pPr>
              <w:pStyle w:val="Compact"/>
              <w:spacing w:before="0" w:after="0" w:line="240" w:lineRule="auto"/>
              <w:jc w:val="left"/>
            </w:pPr>
            <w:r>
              <w:rPr>
                <w:b/>
                <w:color w:val="1F3864"/>
                <w:sz w:val="18"/>
              </w:rPr>
              <w:t xml:space="preserve">Tax proposed: CGST / SGST / IGST / Cess (₹)</w:t>
            </w:r>
          </w:p>
        </w:tc>
        <w:tc>
          <w:tcPr>
            <w:tcW w:type="dxa" w:w="1440"/>
            <w:shd w:val="clear" w:color="auto" w:fill="DCE6F1"/>
          </w:tcPr>
          <w:p>
            <w:pPr>
              <w:pStyle w:val="Compact"/>
              <w:spacing w:before="0" w:after="0" w:line="240" w:lineRule="auto"/>
              <w:jc w:val="left"/>
            </w:pPr>
            <w:r>
              <w:rPr>
                <w:b/>
                <w:color w:val="1F3864"/>
                <w:sz w:val="18"/>
              </w:rPr>
              <w:t xml:space="preserve">Interest proposed</w:t>
            </w:r>
          </w:p>
        </w:tc>
        <w:tc>
          <w:tcPr>
            <w:tcW w:type="dxa" w:w="1440"/>
            <w:shd w:val="clear" w:color="auto" w:fill="DCE6F1"/>
          </w:tcPr>
          <w:p>
            <w:pPr>
              <w:pStyle w:val="Compact"/>
              <w:spacing w:before="0" w:after="0" w:line="240" w:lineRule="auto"/>
              <w:jc w:val="left"/>
            </w:pPr>
            <w:r>
              <w:rPr>
                <w:b/>
                <w:color w:val="1F3864"/>
                <w:sz w:val="18"/>
              </w:rPr>
              <w:t xml:space="preserve">Penalty proposed</w:t>
            </w:r>
          </w:p>
        </w:tc>
      </w:tr>
      <w:tr>
        <w:tc>
          <w:tcPr>
            <w:tcW w:type="dxa" w:w="1108"/>
          </w:tcPr>
          <w:p>
            <w:pPr>
              <w:pStyle w:val="Compact"/>
              <w:spacing w:before="0" w:after="0" w:line="240" w:lineRule="auto"/>
              <w:jc w:val="left"/>
            </w:pPr>
            <w:r>
              <w:rPr>
                <w:sz w:val="18"/>
              </w:rPr>
              <w:t xml:space="preserve">1</w:t>
            </w:r>
          </w:p>
        </w:tc>
        <w:tc>
          <w:tcPr>
            <w:tcW w:type="dxa" w:w="1108"/>
          </w:tcPr>
          <w:p>
            <w:pPr>
              <w:pStyle w:val="Compact"/>
              <w:spacing w:before="0" w:after="0" w:line="240" w:lineRule="auto"/>
              <w:jc w:val="left"/>
            </w:pPr>
            <w:r>
              <w:rPr>
                <w:sz w:val="18"/>
              </w:rPr>
              <w:t xml:space="preserve">[ ]</w:t>
            </w:r>
          </w:p>
        </w:tc>
        <w:tc>
          <w:tcPr>
            <w:tcW w:type="dxa" w:w="1219"/>
          </w:tcPr>
          <w:p>
            <w:pPr>
              <w:pStyle w:val="Compact"/>
              <w:spacing w:before="0" w:after="0" w:line="240" w:lineRule="auto"/>
              <w:jc w:val="left"/>
            </w:pPr>
            <w:r>
              <w:rPr>
                <w:sz w:val="18"/>
              </w:rPr>
              <w:t xml:space="preserve">[ ]</w:t>
            </w:r>
          </w:p>
        </w:tc>
        <w:tc>
          <w:tcPr>
            <w:tcW w:type="dxa" w:w="1773"/>
          </w:tcPr>
          <w:p>
            <w:pPr>
              <w:pStyle w:val="Compact"/>
              <w:spacing w:before="0" w:after="0" w:line="240" w:lineRule="auto"/>
              <w:jc w:val="left"/>
            </w:pPr>
            <w:r>
              <w:rPr>
                <w:sz w:val="18"/>
              </w:rPr>
              <w:t xml:space="preserve">[ ]</w:t>
            </w:r>
          </w:p>
        </w:tc>
        <w:tc>
          <w:tcPr>
            <w:tcW w:type="dxa" w:w="1551"/>
          </w:tcPr>
          <w:p>
            <w:pPr>
              <w:pStyle w:val="Compact"/>
              <w:spacing w:before="0" w:after="0" w:line="240" w:lineRule="auto"/>
              <w:jc w:val="left"/>
            </w:pPr>
            <w:r>
              <w:rPr>
                <w:sz w:val="18"/>
              </w:rPr>
              <w:t xml:space="preserve">[ ]</w:t>
            </w:r>
          </w:p>
        </w:tc>
        <w:tc>
          <w:tcPr>
            <w:tcW w:type="dxa" w:w="1440"/>
          </w:tcPr>
          <w:p>
            <w:pPr>
              <w:pStyle w:val="Compact"/>
              <w:spacing w:before="0" w:after="0" w:line="240" w:lineRule="auto"/>
              <w:jc w:val="left"/>
            </w:pPr>
            <w:r>
              <w:rPr>
                <w:sz w:val="18"/>
              </w:rPr>
              <w:t xml:space="preserve">Section [ ]</w:t>
            </w:r>
          </w:p>
        </w:tc>
        <w:tc>
          <w:tcPr>
            <w:tcW w:type="dxa" w:w="1440"/>
          </w:tcPr>
          <w:p>
            <w:pPr>
              <w:pStyle w:val="Compact"/>
              <w:spacing w:before="0" w:after="0" w:line="240" w:lineRule="auto"/>
              <w:jc w:val="left"/>
            </w:pPr>
            <w:r>
              <w:rPr>
                <w:sz w:val="18"/>
              </w:rPr>
              <w:t xml:space="preserve">Section [ ], ₹[ ]</w:t>
            </w:r>
          </w:p>
        </w:tc>
      </w:tr>
      <w:tr>
        <w:tc>
          <w:tcPr>
            <w:tcW w:type="dxa" w:w="1108"/>
          </w:tcPr>
          <w:p>
            <w:pPr>
              <w:pStyle w:val="Compact"/>
              <w:spacing w:before="0" w:after="0" w:line="240" w:lineRule="auto"/>
              <w:jc w:val="left"/>
            </w:pPr>
            <w:r>
              <w:rPr>
                <w:sz w:val="18"/>
              </w:rPr>
              <w:t xml:space="preserve">2</w:t>
            </w:r>
          </w:p>
        </w:tc>
        <w:tc>
          <w:tcPr>
            <w:tcW w:type="dxa" w:w="1108"/>
          </w:tcPr>
          <w:p>
            <w:pPr>
              <w:pStyle w:val="Compact"/>
              <w:spacing w:before="0" w:after="0" w:line="240" w:lineRule="auto"/>
              <w:jc w:val="left"/>
            </w:pPr>
            <w:r>
              <w:rPr>
                <w:sz w:val="18"/>
              </w:rPr>
              <w:t xml:space="preserve">[ ]</w:t>
            </w:r>
          </w:p>
        </w:tc>
        <w:tc>
          <w:tcPr>
            <w:tcW w:type="dxa" w:w="1219"/>
          </w:tcPr>
          <w:p>
            <w:pPr>
              <w:pStyle w:val="Compact"/>
              <w:spacing w:before="0" w:after="0" w:line="240" w:lineRule="auto"/>
              <w:jc w:val="left"/>
            </w:pPr>
            <w:r>
              <w:rPr>
                <w:sz w:val="18"/>
              </w:rPr>
              <w:t xml:space="preserve">[ ]</w:t>
            </w:r>
          </w:p>
        </w:tc>
        <w:tc>
          <w:tcPr>
            <w:tcW w:type="dxa" w:w="1773"/>
          </w:tcPr>
          <w:p>
            <w:pPr>
              <w:pStyle w:val="Compact"/>
              <w:spacing w:before="0" w:after="0" w:line="240" w:lineRule="auto"/>
              <w:jc w:val="left"/>
            </w:pPr>
            <w:r>
              <w:rPr>
                <w:sz w:val="18"/>
              </w:rPr>
              <w:t xml:space="preserve">[ ]</w:t>
            </w:r>
          </w:p>
        </w:tc>
        <w:tc>
          <w:tcPr>
            <w:tcW w:type="dxa" w:w="1551"/>
          </w:tcPr>
          <w:p>
            <w:pPr>
              <w:pStyle w:val="Compact"/>
              <w:spacing w:before="0" w:after="0" w:line="240" w:lineRule="auto"/>
              <w:jc w:val="left"/>
            </w:pPr>
            <w:r>
              <w:rPr>
                <w:sz w:val="18"/>
              </w:rPr>
              <w:t xml:space="preserve">[ ]</w:t>
            </w:r>
          </w:p>
        </w:tc>
        <w:tc>
          <w:tcPr>
            <w:tcW w:type="dxa" w:w="1440"/>
          </w:tcPr>
          <w:p>
            <w:pPr>
              <w:pStyle w:val="Compact"/>
              <w:spacing w:before="0" w:after="0" w:line="240" w:lineRule="auto"/>
              <w:jc w:val="left"/>
            </w:pPr>
            <w:r>
              <w:rPr>
                <w:sz w:val="18"/>
              </w:rPr>
              <w:t xml:space="preserve">[ ]</w:t>
            </w:r>
          </w:p>
        </w:tc>
        <w:tc>
          <w:tcPr>
            <w:tcW w:type="dxa" w:w="1440"/>
          </w:tcPr>
          <w:p>
            <w:pPr>
              <w:pStyle w:val="Compact"/>
              <w:spacing w:before="0" w:after="0" w:line="240" w:lineRule="auto"/>
              <w:jc w:val="left"/>
            </w:pPr>
            <w:r>
              <w:rPr>
                <w:sz w:val="18"/>
              </w:rPr>
              <w:t xml:space="preserve">[ ]</w:t>
            </w:r>
          </w:p>
        </w:tc>
      </w:tr>
      <w:tr>
        <w:tc>
          <w:tcPr>
            <w:tcW w:type="dxa" w:w="1108"/>
            <w:shd w:val="clear" w:color="auto" w:fill="F2F2F2"/>
          </w:tcPr>
          <w:p>
            <w:pPr>
              <w:pStyle w:val="Compact"/>
              <w:spacing w:before="0" w:after="0" w:line="240" w:lineRule="auto"/>
              <w:jc w:val="left"/>
            </w:pPr>
            <w:r>
              <w:rPr>
                <w:bCs/>
                <w:b/>
                <w:sz w:val="18"/>
              </w:rPr>
              <w:t xml:space="preserve">Total</w:t>
            </w:r>
          </w:p>
        </w:tc>
        <w:tc>
          <w:tcPr>
            <w:tcW w:type="dxa" w:w="1108"/>
            <w:shd w:val="clear" w:color="auto" w:fill="F2F2F2"/>
          </w:tcPr>
          <w:p>
            <w:pPr>
              <w:pStyle w:val="Compact"/>
              <w:spacing w:before="0" w:after="0" w:line="240" w:lineRule="auto"/>
            </w:pPr>
          </w:p>
        </w:tc>
        <w:tc>
          <w:tcPr>
            <w:tcW w:type="dxa" w:w="1219"/>
            <w:shd w:val="clear" w:color="auto" w:fill="F2F2F2"/>
          </w:tcPr>
          <w:p>
            <w:pPr>
              <w:pStyle w:val="Compact"/>
              <w:spacing w:before="0" w:after="0" w:line="240" w:lineRule="auto"/>
            </w:pPr>
          </w:p>
        </w:tc>
        <w:tc>
          <w:tcPr>
            <w:tcW w:type="dxa" w:w="1773"/>
            <w:shd w:val="clear" w:color="auto" w:fill="F2F2F2"/>
          </w:tcPr>
          <w:p>
            <w:pPr>
              <w:pStyle w:val="Compact"/>
              <w:spacing w:before="0" w:after="0" w:line="240" w:lineRule="auto"/>
            </w:pPr>
          </w:p>
        </w:tc>
        <w:tc>
          <w:tcPr>
            <w:tcW w:type="dxa" w:w="1551"/>
            <w:shd w:val="clear" w:color="auto" w:fill="F2F2F2"/>
          </w:tcPr>
          <w:p>
            <w:pPr>
              <w:pStyle w:val="Compact"/>
              <w:spacing w:before="0" w:after="0" w:line="240" w:lineRule="auto"/>
              <w:jc w:val="left"/>
            </w:pPr>
            <w:r>
              <w:rPr>
                <w:bCs/>
                <w:b/>
                <w:sz w:val="18"/>
              </w:rPr>
              <w:t xml:space="preserve">[ ]</w:t>
            </w:r>
          </w:p>
        </w:tc>
        <w:tc>
          <w:tcPr>
            <w:tcW w:type="dxa" w:w="1440"/>
            <w:shd w:val="clear" w:color="auto" w:fill="F2F2F2"/>
          </w:tcPr>
          <w:p>
            <w:pPr>
              <w:pStyle w:val="Compact"/>
              <w:spacing w:before="0" w:after="0" w:line="240" w:lineRule="auto"/>
            </w:pPr>
          </w:p>
        </w:tc>
        <w:tc>
          <w:tcPr>
            <w:tcW w:type="dxa" w:w="1440"/>
            <w:shd w:val="clear" w:color="auto" w:fill="F2F2F2"/>
          </w:tcPr>
          <w:p>
            <w:pPr>
              <w:pStyle w:val="Compact"/>
              <w:spacing w:before="0" w:after="0" w:line="240" w:lineRule="auto"/>
              <w:jc w:val="left"/>
            </w:pPr>
            <w:r>
              <w:rPr>
                <w:bCs/>
                <w:b/>
                <w:sz w:val="18"/>
              </w:rPr>
              <w:t xml:space="preserve">[ ]</w:t>
            </w:r>
          </w:p>
        </w:tc>
      </w:tr>
    </w:tbl>
    <w:p>
      <w:pPr>
        <w:pStyle w:val="BodyText"/>
        <w:spacing w:before="0" w:after="120" w:line="269" w:lineRule="auto"/>
        <w:jc w:val="both"/>
      </w:pPr>
      <w:r>
        <w:t xml:space="preserve">3.1 The relied-upon documents (RUD-1 to RUD-[n]) were [served with the SCN on the portal and by e-mail / made available for inspection on [ ]].</w:t>
      </w:r>
    </w:p>
    <w:p>
      <w:pPr>
        <w:pStyle w:val="BodyText"/>
        <w:keepNext/>
        <w:spacing w:before="240" w:after="80"/>
        <w:pBdr>
          <w:bottom w:val="single" w:sz="6" w:space="1" w:color="B4C6E7"/>
        </w:pBdr>
      </w:pPr>
      <w:r>
        <w:rPr>
          <w:bCs/>
          <w:b/>
          <w:color w:val="1F3864"/>
          <w:sz w:val="25"/>
        </w:rPr>
        <w:t xml:space="preserve">4. Service of the SCN and the opportunities given</w:t>
      </w:r>
    </w:p>
    <w:p>
      <w:pPr>
        <w:pStyle w:val="BodyText"/>
        <w:spacing w:before="0" w:after="120" w:line="269" w:lineRule="auto"/>
      </w:pPr>
      <w:r>
        <w:t xml:space="preserve">4.1 The SCN and every hearing notice were served as follows: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550"/>
        <w:gridCol w:w="930"/>
        <w:gridCol w:w="930"/>
        <w:gridCol w:w="1296"/>
        <w:gridCol w:w="1719"/>
        <w:gridCol w:w="2212"/>
      </w:tblGrid>
      <w:tr>
        <w:trPr>
          <w:tblHeader w:val="true"/>
          <w:tblHeader/>
        </w:trPr>
        <w:tc>
          <w:tcPr>
            <w:tcW w:type="dxa" w:w="2550"/>
            <w:shd w:val="clear" w:color="auto" w:fill="DCE6F1"/>
          </w:tcPr>
          <w:p>
            <w:pPr>
              <w:pStyle w:val="Compact"/>
              <w:spacing w:before="0" w:after="0" w:line="240" w:lineRule="auto"/>
              <w:jc w:val="left"/>
            </w:pPr>
            <w:r>
              <w:rPr>
                <w:b/>
                <w:color w:val="1F3864"/>
                <w:sz w:val="21"/>
              </w:rPr>
              <w:t xml:space="preserve">Communication</w:t>
            </w:r>
          </w:p>
        </w:tc>
        <w:tc>
          <w:tcPr>
            <w:tcW w:type="dxa" w:w="930"/>
            <w:shd w:val="clear" w:color="auto" w:fill="DCE6F1"/>
          </w:tcPr>
          <w:p>
            <w:pPr>
              <w:pStyle w:val="Compact"/>
              <w:spacing w:before="0" w:after="0" w:line="240" w:lineRule="auto"/>
              <w:jc w:val="left"/>
            </w:pPr>
            <w:r>
              <w:rPr>
                <w:b/>
                <w:color w:val="1F3864"/>
                <w:sz w:val="21"/>
              </w:rPr>
              <w:t xml:space="preserve">Date issued</w:t>
            </w:r>
          </w:p>
        </w:tc>
        <w:tc>
          <w:tcPr>
            <w:tcW w:type="dxa" w:w="930"/>
            <w:shd w:val="clear" w:color="auto" w:fill="DCE6F1"/>
          </w:tcPr>
          <w:p>
            <w:pPr>
              <w:pStyle w:val="Compact"/>
              <w:spacing w:before="0" w:after="0" w:line="240" w:lineRule="auto"/>
              <w:jc w:val="left"/>
            </w:pPr>
            <w:r>
              <w:rPr>
                <w:b/>
                <w:color w:val="1F3864"/>
                <w:sz w:val="21"/>
              </w:rPr>
              <w:t xml:space="preserve">Portal (RFN)</w:t>
            </w:r>
          </w:p>
        </w:tc>
        <w:tc>
          <w:tcPr>
            <w:tcW w:type="dxa" w:w="1296"/>
            <w:shd w:val="clear" w:color="auto" w:fill="DCE6F1"/>
          </w:tcPr>
          <w:p>
            <w:pPr>
              <w:pStyle w:val="Compact"/>
              <w:spacing w:before="0" w:after="0" w:line="240" w:lineRule="auto"/>
              <w:jc w:val="left"/>
            </w:pPr>
            <w:r>
              <w:rPr>
                <w:b/>
                <w:color w:val="1F3864"/>
                <w:sz w:val="21"/>
              </w:rPr>
              <w:t xml:space="preserve">E-mail to the registered address</w:t>
            </w:r>
          </w:p>
        </w:tc>
        <w:tc>
          <w:tcPr>
            <w:tcW w:type="dxa" w:w="1719"/>
            <w:shd w:val="clear" w:color="auto" w:fill="DCE6F1"/>
          </w:tcPr>
          <w:p>
            <w:pPr>
              <w:pStyle w:val="Compact"/>
              <w:spacing w:before="0" w:after="0" w:line="240" w:lineRule="auto"/>
              <w:jc w:val="left"/>
            </w:pPr>
            <w:r>
              <w:rPr>
                <w:b/>
                <w:color w:val="1F3864"/>
                <w:sz w:val="21"/>
              </w:rPr>
              <w:t xml:space="preserve">Speed post / registered post (article No., delivery status)</w:t>
            </w:r>
          </w:p>
        </w:tc>
        <w:tc>
          <w:tcPr>
            <w:tcW w:type="dxa" w:w="2212"/>
            <w:shd w:val="clear" w:color="auto" w:fill="DCE6F1"/>
          </w:tcPr>
          <w:p>
            <w:pPr>
              <w:pStyle w:val="Compact"/>
              <w:spacing w:before="0" w:after="0" w:line="240" w:lineRule="auto"/>
              <w:jc w:val="left"/>
            </w:pPr>
            <w:r>
              <w:rPr>
                <w:b/>
                <w:color w:val="1F3864"/>
                <w:sz w:val="21"/>
              </w:rPr>
              <w:t xml:space="preserve">Other mode, if used</w:t>
            </w:r>
          </w:p>
        </w:tc>
      </w:tr>
      <w:tr>
        <w:tc>
          <w:tcPr>
            <w:tcW w:type="dxa" w:w="2550"/>
          </w:tcPr>
          <w:p>
            <w:pPr>
              <w:pStyle w:val="Compact"/>
              <w:spacing w:before="0" w:after="0" w:line="240" w:lineRule="auto"/>
              <w:jc w:val="left"/>
            </w:pPr>
            <w:r>
              <w:rPr>
                <w:sz w:val="21"/>
              </w:rPr>
              <w:t xml:space="preserve">SCN with DRC-01</w:t>
            </w:r>
          </w:p>
        </w:tc>
        <w:tc>
          <w:tcPr>
            <w:tcW w:type="dxa" w:w="930"/>
          </w:tcPr>
          <w:p>
            <w:pPr>
              <w:pStyle w:val="Compact"/>
              <w:spacing w:before="0" w:after="0" w:line="240" w:lineRule="auto"/>
              <w:jc w:val="left"/>
            </w:pPr>
            <w:r>
              <w:rPr>
                <w:sz w:val="21"/>
              </w:rPr>
              <w:t xml:space="preserve">[ ]</w:t>
            </w:r>
          </w:p>
        </w:tc>
        <w:tc>
          <w:tcPr>
            <w:tcW w:type="dxa" w:w="930"/>
          </w:tcPr>
          <w:p>
            <w:pPr>
              <w:pStyle w:val="Compact"/>
              <w:spacing w:before="0" w:after="0" w:line="240" w:lineRule="auto"/>
              <w:jc w:val="left"/>
            </w:pPr>
            <w:r>
              <w:rPr>
                <w:sz w:val="21"/>
              </w:rPr>
              <w:t xml:space="preserve">[RFN], uploaded under</w:t>
            </w:r>
            <w:r>
              <w:rPr>
                <w:sz w:val="21"/>
              </w:rPr>
              <w:t xml:space="preserve"> </w:t>
            </w:r>
            <w:r>
              <w:rPr>
                <w:sz w:val="21"/>
              </w:rPr>
              <w:t xml:space="preserve">“</w:t>
            </w:r>
            <w:r>
              <w:rPr>
                <w:sz w:val="21"/>
              </w:rPr>
              <w:t xml:space="preserve">Notices</w:t>
            </w:r>
            <w:r>
              <w:rPr>
                <w:sz w:val="21"/>
              </w:rPr>
              <w:t xml:space="preserve">”</w:t>
            </w:r>
          </w:p>
        </w:tc>
        <w:tc>
          <w:tcPr>
            <w:tcW w:type="dxa" w:w="1296"/>
          </w:tcPr>
          <w:p>
            <w:pPr>
              <w:pStyle w:val="Compact"/>
              <w:spacing w:before="0" w:after="0" w:line="240" w:lineRule="auto"/>
              <w:jc w:val="left"/>
            </w:pPr>
            <w:r>
              <w:rPr>
                <w:sz w:val="21"/>
              </w:rPr>
              <w:t xml:space="preserve">Sent on [ ] to [ ] [from the official e-mail ID]</w:t>
            </w:r>
          </w:p>
        </w:tc>
        <w:tc>
          <w:tcPr>
            <w:tcW w:type="dxa" w:w="1719"/>
          </w:tcPr>
          <w:p>
            <w:pPr>
              <w:pStyle w:val="Compact"/>
              <w:spacing w:before="0" w:after="0" w:line="240" w:lineRule="auto"/>
              <w:jc w:val="left"/>
            </w:pPr>
            <w:r>
              <w:rPr>
                <w:sz w:val="21"/>
              </w:rPr>
              <w:t xml:space="preserve">[No. [ ]: delivered on [ ] / returned</w:t>
            </w:r>
            <w:r>
              <w:rPr>
                <w:sz w:val="21"/>
              </w:rPr>
              <w:t xml:space="preserve"> </w:t>
            </w:r>
            <w:r>
              <w:rPr>
                <w:sz w:val="21"/>
              </w:rPr>
              <w:t xml:space="preserve">“</w:t>
            </w:r>
            <w:r>
              <w:rPr>
                <w:sz w:val="21"/>
              </w:rPr>
              <w:t xml:space="preserve">[ ]</w:t>
            </w:r>
            <w:r>
              <w:rPr>
                <w:sz w:val="21"/>
              </w:rPr>
              <w:t xml:space="preserve">”</w:t>
            </w:r>
            <w:r>
              <w:rPr>
                <w:sz w:val="21"/>
              </w:rPr>
              <w:t xml:space="preserve"> </w:t>
            </w:r>
            <w:r>
              <w:rPr>
                <w:sz w:val="21"/>
              </w:rPr>
              <w:t xml:space="preserve">on [ ]]</w:t>
            </w:r>
          </w:p>
        </w:tc>
        <w:tc>
          <w:tcPr>
            <w:tcW w:type="dxa" w:w="2212"/>
          </w:tcPr>
          <w:p>
            <w:pPr>
              <w:pStyle w:val="Compact"/>
              <w:spacing w:before="0" w:after="0" w:line="240" w:lineRule="auto"/>
              <w:jc w:val="left"/>
            </w:pPr>
            <w:r>
              <w:rPr>
                <w:sz w:val="21"/>
              </w:rPr>
              <w:t xml:space="preserve">[ ]</w:t>
            </w:r>
          </w:p>
        </w:tc>
      </w:tr>
      <w:tr>
        <w:tc>
          <w:tcPr>
            <w:tcW w:type="dxa" w:w="2550"/>
          </w:tcPr>
          <w:p>
            <w:pPr>
              <w:pStyle w:val="Compact"/>
              <w:spacing w:before="0" w:after="0" w:line="240" w:lineRule="auto"/>
              <w:jc w:val="left"/>
            </w:pPr>
            <w:r>
              <w:rPr>
                <w:sz w:val="21"/>
              </w:rPr>
              <w:t xml:space="preserve">Reminder to file reply</w:t>
            </w:r>
          </w:p>
        </w:tc>
        <w:tc>
          <w:tcPr>
            <w:tcW w:type="dxa" w:w="930"/>
          </w:tcPr>
          <w:p>
            <w:pPr>
              <w:pStyle w:val="Compact"/>
              <w:spacing w:before="0" w:after="0" w:line="240" w:lineRule="auto"/>
              <w:jc w:val="left"/>
            </w:pPr>
            <w:r>
              <w:rPr>
                <w:sz w:val="21"/>
              </w:rPr>
              <w:t xml:space="preserve">[ ]</w:t>
            </w:r>
          </w:p>
        </w:tc>
        <w:tc>
          <w:tcPr>
            <w:tcW w:type="dxa" w:w="930"/>
          </w:tcPr>
          <w:p>
            <w:pPr>
              <w:pStyle w:val="Compact"/>
              <w:spacing w:before="0" w:after="0" w:line="240" w:lineRule="auto"/>
              <w:jc w:val="left"/>
            </w:pPr>
            <w:r>
              <w:rPr>
                <w:sz w:val="21"/>
              </w:rPr>
              <w:t xml:space="preserve">[ ]</w:t>
            </w:r>
          </w:p>
        </w:tc>
        <w:tc>
          <w:tcPr>
            <w:tcW w:type="dxa" w:w="1296"/>
          </w:tcPr>
          <w:p>
            <w:pPr>
              <w:pStyle w:val="Compact"/>
              <w:spacing w:before="0" w:after="0" w:line="240" w:lineRule="auto"/>
              <w:jc w:val="left"/>
            </w:pPr>
            <w:r>
              <w:rPr>
                <w:sz w:val="21"/>
              </w:rPr>
              <w:t xml:space="preserve">[ ]</w:t>
            </w:r>
          </w:p>
        </w:tc>
        <w:tc>
          <w:tcPr>
            <w:tcW w:type="dxa" w:w="1719"/>
          </w:tcPr>
          <w:p>
            <w:pPr>
              <w:pStyle w:val="Compact"/>
              <w:spacing w:before="0" w:after="0" w:line="240" w:lineRule="auto"/>
              <w:jc w:val="left"/>
            </w:pPr>
            <w:r>
              <w:rPr>
                <w:sz w:val="21"/>
              </w:rPr>
              <w:t xml:space="preserve">[ ]</w:t>
            </w:r>
          </w:p>
        </w:tc>
        <w:tc>
          <w:tcPr>
            <w:tcW w:type="dxa" w:w="2212"/>
          </w:tcPr>
          <w:p>
            <w:pPr>
              <w:pStyle w:val="Compact"/>
              <w:spacing w:before="0" w:after="0" w:line="240" w:lineRule="auto"/>
              <w:jc w:val="left"/>
            </w:pPr>
            <w:r>
              <w:rPr>
                <w:sz w:val="21"/>
              </w:rPr>
              <w:t xml:space="preserve">[ ]</w:t>
            </w:r>
          </w:p>
        </w:tc>
      </w:tr>
      <w:tr>
        <w:tc>
          <w:tcPr>
            <w:tcW w:type="dxa" w:w="2550"/>
          </w:tcPr>
          <w:p>
            <w:pPr>
              <w:pStyle w:val="Compact"/>
              <w:spacing w:before="0" w:after="0" w:line="240" w:lineRule="auto"/>
              <w:jc w:val="left"/>
            </w:pPr>
            <w:r>
              <w:rPr>
                <w:sz w:val="21"/>
              </w:rPr>
              <w:t xml:space="preserve">Hearing notice 1, for [date, time, venue]</w:t>
            </w:r>
          </w:p>
        </w:tc>
        <w:tc>
          <w:tcPr>
            <w:tcW w:type="dxa" w:w="930"/>
          </w:tcPr>
          <w:p>
            <w:pPr>
              <w:pStyle w:val="Compact"/>
              <w:spacing w:before="0" w:after="0" w:line="240" w:lineRule="auto"/>
              <w:jc w:val="left"/>
            </w:pPr>
            <w:r>
              <w:rPr>
                <w:sz w:val="21"/>
              </w:rPr>
              <w:t xml:space="preserve">[ ]</w:t>
            </w:r>
          </w:p>
        </w:tc>
        <w:tc>
          <w:tcPr>
            <w:tcW w:type="dxa" w:w="930"/>
          </w:tcPr>
          <w:p>
            <w:pPr>
              <w:pStyle w:val="Compact"/>
              <w:spacing w:before="0" w:after="0" w:line="240" w:lineRule="auto"/>
              <w:jc w:val="left"/>
            </w:pPr>
            <w:r>
              <w:rPr>
                <w:sz w:val="21"/>
              </w:rPr>
              <w:t xml:space="preserve">[ ]</w:t>
            </w:r>
          </w:p>
        </w:tc>
        <w:tc>
          <w:tcPr>
            <w:tcW w:type="dxa" w:w="1296"/>
          </w:tcPr>
          <w:p>
            <w:pPr>
              <w:pStyle w:val="Compact"/>
              <w:spacing w:before="0" w:after="0" w:line="240" w:lineRule="auto"/>
              <w:jc w:val="left"/>
            </w:pPr>
            <w:r>
              <w:rPr>
                <w:sz w:val="21"/>
              </w:rPr>
              <w:t xml:space="preserve">[ ]</w:t>
            </w:r>
          </w:p>
        </w:tc>
        <w:tc>
          <w:tcPr>
            <w:tcW w:type="dxa" w:w="1719"/>
          </w:tcPr>
          <w:p>
            <w:pPr>
              <w:pStyle w:val="Compact"/>
              <w:spacing w:before="0" w:after="0" w:line="240" w:lineRule="auto"/>
              <w:jc w:val="left"/>
            </w:pPr>
            <w:r>
              <w:rPr>
                <w:sz w:val="21"/>
              </w:rPr>
              <w:t xml:space="preserve">[ ]</w:t>
            </w:r>
          </w:p>
        </w:tc>
        <w:tc>
          <w:tcPr>
            <w:tcW w:type="dxa" w:w="2212"/>
          </w:tcPr>
          <w:p>
            <w:pPr>
              <w:pStyle w:val="Compact"/>
              <w:spacing w:before="0" w:after="0" w:line="240" w:lineRule="auto"/>
              <w:jc w:val="left"/>
            </w:pPr>
            <w:r>
              <w:rPr>
                <w:sz w:val="21"/>
              </w:rPr>
              <w:t xml:space="preserve">[ ]</w:t>
            </w:r>
          </w:p>
        </w:tc>
      </w:tr>
      <w:tr>
        <w:tc>
          <w:tcPr>
            <w:tcW w:type="dxa" w:w="2550"/>
          </w:tcPr>
          <w:p>
            <w:pPr>
              <w:pStyle w:val="Compact"/>
              <w:spacing w:before="0" w:after="0" w:line="240" w:lineRule="auto"/>
              <w:jc w:val="left"/>
            </w:pPr>
            <w:r>
              <w:rPr>
                <w:sz w:val="21"/>
              </w:rPr>
              <w:t xml:space="preserve">Hearing notice 2, for [date, time, venue]</w:t>
            </w:r>
          </w:p>
        </w:tc>
        <w:tc>
          <w:tcPr>
            <w:tcW w:type="dxa" w:w="930"/>
          </w:tcPr>
          <w:p>
            <w:pPr>
              <w:pStyle w:val="Compact"/>
              <w:spacing w:before="0" w:after="0" w:line="240" w:lineRule="auto"/>
              <w:jc w:val="left"/>
            </w:pPr>
            <w:r>
              <w:rPr>
                <w:sz w:val="21"/>
              </w:rPr>
              <w:t xml:space="preserve">[ ]</w:t>
            </w:r>
          </w:p>
        </w:tc>
        <w:tc>
          <w:tcPr>
            <w:tcW w:type="dxa" w:w="930"/>
          </w:tcPr>
          <w:p>
            <w:pPr>
              <w:pStyle w:val="Compact"/>
              <w:spacing w:before="0" w:after="0" w:line="240" w:lineRule="auto"/>
              <w:jc w:val="left"/>
            </w:pPr>
            <w:r>
              <w:rPr>
                <w:sz w:val="21"/>
              </w:rPr>
              <w:t xml:space="preserve">[ ]</w:t>
            </w:r>
          </w:p>
        </w:tc>
        <w:tc>
          <w:tcPr>
            <w:tcW w:type="dxa" w:w="1296"/>
          </w:tcPr>
          <w:p>
            <w:pPr>
              <w:pStyle w:val="Compact"/>
              <w:spacing w:before="0" w:after="0" w:line="240" w:lineRule="auto"/>
              <w:jc w:val="left"/>
            </w:pPr>
            <w:r>
              <w:rPr>
                <w:sz w:val="21"/>
              </w:rPr>
              <w:t xml:space="preserve">[ ]</w:t>
            </w:r>
          </w:p>
        </w:tc>
        <w:tc>
          <w:tcPr>
            <w:tcW w:type="dxa" w:w="1719"/>
          </w:tcPr>
          <w:p>
            <w:pPr>
              <w:pStyle w:val="Compact"/>
              <w:spacing w:before="0" w:after="0" w:line="240" w:lineRule="auto"/>
              <w:jc w:val="left"/>
            </w:pPr>
            <w:r>
              <w:rPr>
                <w:sz w:val="21"/>
              </w:rPr>
              <w:t xml:space="preserve">[ ]</w:t>
            </w:r>
          </w:p>
        </w:tc>
        <w:tc>
          <w:tcPr>
            <w:tcW w:type="dxa" w:w="2212"/>
          </w:tcPr>
          <w:p>
            <w:pPr>
              <w:pStyle w:val="Compact"/>
              <w:spacing w:before="0" w:after="0" w:line="240" w:lineRule="auto"/>
              <w:jc w:val="left"/>
            </w:pPr>
            <w:r>
              <w:rPr>
                <w:sz w:val="21"/>
              </w:rPr>
              <w:t xml:space="preserve">[ ]</w:t>
            </w:r>
          </w:p>
        </w:tc>
      </w:tr>
      <w:tr>
        <w:tc>
          <w:tcPr>
            <w:tcW w:type="dxa" w:w="2550"/>
          </w:tcPr>
          <w:p>
            <w:pPr>
              <w:pStyle w:val="Compact"/>
              <w:spacing w:before="0" w:after="0" w:line="240" w:lineRule="auto"/>
              <w:jc w:val="left"/>
            </w:pPr>
            <w:r>
              <w:rPr>
                <w:sz w:val="21"/>
              </w:rPr>
              <w:t xml:space="preserve">Hearing notice 3 (final), for [date, time, venue]</w:t>
            </w:r>
          </w:p>
        </w:tc>
        <w:tc>
          <w:tcPr>
            <w:tcW w:type="dxa" w:w="930"/>
          </w:tcPr>
          <w:p>
            <w:pPr>
              <w:pStyle w:val="Compact"/>
              <w:spacing w:before="0" w:after="0" w:line="240" w:lineRule="auto"/>
              <w:jc w:val="left"/>
            </w:pPr>
            <w:r>
              <w:rPr>
                <w:sz w:val="21"/>
              </w:rPr>
              <w:t xml:space="preserve">[ ]</w:t>
            </w:r>
          </w:p>
        </w:tc>
        <w:tc>
          <w:tcPr>
            <w:tcW w:type="dxa" w:w="930"/>
          </w:tcPr>
          <w:p>
            <w:pPr>
              <w:pStyle w:val="Compact"/>
              <w:spacing w:before="0" w:after="0" w:line="240" w:lineRule="auto"/>
              <w:jc w:val="left"/>
            </w:pPr>
            <w:r>
              <w:rPr>
                <w:sz w:val="21"/>
              </w:rPr>
              <w:t xml:space="preserve">[ ]</w:t>
            </w:r>
          </w:p>
        </w:tc>
        <w:tc>
          <w:tcPr>
            <w:tcW w:type="dxa" w:w="1296"/>
          </w:tcPr>
          <w:p>
            <w:pPr>
              <w:pStyle w:val="Compact"/>
              <w:spacing w:before="0" w:after="0" w:line="240" w:lineRule="auto"/>
              <w:jc w:val="left"/>
            </w:pPr>
            <w:r>
              <w:rPr>
                <w:sz w:val="21"/>
              </w:rPr>
              <w:t xml:space="preserve">[ ]</w:t>
            </w:r>
          </w:p>
        </w:tc>
        <w:tc>
          <w:tcPr>
            <w:tcW w:type="dxa" w:w="1719"/>
          </w:tcPr>
          <w:p>
            <w:pPr>
              <w:pStyle w:val="Compact"/>
              <w:spacing w:before="0" w:after="0" w:line="240" w:lineRule="auto"/>
              <w:jc w:val="left"/>
            </w:pPr>
            <w:r>
              <w:rPr>
                <w:sz w:val="21"/>
              </w:rPr>
              <w:t xml:space="preserve">[ ]</w:t>
            </w:r>
          </w:p>
        </w:tc>
        <w:tc>
          <w:tcPr>
            <w:tcW w:type="dxa" w:w="2212"/>
          </w:tcPr>
          <w:p>
            <w:pPr>
              <w:pStyle w:val="Compact"/>
              <w:spacing w:before="0" w:after="0" w:line="240" w:lineRule="auto"/>
              <w:jc w:val="left"/>
            </w:pPr>
            <w:r>
              <w:rPr>
                <w:sz w:val="21"/>
              </w:rPr>
              <w:t xml:space="preserve">[Affixed at the last known place of business on [ ] (section 169(1)(f)) / published in [newspaper] on [ ] (section 169(1)(e))]</w:t>
            </w:r>
          </w:p>
        </w:tc>
      </w:tr>
    </w:tbl>
    <w:p>
      <w:pPr>
        <w:pStyle w:val="BodyText"/>
        <w:spacing w:before="0" w:after="120" w:line="269" w:lineRule="auto"/>
        <w:jc w:val="both"/>
      </w:pPr>
      <w:r>
        <w:t xml:space="preserve">4.2 Each hearing notice gave a fixed date, time and venue [and a video-conference link], with an interval of at least [seven] days between notices, and stated that the hearing was offered under section 75(4) whether or not a reply was filed. The notices were served in the modes allowed by section 169(1)(a) to (f), and service is complete on the dates in section 169(2) and (3). [The SCN was also delivered by speed post on [ ], so service is proved independently of the portal.]</w:t>
      </w:r>
    </w:p>
    <w:p>
      <w:pPr>
        <w:pStyle w:val="BodyText"/>
        <w:spacing w:before="0" w:after="120" w:line="269" w:lineRule="auto"/>
        <w:jc w:val="both"/>
      </w:pPr>
      <w:r>
        <w:t xml:space="preserve">4.3 No reply was filed. No one appeared on [date 1], [date 2] or [date 3]. No request for adjournment or for more time was received at any stage. [Option: An adjournment was sought on [ ] and granted to [ ]; no further request was made (section 75(5)).] [Option: The Range officer reported on [ ] (RUD-[ ]) that the noticee is not functioning from the registered address; service was therefore also effected by [affixing / publication].]</w:t>
      </w:r>
    </w:p>
    <w:p>
      <w:pPr>
        <w:pStyle w:val="BodyText"/>
        <w:spacing w:before="0" w:after="120" w:line="269" w:lineRule="auto"/>
        <w:jc w:val="both"/>
      </w:pPr>
      <w:r>
        <w:t xml:space="preserve">4.4 The noticee has thus had the SCN, the relied-upon documents and three opportunities of being heard, served in more than one mode. In these circumstances I proceed to decide the case on the record. The absence of a reply is not treated as an admission: each allegation is examined below on the evidence.</w:t>
      </w:r>
    </w:p>
    <w:p>
      <w:pPr>
        <w:pStyle w:val="BlockText"/>
        <w:shd w:val="clear" w:color="auto" w:fill="E7E6E6"/>
      </w:pPr>
      <w:r>
        <w:rPr>
          <w:bCs/>
          <w:b/>
          <w:sz w:val="21"/>
        </w:rPr>
        <w:t xml:space="preserve">Drafting note:</w:t>
      </w:r>
      <w:r>
        <w:rPr>
          <w:sz w:val="21"/>
        </w:rPr>
        <w:t xml:space="preserve"> </w:t>
      </w:r>
      <w:r>
        <w:rPr>
          <w:sz w:val="21"/>
        </w:rPr>
        <w:t xml:space="preserve">courts set aside ex parte orders where the SCN or hearing notices sat only in the portal’s</w:t>
      </w:r>
      <w:r>
        <w:rPr>
          <w:sz w:val="21"/>
        </w:rPr>
        <w:t xml:space="preserve"> </w:t>
      </w:r>
      <w:r>
        <w:rPr>
          <w:sz w:val="21"/>
        </w:rPr>
        <w:t xml:space="preserve">“</w:t>
      </w:r>
      <w:r>
        <w:rPr>
          <w:sz w:val="21"/>
        </w:rPr>
        <w:t xml:space="preserve">Additional Notices and Orders</w:t>
      </w:r>
      <w:r>
        <w:rPr>
          <w:sz w:val="21"/>
        </w:rPr>
        <w:t xml:space="preserve">”</w:t>
      </w:r>
      <w:r>
        <w:rPr>
          <w:sz w:val="21"/>
        </w:rPr>
        <w:t xml:space="preserve"> </w:t>
      </w:r>
      <w:r>
        <w:rPr>
          <w:sz w:val="21"/>
        </w:rPr>
        <w:t xml:space="preserve">tab (</w:t>
      </w:r>
      <w:r>
        <w:rPr>
          <w:iCs/>
          <w:i/>
          <w:sz w:val="21"/>
        </w:rPr>
        <w:t xml:space="preserve">ACE Cardiopathy</w:t>
      </w:r>
      <w:r>
        <w:rPr>
          <w:sz w:val="21"/>
        </w:rPr>
        <w:t xml:space="preserve">, Delhi HC, persuasive); the Telangana HC relegates such cases to appeal with condonation of delay (</w:t>
      </w:r>
      <w:r>
        <w:rPr>
          <w:iCs/>
          <w:i/>
          <w:sz w:val="21"/>
        </w:rPr>
        <w:t xml:space="preserve">Bollant Industries</w:t>
      </w:r>
      <w:r>
        <w:rPr>
          <w:sz w:val="21"/>
        </w:rPr>
        <w:t xml:space="preserve">,</w:t>
      </w:r>
      <w:r>
        <w:rPr>
          <w:sz w:val="21"/>
        </w:rPr>
        <w:t xml:space="preserve"> </w:t>
      </w:r>
      <w:r>
        <w:rPr>
          <w:iCs/>
          <w:i/>
          <w:sz w:val="21"/>
        </w:rPr>
        <w:t xml:space="preserve">Sri Sai Ram Traders</w:t>
      </w:r>
      <w:r>
        <w:rPr>
          <w:sz w:val="21"/>
        </w:rPr>
        <w:t xml:space="preserve">, binding in Telangana). Serve by portal</w:t>
      </w:r>
      <w:r>
        <w:rPr>
          <w:sz w:val="21"/>
        </w:rPr>
        <w:t xml:space="preserve"> </w:t>
      </w:r>
      <w:r>
        <w:rPr>
          <w:bCs/>
          <w:b/>
          <w:sz w:val="21"/>
        </w:rPr>
        <w:t xml:space="preserve">and</w:t>
      </w:r>
      <w:r>
        <w:rPr>
          <w:sz w:val="21"/>
        </w:rPr>
        <w:t xml:space="preserve"> </w:t>
      </w:r>
      <w:r>
        <w:rPr>
          <w:sz w:val="21"/>
        </w:rPr>
        <w:t xml:space="preserve">e-mail</w:t>
      </w:r>
      <w:r>
        <w:rPr>
          <w:sz w:val="21"/>
        </w:rPr>
        <w:t xml:space="preserve"> </w:t>
      </w:r>
      <w:r>
        <w:rPr>
          <w:bCs/>
          <w:b/>
          <w:sz w:val="21"/>
        </w:rPr>
        <w:t xml:space="preserve">and</w:t>
      </w:r>
      <w:r>
        <w:rPr>
          <w:sz w:val="21"/>
        </w:rPr>
        <w:t xml:space="preserve"> </w:t>
      </w:r>
      <w:r>
        <w:rPr>
          <w:sz w:val="21"/>
        </w:rPr>
        <w:t xml:space="preserve">speed post, and keep the postal tracking print-outs on file. If the noticee is reported non-existent, use affixing or publication too. A hearing must be offered even if none was asked for (section 75(4);</w:t>
      </w:r>
      <w:r>
        <w:rPr>
          <w:sz w:val="21"/>
        </w:rPr>
        <w:t xml:space="preserve"> </w:t>
      </w:r>
      <w:r>
        <w:rPr>
          <w:iCs/>
          <w:i/>
          <w:sz w:val="21"/>
        </w:rPr>
        <w:t xml:space="preserve">B.K. Steels</w:t>
      </w:r>
      <w:r>
        <w:rPr>
          <w:sz w:val="21"/>
        </w:rPr>
        <w:t xml:space="preserve">, Telangana HC, binding). Never write that the hearing was</w:t>
      </w:r>
      <w:r>
        <w:rPr>
          <w:sz w:val="21"/>
        </w:rPr>
        <w:t xml:space="preserve"> </w:t>
      </w:r>
      <w:r>
        <w:rPr>
          <w:sz w:val="21"/>
        </w:rPr>
        <w:t xml:space="preserve">“</w:t>
      </w:r>
      <w:r>
        <w:rPr>
          <w:sz w:val="21"/>
        </w:rPr>
        <w:t xml:space="preserve">deemed waived</w:t>
      </w:r>
      <w:r>
        <w:rPr>
          <w:sz w:val="21"/>
        </w:rPr>
        <w:t xml:space="preserve">”</w:t>
      </w:r>
      <w:r>
        <w:rPr>
          <w:sz w:val="21"/>
        </w:rPr>
        <w:t xml:space="preserve"> </w:t>
      </w:r>
      <w:r>
        <w:rPr>
          <w:sz w:val="21"/>
        </w:rPr>
        <w:t xml:space="preserve">or that the allegations are</w:t>
      </w:r>
      <w:r>
        <w:rPr>
          <w:sz w:val="21"/>
        </w:rPr>
        <w:t xml:space="preserve"> </w:t>
      </w:r>
      <w:r>
        <w:rPr>
          <w:sz w:val="21"/>
        </w:rPr>
        <w:t xml:space="preserve">“</w:t>
      </w:r>
      <w:r>
        <w:rPr>
          <w:sz w:val="21"/>
        </w:rPr>
        <w:t xml:space="preserve">deemed admitted</w:t>
      </w:r>
      <w:r>
        <w:rPr>
          <w:sz w:val="21"/>
        </w:rPr>
        <w:t xml:space="preserve">”</w:t>
      </w:r>
      <w:r>
        <w:rPr>
          <w:sz w:val="21"/>
        </w:rPr>
        <w:t xml:space="preserve">. If service of any notice cannot be proved, issue a fresh one before deciding.</w:t>
      </w:r>
    </w:p>
    <w:p>
      <w:pPr>
        <w:pStyle w:val="FirstParagraph"/>
        <w:keepNext/>
        <w:spacing w:before="240" w:after="80"/>
        <w:pBdr>
          <w:bottom w:val="single" w:sz="6" w:space="1" w:color="B4C6E7"/>
        </w:pBdr>
      </w:pPr>
      <w:r>
        <w:rPr>
          <w:bCs/>
          <w:b/>
          <w:color w:val="1F3864"/>
          <w:sz w:val="25"/>
        </w:rPr>
        <w:t xml:space="preserve">5. Points for determination</w:t>
      </w:r>
    </w:p>
    <w:p>
      <w:pPr>
        <w:pStyle w:val="BodyText"/>
        <w:spacing w:before="0" w:after="120" w:line="269" w:lineRule="auto"/>
        <w:jc w:val="both"/>
      </w:pPr>
      <w:r>
        <w:t xml:space="preserve">5.1 The points are: (a) whether the SCN and this order are within time; (b) [issue 1, as a question]; (c) [issue 2]; (d) [where section 74 or 74A(5)(ii) is invoked] whether fraud, wilful misstatement or suppression with intent to evade is established on the facts stated in the SCN; (e) interest; (f) penalty.</w:t>
      </w:r>
    </w:p>
    <w:p>
      <w:pPr>
        <w:pStyle w:val="BodyText"/>
        <w:keepNext/>
        <w:spacing w:before="240" w:after="80"/>
        <w:pBdr>
          <w:bottom w:val="single" w:sz="6" w:space="1" w:color="B4C6E7"/>
        </w:pBdr>
      </w:pPr>
      <w:r>
        <w:rPr>
          <w:bCs/>
          <w:b/>
          <w:color w:val="1F3864"/>
          <w:sz w:val="25"/>
        </w:rPr>
        <w:t xml:space="preserve">6. Discussion and findings</w:t>
      </w:r>
    </w:p>
    <w:p>
      <w:pPr>
        <w:pStyle w:val="BodyText"/>
        <w:spacing w:before="0" w:after="120" w:line="269" w:lineRule="auto"/>
        <w:jc w:val="both"/>
      </w:pPr>
      <w:r>
        <w:t xml:space="preserve">6.0 Although the noticee has not replied, I must still find the facts and give reasons (section 75(6)), and I can confirm nothing beyond the amount and grounds in the SCN (section 75(7)). I have therefore examined each allegation against the relied-upon documents and the noticee’s returns on the portal, and I have applied the provisions that favour the noticee where the record shows they apply.</w:t>
      </w:r>
    </w:p>
    <w:p>
      <w:pPr>
        <w:pStyle w:val="BodyText"/>
        <w:keepNext/>
        <w:spacing w:before="240" w:after="80"/>
        <w:pBdr>
          <w:bottom w:val="single" w:sz="6" w:space="1" w:color="B4C6E7"/>
        </w:pBdr>
      </w:pPr>
      <w:r>
        <w:rPr>
          <w:bCs/>
          <w:b/>
          <w:color w:val="1F3864"/>
          <w:sz w:val="25"/>
        </w:rPr>
        <w:t xml:space="preserve">6.1 Limitation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4484"/>
        <w:gridCol w:w="2008"/>
        <w:gridCol w:w="3146"/>
      </w:tblGrid>
      <w:tr>
        <w:trPr>
          <w:tblHeader w:val="true"/>
          <w:tblHeader/>
        </w:trPr>
        <w:tc>
          <w:tcPr>
            <w:tcW w:type="dxa" w:w="4484"/>
            <w:shd w:val="clear" w:color="auto" w:fill="DCE6F1"/>
          </w:tcPr>
          <w:p>
            <w:pPr>
              <w:pStyle w:val="Compact"/>
              <w:spacing w:before="0" w:after="0" w:line="240" w:lineRule="auto"/>
              <w:jc w:val="left"/>
            </w:pPr>
            <w:r>
              <w:rPr>
                <w:b/>
                <w:color w:val="1F3864"/>
                <w:sz w:val="21"/>
              </w:rPr>
              <w:t xml:space="preserve">Item</w:t>
            </w:r>
          </w:p>
        </w:tc>
        <w:tc>
          <w:tcPr>
            <w:tcW w:type="dxa" w:w="2008"/>
            <w:shd w:val="clear" w:color="auto" w:fill="DCE6F1"/>
          </w:tcPr>
          <w:p>
            <w:pPr>
              <w:pStyle w:val="Compact"/>
              <w:spacing w:before="0" w:after="0" w:line="240" w:lineRule="auto"/>
              <w:jc w:val="left"/>
            </w:pPr>
            <w:r>
              <w:rPr>
                <w:b/>
                <w:color w:val="1F3864"/>
                <w:sz w:val="21"/>
              </w:rPr>
              <w:t xml:space="preserve">Date</w:t>
            </w:r>
          </w:p>
        </w:tc>
        <w:tc>
          <w:tcPr>
            <w:tcW w:type="dxa" w:w="3146"/>
            <w:shd w:val="clear" w:color="auto" w:fill="DCE6F1"/>
          </w:tcPr>
          <w:p>
            <w:pPr>
              <w:pStyle w:val="Compact"/>
              <w:spacing w:before="0" w:after="0" w:line="240" w:lineRule="auto"/>
              <w:jc w:val="left"/>
            </w:pPr>
            <w:r>
              <w:rPr>
                <w:b/>
                <w:color w:val="1F3864"/>
                <w:sz w:val="21"/>
              </w:rPr>
              <w:t xml:space="preserve">Provision</w:t>
            </w:r>
          </w:p>
        </w:tc>
      </w:tr>
      <w:tr>
        <w:tc>
          <w:tcPr>
            <w:tcW w:type="dxa" w:w="4484"/>
          </w:tcPr>
          <w:p>
            <w:pPr>
              <w:pStyle w:val="Compact"/>
              <w:spacing w:before="0" w:after="0" w:line="240" w:lineRule="auto"/>
              <w:jc w:val="left"/>
            </w:pPr>
            <w:r>
              <w:rPr>
                <w:sz w:val="21"/>
              </w:rPr>
              <w:t xml:space="preserve">Annual return due date for FY [ ]</w:t>
            </w:r>
          </w:p>
        </w:tc>
        <w:tc>
          <w:tcPr>
            <w:tcW w:type="dxa" w:w="2008"/>
          </w:tcPr>
          <w:p>
            <w:pPr>
              <w:pStyle w:val="Compact"/>
              <w:spacing w:before="0" w:after="0" w:line="240" w:lineRule="auto"/>
              <w:jc w:val="left"/>
            </w:pPr>
            <w:r>
              <w:rPr>
                <w:sz w:val="21"/>
              </w:rPr>
              <w:t xml:space="preserve">[ ]</w:t>
            </w:r>
          </w:p>
        </w:tc>
        <w:tc>
          <w:tcPr>
            <w:tcW w:type="dxa" w:w="3146"/>
          </w:tcPr>
          <w:p>
            <w:pPr>
              <w:pStyle w:val="Compact"/>
              <w:spacing w:before="0" w:after="0" w:line="240" w:lineRule="auto"/>
              <w:jc w:val="left"/>
            </w:pPr>
            <w:r>
              <w:rPr>
                <w:sz w:val="21"/>
              </w:rPr>
              <w:t xml:space="preserve">Section 44; rule 80</w:t>
            </w:r>
          </w:p>
        </w:tc>
      </w:tr>
      <w:tr>
        <w:tc>
          <w:tcPr>
            <w:tcW w:type="dxa" w:w="4484"/>
          </w:tcPr>
          <w:p>
            <w:pPr>
              <w:pStyle w:val="Compact"/>
              <w:spacing w:before="0" w:after="0" w:line="240" w:lineRule="auto"/>
              <w:jc w:val="left"/>
            </w:pPr>
            <w:r>
              <w:rPr>
                <w:sz w:val="21"/>
              </w:rPr>
              <w:t xml:space="preserve">Last date for the SCN</w:t>
            </w:r>
          </w:p>
        </w:tc>
        <w:tc>
          <w:tcPr>
            <w:tcW w:type="dxa" w:w="2008"/>
          </w:tcPr>
          <w:p>
            <w:pPr>
              <w:pStyle w:val="Compact"/>
              <w:spacing w:before="0" w:after="0" w:line="240" w:lineRule="auto"/>
              <w:jc w:val="left"/>
            </w:pPr>
            <w:r>
              <w:rPr>
                <w:sz w:val="21"/>
              </w:rPr>
              <w:t xml:space="preserve">[ ]</w:t>
            </w:r>
          </w:p>
        </w:tc>
        <w:tc>
          <w:tcPr>
            <w:tcW w:type="dxa" w:w="3146"/>
          </w:tcPr>
          <w:p>
            <w:pPr>
              <w:pStyle w:val="Compact"/>
              <w:spacing w:before="0" w:after="0" w:line="240" w:lineRule="auto"/>
              <w:jc w:val="left"/>
            </w:pPr>
            <w:r>
              <w:rPr>
                <w:sz w:val="21"/>
              </w:rPr>
              <w:t xml:space="preserve">Section [73(2) / 74(2) / 74A(2)]</w:t>
            </w:r>
          </w:p>
        </w:tc>
      </w:tr>
      <w:tr>
        <w:tc>
          <w:tcPr>
            <w:tcW w:type="dxa" w:w="4484"/>
          </w:tcPr>
          <w:p>
            <w:pPr>
              <w:pStyle w:val="Compact"/>
              <w:spacing w:before="0" w:after="0" w:line="240" w:lineRule="auto"/>
              <w:jc w:val="left"/>
            </w:pPr>
            <w:r>
              <w:rPr>
                <w:sz w:val="21"/>
              </w:rPr>
              <w:t xml:space="preserve">Date of the SCN</w:t>
            </w:r>
          </w:p>
        </w:tc>
        <w:tc>
          <w:tcPr>
            <w:tcW w:type="dxa" w:w="2008"/>
          </w:tcPr>
          <w:p>
            <w:pPr>
              <w:pStyle w:val="Compact"/>
              <w:spacing w:before="0" w:after="0" w:line="240" w:lineRule="auto"/>
              <w:jc w:val="left"/>
            </w:pPr>
            <w:r>
              <w:rPr>
                <w:sz w:val="21"/>
              </w:rPr>
              <w:t xml:space="preserve">[ ]</w:t>
            </w:r>
          </w:p>
        </w:tc>
        <w:tc>
          <w:tcPr>
            <w:tcW w:type="dxa" w:w="3146"/>
          </w:tcPr>
          <w:p>
            <w:pPr>
              <w:pStyle w:val="Compact"/>
              <w:spacing w:before="0" w:after="0" w:line="240" w:lineRule="auto"/>
            </w:pPr>
          </w:p>
        </w:tc>
      </w:tr>
      <w:tr>
        <w:tc>
          <w:tcPr>
            <w:tcW w:type="dxa" w:w="4484"/>
          </w:tcPr>
          <w:p>
            <w:pPr>
              <w:pStyle w:val="Compact"/>
              <w:spacing w:before="0" w:after="0" w:line="240" w:lineRule="auto"/>
              <w:jc w:val="left"/>
            </w:pPr>
            <w:r>
              <w:rPr>
                <w:sz w:val="21"/>
              </w:rPr>
              <w:t xml:space="preserve">Last date for the order [extension, if any]</w:t>
            </w:r>
          </w:p>
        </w:tc>
        <w:tc>
          <w:tcPr>
            <w:tcW w:type="dxa" w:w="2008"/>
          </w:tcPr>
          <w:p>
            <w:pPr>
              <w:pStyle w:val="Compact"/>
              <w:spacing w:before="0" w:after="0" w:line="240" w:lineRule="auto"/>
              <w:jc w:val="left"/>
            </w:pPr>
            <w:r>
              <w:rPr>
                <w:sz w:val="21"/>
              </w:rPr>
              <w:t xml:space="preserve">[ ]</w:t>
            </w:r>
          </w:p>
        </w:tc>
        <w:tc>
          <w:tcPr>
            <w:tcW w:type="dxa" w:w="3146"/>
          </w:tcPr>
          <w:p>
            <w:pPr>
              <w:pStyle w:val="Compact"/>
              <w:spacing w:before="0" w:after="0" w:line="240" w:lineRule="auto"/>
              <w:jc w:val="left"/>
            </w:pPr>
            <w:r>
              <w:rPr>
                <w:sz w:val="21"/>
              </w:rPr>
              <w:t xml:space="preserve">Section [73(10) / 74(10) / 74A(7)]</w:t>
            </w:r>
          </w:p>
        </w:tc>
      </w:tr>
      <w:tr>
        <w:tc>
          <w:tcPr>
            <w:tcW w:type="dxa" w:w="4484"/>
          </w:tcPr>
          <w:p>
            <w:pPr>
              <w:pStyle w:val="Compact"/>
              <w:spacing w:before="0" w:after="0" w:line="240" w:lineRule="auto"/>
              <w:jc w:val="left"/>
            </w:pPr>
            <w:r>
              <w:rPr>
                <w:sz w:val="21"/>
              </w:rPr>
              <w:t xml:space="preserve">Date of this order</w:t>
            </w:r>
          </w:p>
        </w:tc>
        <w:tc>
          <w:tcPr>
            <w:tcW w:type="dxa" w:w="2008"/>
          </w:tcPr>
          <w:p>
            <w:pPr>
              <w:pStyle w:val="Compact"/>
              <w:spacing w:before="0" w:after="0" w:line="240" w:lineRule="auto"/>
              <w:jc w:val="left"/>
            </w:pPr>
            <w:r>
              <w:rPr>
                <w:sz w:val="21"/>
              </w:rPr>
              <w:t xml:space="preserve">[ ]</w:t>
            </w:r>
          </w:p>
        </w:tc>
        <w:tc>
          <w:tcPr>
            <w:tcW w:type="dxa" w:w="3146"/>
          </w:tcPr>
          <w:p>
            <w:pPr>
              <w:pStyle w:val="Compact"/>
              <w:spacing w:before="0" w:after="0" w:line="240" w:lineRule="auto"/>
            </w:pPr>
          </w:p>
        </w:tc>
      </w:tr>
    </w:tbl>
    <w:p>
      <w:pPr>
        <w:pStyle w:val="BodyText"/>
        <w:spacing w:before="0" w:after="120" w:line="269" w:lineRule="auto"/>
        <w:jc w:val="both"/>
      </w:pPr>
      <w:r>
        <w:t xml:space="preserve">6.1.1 The SCN and this order are within time. [Option: the item at SCN para [ ] relates to [period], for which the SCN was out of time; it is</w:t>
      </w:r>
      <w:r>
        <w:t xml:space="preserve"> </w:t>
      </w:r>
      <w:r>
        <w:rPr>
          <w:bCs/>
          <w:b/>
        </w:rPr>
        <w:t xml:space="preserve">dropped</w:t>
      </w:r>
      <w:r>
        <w:t xml:space="preserve">.] [Option, where a section 168A notification is relied on: the time limit stands extended by Notification No. [ ]-CT; its validity is pending before the Hon’ble Supreme Court in SLP (C) No. 4240 of 2025, and this order is subject to its outcome.]</w:t>
      </w:r>
    </w:p>
    <w:p>
      <w:pPr>
        <w:pStyle w:val="BodyText"/>
        <w:keepNext/>
        <w:spacing w:before="240" w:after="80"/>
        <w:pBdr>
          <w:bottom w:val="single" w:sz="6" w:space="1" w:color="B4C6E7"/>
        </w:pBdr>
      </w:pPr>
      <w:r>
        <w:rPr>
          <w:bCs/>
          <w:b/>
          <w:color w:val="1F3864"/>
          <w:sz w:val="25"/>
        </w:rPr>
        <w:t xml:space="preserve">6.2 Issue 1: [short title]</w:t>
      </w:r>
    </w:p>
    <w:p>
      <w:pPr>
        <w:pStyle w:val="BodyText"/>
        <w:spacing w:before="0" w:after="120" w:line="269" w:lineRule="auto"/>
      </w:pPr>
      <w:r>
        <w:t xml:space="preserve">6.2.1</w:t>
      </w:r>
      <w:r>
        <w:t xml:space="preserve"> </w:t>
      </w:r>
      <w:r>
        <w:rPr>
          <w:bCs/>
          <w:b/>
        </w:rPr>
        <w:t xml:space="preserve">The charge.</w:t>
      </w:r>
      <w:r>
        <w:t xml:space="preserve"> </w:t>
      </w:r>
      <w:r>
        <w:t xml:space="preserve">[SCN para, the ground, the provision, the amount, the RUDs.]</w:t>
      </w:r>
    </w:p>
    <w:p>
      <w:pPr>
        <w:pStyle w:val="BodyText"/>
        <w:spacing w:before="0" w:after="120" w:line="269" w:lineRule="auto"/>
        <w:jc w:val="both"/>
      </w:pPr>
      <w:r>
        <w:t xml:space="preserve">6.2.2</w:t>
      </w:r>
      <w:r>
        <w:t xml:space="preserve"> </w:t>
      </w:r>
      <w:r>
        <w:rPr>
          <w:bCs/>
          <w:b/>
        </w:rPr>
        <w:t xml:space="preserve">The evidence.</w:t>
      </w:r>
      <w:r>
        <w:t xml:space="preserve"> </w:t>
      </w:r>
      <w:r>
        <w:t xml:space="preserve">[What each RUD shows. Verify every figure in the SCN against its source: re-add the tables, check the months, check the GSTR-2B / GSTR-1 / ledger data on the portal yourself.]</w:t>
      </w:r>
    </w:p>
    <w:p>
      <w:pPr>
        <w:pStyle w:val="BodyText"/>
        <w:spacing w:before="0" w:after="120" w:line="269" w:lineRule="auto"/>
        <w:jc w:val="both"/>
      </w:pPr>
      <w:r>
        <w:t xml:space="preserve">6.2.3</w:t>
      </w:r>
      <w:r>
        <w:t xml:space="preserve"> </w:t>
      </w:r>
      <w:r>
        <w:rPr>
          <w:bCs/>
          <w:b/>
        </w:rPr>
        <w:t xml:space="preserve">Matters examined although not raised by the noticee.</w:t>
      </w:r>
      <w:r>
        <w:t xml:space="preserve"> </w:t>
      </w:r>
      <w:r>
        <w:t xml:space="preserve">[For example: payments by DRC-03 or later GSTR-3B; credit appearing in a later GSTR-2B; section 16(5) or 16(6); Circular 183/193 for pre-2022 periods; imports or reverse charge credit inside a 2B difference; the cash-portion proviso to section 50(1); a waiver notification for late fee.] [Finding on each.]</w:t>
      </w:r>
    </w:p>
    <w:p>
      <w:pPr>
        <w:pStyle w:val="BodyText"/>
        <w:spacing w:before="0" w:after="120" w:line="269" w:lineRule="auto"/>
        <w:jc w:val="both"/>
      </w:pPr>
      <w:r>
        <w:t xml:space="preserve">6.2.4</w:t>
      </w:r>
      <w:r>
        <w:t xml:space="preserve"> </w:t>
      </w:r>
      <w:r>
        <w:rPr>
          <w:bCs/>
          <w:b/>
        </w:rPr>
        <w:t xml:space="preserve">Conclusion.</w:t>
      </w:r>
      <w:r>
        <w:t xml:space="preserve"> </w:t>
      </w:r>
      <w:r>
        <w:t xml:space="preserve">[Confirmed / reduced to ₹[ ], for the reasons above / dropped, because the record does not support it.]</w:t>
      </w:r>
    </w:p>
    <w:p>
      <w:pPr>
        <w:pStyle w:val="BlockText"/>
        <w:shd w:val="clear" w:color="auto" w:fill="E7E6E6"/>
      </w:pPr>
      <w:r>
        <w:rPr>
          <w:bCs/>
          <w:b/>
          <w:sz w:val="21"/>
        </w:rPr>
        <w:t xml:space="preserve">Drafting note:</w:t>
      </w:r>
      <w:r>
        <w:rPr>
          <w:sz w:val="21"/>
        </w:rPr>
        <w:t xml:space="preserve"> </w:t>
      </w:r>
      <w:r>
        <w:rPr>
          <w:sz w:val="21"/>
        </w:rPr>
        <w:t xml:space="preserve">use the B2 module for the issue, leaving out the defence table and answering only what the record raises. A finding such as</w:t>
      </w:r>
      <w:r>
        <w:rPr>
          <w:sz w:val="21"/>
        </w:rPr>
        <w:t xml:space="preserve"> </w:t>
      </w:r>
      <w:r>
        <w:rPr>
          <w:sz w:val="21"/>
        </w:rPr>
        <w:t xml:space="preserve">“</w:t>
      </w:r>
      <w:r>
        <w:rPr>
          <w:sz w:val="21"/>
        </w:rPr>
        <w:t xml:space="preserve">since the noticee has not replied, the allegations are confirmed</w:t>
      </w:r>
      <w:r>
        <w:rPr>
          <w:sz w:val="21"/>
        </w:rPr>
        <w:t xml:space="preserve">”</w:t>
      </w:r>
      <w:r>
        <w:rPr>
          <w:sz w:val="21"/>
        </w:rPr>
        <w:t xml:space="preserve"> </w:t>
      </w:r>
      <w:r>
        <w:rPr>
          <w:sz w:val="21"/>
        </w:rPr>
        <w:t xml:space="preserve">is a non-speaking finding and will be set aside. Where the SCN’s figure cannot be traced to a document served on the noticee, drop that part.</w:t>
      </w:r>
    </w:p>
    <w:p>
      <w:pPr>
        <w:pStyle w:val="FirstParagraph"/>
        <w:keepNext/>
        <w:spacing w:before="240" w:after="80"/>
        <w:pBdr>
          <w:bottom w:val="single" w:sz="6" w:space="1" w:color="B4C6E7"/>
        </w:pBdr>
      </w:pPr>
      <w:r>
        <w:rPr>
          <w:bCs/>
          <w:b/>
          <w:color w:val="1F3864"/>
          <w:sz w:val="25"/>
        </w:rPr>
        <w:t xml:space="preserve">6.3 Issue 2: [short title]</w:t>
      </w:r>
    </w:p>
    <w:p>
      <w:pPr>
        <w:pStyle w:val="BodyText"/>
        <w:spacing w:before="0" w:after="120" w:line="269" w:lineRule="auto"/>
      </w:pPr>
      <w:r>
        <w:t xml:space="preserve">6.3.1 [Same structure.]</w:t>
      </w:r>
    </w:p>
    <w:p>
      <w:pPr>
        <w:pStyle w:val="BodyText"/>
        <w:keepNext/>
        <w:spacing w:before="240" w:after="80"/>
        <w:pBdr>
          <w:bottom w:val="single" w:sz="6" w:space="1" w:color="B4C6E7"/>
        </w:pBdr>
      </w:pPr>
      <w:r>
        <w:rPr>
          <w:bCs/>
          <w:b/>
          <w:color w:val="1F3864"/>
          <w:sz w:val="25"/>
        </w:rPr>
        <w:t xml:space="preserve">6.4 Fraud, wilful misstatement or suppression [only where invoked]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5058"/>
        <w:gridCol w:w="2099"/>
        <w:gridCol w:w="2481"/>
      </w:tblGrid>
      <w:tr>
        <w:trPr>
          <w:tblHeader w:val="true"/>
          <w:tblHeader/>
        </w:trPr>
        <w:tc>
          <w:tcPr>
            <w:tcW w:type="dxa" w:w="5058"/>
            <w:shd w:val="clear" w:color="auto" w:fill="DCE6F1"/>
          </w:tcPr>
          <w:p>
            <w:pPr>
              <w:pStyle w:val="Compact"/>
              <w:spacing w:before="0" w:after="0" w:line="240" w:lineRule="auto"/>
              <w:jc w:val="left"/>
            </w:pPr>
            <w:r>
              <w:rPr>
                <w:b/>
                <w:color w:val="1F3864"/>
                <w:sz w:val="21"/>
              </w:rPr>
              <w:t xml:space="preserve">Ingredient</w:t>
            </w:r>
          </w:p>
        </w:tc>
        <w:tc>
          <w:tcPr>
            <w:tcW w:type="dxa" w:w="2099"/>
            <w:shd w:val="clear" w:color="auto" w:fill="DCE6F1"/>
          </w:tcPr>
          <w:p>
            <w:pPr>
              <w:pStyle w:val="Compact"/>
              <w:spacing w:before="0" w:after="0" w:line="240" w:lineRule="auto"/>
              <w:jc w:val="left"/>
            </w:pPr>
            <w:r>
              <w:rPr>
                <w:b/>
                <w:color w:val="1F3864"/>
                <w:sz w:val="21"/>
              </w:rPr>
              <w:t xml:space="preserve">What the SCN states (para, RUD)</w:t>
            </w:r>
          </w:p>
        </w:tc>
        <w:tc>
          <w:tcPr>
            <w:tcW w:type="dxa" w:w="2481"/>
            <w:shd w:val="clear" w:color="auto" w:fill="DCE6F1"/>
          </w:tcPr>
          <w:p>
            <w:pPr>
              <w:pStyle w:val="Compact"/>
              <w:spacing w:before="0" w:after="0" w:line="240" w:lineRule="auto"/>
              <w:jc w:val="left"/>
            </w:pPr>
            <w:r>
              <w:rPr>
                <w:b/>
                <w:color w:val="1F3864"/>
                <w:sz w:val="21"/>
              </w:rPr>
              <w:t xml:space="preserve">Finding and evidence</w:t>
            </w:r>
          </w:p>
        </w:tc>
      </w:tr>
      <w:tr>
        <w:tc>
          <w:tcPr>
            <w:tcW w:type="dxa" w:w="5058"/>
          </w:tcPr>
          <w:p>
            <w:pPr>
              <w:pStyle w:val="Compact"/>
              <w:spacing w:before="0" w:after="0" w:line="240" w:lineRule="auto"/>
              <w:jc w:val="left"/>
            </w:pPr>
            <w:r>
              <w:rPr>
                <w:sz w:val="21"/>
              </w:rPr>
              <w:t xml:space="preserve">(a) The act or omission (Explanation 2 to section 74 / 74A)</w:t>
            </w:r>
          </w:p>
        </w:tc>
        <w:tc>
          <w:tcPr>
            <w:tcW w:type="dxa" w:w="2099"/>
          </w:tcPr>
          <w:p>
            <w:pPr>
              <w:pStyle w:val="Compact"/>
              <w:spacing w:before="0" w:after="0" w:line="240" w:lineRule="auto"/>
              <w:jc w:val="left"/>
            </w:pPr>
            <w:r>
              <w:rPr>
                <w:sz w:val="21"/>
              </w:rPr>
              <w:t xml:space="preserve">[ ]</w:t>
            </w:r>
          </w:p>
        </w:tc>
        <w:tc>
          <w:tcPr>
            <w:tcW w:type="dxa" w:w="2481"/>
          </w:tcPr>
          <w:p>
            <w:pPr>
              <w:pStyle w:val="Compact"/>
              <w:spacing w:before="0" w:after="0" w:line="240" w:lineRule="auto"/>
              <w:jc w:val="left"/>
            </w:pPr>
            <w:r>
              <w:rPr>
                <w:sz w:val="21"/>
              </w:rPr>
              <w:t xml:space="preserve">[ ]</w:t>
            </w:r>
          </w:p>
        </w:tc>
      </w:tr>
      <w:tr>
        <w:tc>
          <w:tcPr>
            <w:tcW w:type="dxa" w:w="5058"/>
          </w:tcPr>
          <w:p>
            <w:pPr>
              <w:pStyle w:val="Compact"/>
              <w:spacing w:before="0" w:after="0" w:line="240" w:lineRule="auto"/>
              <w:jc w:val="left"/>
            </w:pPr>
            <w:r>
              <w:rPr>
                <w:sz w:val="21"/>
              </w:rPr>
              <w:t xml:space="preserve">(b) Wilfulness</w:t>
            </w:r>
          </w:p>
        </w:tc>
        <w:tc>
          <w:tcPr>
            <w:tcW w:type="dxa" w:w="2099"/>
          </w:tcPr>
          <w:p>
            <w:pPr>
              <w:pStyle w:val="Compact"/>
              <w:spacing w:before="0" w:after="0" w:line="240" w:lineRule="auto"/>
              <w:jc w:val="left"/>
            </w:pPr>
            <w:r>
              <w:rPr>
                <w:sz w:val="21"/>
              </w:rPr>
              <w:t xml:space="preserve">[ ]</w:t>
            </w:r>
          </w:p>
        </w:tc>
        <w:tc>
          <w:tcPr>
            <w:tcW w:type="dxa" w:w="2481"/>
          </w:tcPr>
          <w:p>
            <w:pPr>
              <w:pStyle w:val="Compact"/>
              <w:spacing w:before="0" w:after="0" w:line="240" w:lineRule="auto"/>
              <w:jc w:val="left"/>
            </w:pPr>
            <w:r>
              <w:rPr>
                <w:sz w:val="21"/>
              </w:rPr>
              <w:t xml:space="preserve">[ ]</w:t>
            </w:r>
          </w:p>
        </w:tc>
      </w:tr>
      <w:tr>
        <w:tc>
          <w:tcPr>
            <w:tcW w:type="dxa" w:w="5058"/>
          </w:tcPr>
          <w:p>
            <w:pPr>
              <w:pStyle w:val="Compact"/>
              <w:spacing w:before="0" w:after="0" w:line="240" w:lineRule="auto"/>
              <w:jc w:val="left"/>
            </w:pPr>
            <w:r>
              <w:rPr>
                <w:sz w:val="21"/>
              </w:rPr>
              <w:t xml:space="preserve">(c) Intent to evade tax</w:t>
            </w:r>
          </w:p>
        </w:tc>
        <w:tc>
          <w:tcPr>
            <w:tcW w:type="dxa" w:w="2099"/>
          </w:tcPr>
          <w:p>
            <w:pPr>
              <w:pStyle w:val="Compact"/>
              <w:spacing w:before="0" w:after="0" w:line="240" w:lineRule="auto"/>
              <w:jc w:val="left"/>
            </w:pPr>
            <w:r>
              <w:rPr>
                <w:sz w:val="21"/>
              </w:rPr>
              <w:t xml:space="preserve">[ ]</w:t>
            </w:r>
          </w:p>
        </w:tc>
        <w:tc>
          <w:tcPr>
            <w:tcW w:type="dxa" w:w="2481"/>
          </w:tcPr>
          <w:p>
            <w:pPr>
              <w:pStyle w:val="Compact"/>
              <w:spacing w:before="0" w:after="0" w:line="240" w:lineRule="auto"/>
              <w:jc w:val="left"/>
            </w:pPr>
            <w:r>
              <w:rPr>
                <w:sz w:val="21"/>
              </w:rPr>
              <w:t xml:space="preserve">[ ]</w:t>
            </w:r>
          </w:p>
        </w:tc>
      </w:tr>
    </w:tbl>
    <w:p>
      <w:pPr>
        <w:pStyle w:val="BodyText"/>
        <w:spacing w:before="0" w:after="120" w:line="269" w:lineRule="auto"/>
        <w:jc w:val="both"/>
      </w:pPr>
      <w:r>
        <w:t xml:space="preserve">6.4.1 [All three ingredients are established on the facts pleaded in the SCN and proved by RUD-[ ]. / Ingredient [ ] is not established because [ ]; see para 6.5.] The noticee’s silence does not prove any ingredient; each rests on the documents (</w:t>
      </w:r>
      <w:r>
        <w:rPr>
          <w:iCs/>
          <w:i/>
        </w:rPr>
        <w:t xml:space="preserve">G.R. Infra Projects Ratlam</w:t>
      </w:r>
      <w:r>
        <w:t xml:space="preserve">, Supreme Court, 19.08.2026).</w:t>
      </w:r>
    </w:p>
    <w:p>
      <w:pPr>
        <w:pStyle w:val="BodyText"/>
        <w:keepNext/>
        <w:spacing w:before="240" w:after="80"/>
        <w:pBdr>
          <w:bottom w:val="single" w:sz="6" w:space="1" w:color="B4C6E7"/>
        </w:pBdr>
      </w:pPr>
      <w:r>
        <w:rPr>
          <w:bCs/>
          <w:b/>
          <w:color w:val="1F3864"/>
          <w:sz w:val="25"/>
        </w:rPr>
        <w:t xml:space="preserve">6.5 Where fraud is not established [delete if not applicable]</w:t>
      </w:r>
    </w:p>
    <w:p>
      <w:pPr>
        <w:pStyle w:val="BodyText"/>
        <w:spacing w:before="0" w:after="120" w:line="269" w:lineRule="auto"/>
        <w:jc w:val="both"/>
      </w:pPr>
      <w:r>
        <w:t xml:space="preserve">6.5.1 [Section 74 SCN, section 73 time limits still open: tax determined as under section 73 with penalty under section 73(9).] [Section 74 SCN, section 73 time limits expired: demand dropped.] [Section 74A SCN: penalty under section 74A(5)(i).] (See template B1 para 7.5 and its drafting note.)</w:t>
      </w:r>
    </w:p>
    <w:p>
      <w:pPr>
        <w:pStyle w:val="BodyText"/>
        <w:keepNext/>
        <w:spacing w:before="240" w:after="80"/>
        <w:pBdr>
          <w:bottom w:val="single" w:sz="6" w:space="1" w:color="B4C6E7"/>
        </w:pBdr>
      </w:pPr>
      <w:r>
        <w:rPr>
          <w:bCs/>
          <w:b/>
          <w:color w:val="1F3864"/>
          <w:sz w:val="25"/>
        </w:rPr>
        <w:t xml:space="preserve">6.6 Interest</w:t>
      </w:r>
    </w:p>
    <w:p>
      <w:pPr>
        <w:pStyle w:val="BodyText"/>
        <w:spacing w:before="0" w:after="120" w:line="269" w:lineRule="auto"/>
        <w:jc w:val="both"/>
      </w:pPr>
      <w:r>
        <w:t xml:space="preserve">6.6.1 Interest under section [50(1) / 50(3)], as proposed in the SCN, is payable on the tax confirmed: [computation basis, with the proviso to section 50(1) or the rule 88B(3) utilisation table]. Interest up to [date] is ₹[ ] (Annexure A, in the form of template B1 Annexure A).</w:t>
      </w:r>
    </w:p>
    <w:p>
      <w:pPr>
        <w:pStyle w:val="BodyText"/>
        <w:keepNext/>
        <w:spacing w:before="240" w:after="80"/>
        <w:pBdr>
          <w:bottom w:val="single" w:sz="6" w:space="1" w:color="B4C6E7"/>
        </w:pBdr>
      </w:pPr>
      <w:r>
        <w:rPr>
          <w:bCs/>
          <w:b/>
          <w:color w:val="1F3864"/>
          <w:sz w:val="25"/>
        </w:rPr>
        <w:t xml:space="preserve">6.7 Penalty</w:t>
      </w:r>
    </w:p>
    <w:p>
      <w:pPr>
        <w:pStyle w:val="BodyText"/>
        <w:spacing w:before="0" w:after="120" w:line="269" w:lineRule="auto"/>
        <w:jc w:val="both"/>
      </w:pPr>
      <w:r>
        <w:t xml:space="preserve">6.7.1 Penalty of ₹[ ] is imposed under section [73(9) / 74(1) / 74A(5)(i) / 74A(5)(ii)], as proposed in the SCN. [No other penalty is imposed for the same act (section 75(13)).]</w:t>
      </w:r>
    </w:p>
    <w:p>
      <w:pPr>
        <w:pStyle w:val="BodyText"/>
        <w:keepNext/>
        <w:spacing w:before="240" w:after="80"/>
        <w:pBdr>
          <w:bottom w:val="single" w:sz="6" w:space="1" w:color="B4C6E7"/>
        </w:pBdr>
      </w:pPr>
      <w:r>
        <w:rPr>
          <w:bCs/>
          <w:b/>
          <w:color w:val="1F3864"/>
          <w:sz w:val="25"/>
        </w:rPr>
        <w:t xml:space="preserve">6.8 Amounts already paid</w:t>
      </w:r>
    </w:p>
    <w:p>
      <w:pPr>
        <w:pStyle w:val="BodyText"/>
        <w:spacing w:before="0" w:after="120" w:line="269" w:lineRule="auto"/>
        <w:jc w:val="both"/>
      </w:pPr>
      <w:r>
        <w:t xml:space="preserve">6.8.1 The electronic liability register and cash ledger were checked on [date]. [No payment has been made towards this demand. / ₹[ ] paid by DRC-03 No. [ ] dated [ ] is appropriated.]</w:t>
      </w:r>
    </w:p>
    <w:p>
      <w:pPr>
        <w:pStyle w:val="BodyText"/>
        <w:keepNext/>
        <w:spacing w:before="240" w:after="80"/>
        <w:pBdr>
          <w:bottom w:val="single" w:sz="6" w:space="1" w:color="B4C6E7"/>
        </w:pBdr>
      </w:pPr>
      <w:r>
        <w:rPr>
          <w:bCs/>
          <w:b/>
          <w:color w:val="1F3864"/>
          <w:sz w:val="25"/>
        </w:rPr>
        <w:t xml:space="preserve">7. Proposed, confirmed and dropped amounts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74"/>
        <w:gridCol w:w="974"/>
        <w:gridCol w:w="1266"/>
        <w:gridCol w:w="1363"/>
        <w:gridCol w:w="1168"/>
        <w:gridCol w:w="1363"/>
        <w:gridCol w:w="1363"/>
        <w:gridCol w:w="1168"/>
      </w:tblGrid>
      <w:tr>
        <w:trPr>
          <w:tblHeader w:val="true"/>
          <w:tblHeader/>
        </w:trPr>
        <w:tc>
          <w:tcPr>
            <w:tcW w:type="dxa" w:w="974"/>
            <w:shd w:val="clear" w:color="auto" w:fill="DCE6F1"/>
          </w:tcPr>
          <w:p>
            <w:pPr>
              <w:pStyle w:val="Compact"/>
              <w:spacing w:before="0" w:after="0" w:line="240" w:lineRule="auto"/>
              <w:jc w:val="left"/>
            </w:pPr>
            <w:r>
              <w:rPr>
                <w:b/>
                <w:color w:val="1F3864"/>
                <w:sz w:val="18"/>
              </w:rPr>
              <w:t xml:space="preserve">Issue</w:t>
            </w:r>
          </w:p>
        </w:tc>
        <w:tc>
          <w:tcPr>
            <w:tcW w:type="dxa" w:w="974"/>
            <w:shd w:val="clear" w:color="auto" w:fill="DCE6F1"/>
          </w:tcPr>
          <w:p>
            <w:pPr>
              <w:pStyle w:val="Compact"/>
              <w:spacing w:before="0" w:after="0" w:line="240" w:lineRule="auto"/>
              <w:jc w:val="left"/>
            </w:pPr>
            <w:r>
              <w:rPr>
                <w:b/>
                <w:color w:val="1F3864"/>
                <w:sz w:val="18"/>
              </w:rPr>
              <w:t xml:space="preserve">Head</w:t>
            </w:r>
          </w:p>
        </w:tc>
        <w:tc>
          <w:tcPr>
            <w:tcW w:type="dxa" w:w="1266"/>
            <w:shd w:val="clear" w:color="auto" w:fill="DCE6F1"/>
          </w:tcPr>
          <w:p>
            <w:pPr>
              <w:pStyle w:val="Compact"/>
              <w:spacing w:before="0" w:after="0" w:line="240" w:lineRule="auto"/>
              <w:jc w:val="left"/>
            </w:pPr>
            <w:r>
              <w:rPr>
                <w:b/>
                <w:color w:val="1F3864"/>
                <w:sz w:val="18"/>
              </w:rPr>
              <w:t xml:space="preserve">Tax proposed (₹)</w:t>
            </w:r>
          </w:p>
        </w:tc>
        <w:tc>
          <w:tcPr>
            <w:tcW w:type="dxa" w:w="1363"/>
            <w:shd w:val="clear" w:color="auto" w:fill="DCE6F1"/>
          </w:tcPr>
          <w:p>
            <w:pPr>
              <w:pStyle w:val="Compact"/>
              <w:spacing w:before="0" w:after="0" w:line="240" w:lineRule="auto"/>
              <w:jc w:val="left"/>
            </w:pPr>
            <w:r>
              <w:rPr>
                <w:b/>
                <w:color w:val="1F3864"/>
                <w:sz w:val="18"/>
              </w:rPr>
              <w:t xml:space="preserve">Tax confirmed (₹)</w:t>
            </w:r>
          </w:p>
        </w:tc>
        <w:tc>
          <w:tcPr>
            <w:tcW w:type="dxa" w:w="1168"/>
            <w:shd w:val="clear" w:color="auto" w:fill="DCE6F1"/>
          </w:tcPr>
          <w:p>
            <w:pPr>
              <w:pStyle w:val="Compact"/>
              <w:spacing w:before="0" w:after="0" w:line="240" w:lineRule="auto"/>
              <w:jc w:val="left"/>
            </w:pPr>
            <w:r>
              <w:rPr>
                <w:b/>
                <w:color w:val="1F3864"/>
                <w:sz w:val="18"/>
              </w:rPr>
              <w:t xml:space="preserve">Tax dropped (₹)</w:t>
            </w:r>
          </w:p>
        </w:tc>
        <w:tc>
          <w:tcPr>
            <w:tcW w:type="dxa" w:w="1363"/>
            <w:shd w:val="clear" w:color="auto" w:fill="DCE6F1"/>
          </w:tcPr>
          <w:p>
            <w:pPr>
              <w:pStyle w:val="Compact"/>
              <w:spacing w:before="0" w:after="0" w:line="240" w:lineRule="auto"/>
              <w:jc w:val="left"/>
            </w:pPr>
            <w:r>
              <w:rPr>
                <w:b/>
                <w:color w:val="1F3864"/>
                <w:sz w:val="18"/>
              </w:rPr>
              <w:t xml:space="preserve">Interest confirmed</w:t>
            </w:r>
          </w:p>
        </w:tc>
        <w:tc>
          <w:tcPr>
            <w:tcW w:type="dxa" w:w="1363"/>
            <w:shd w:val="clear" w:color="auto" w:fill="DCE6F1"/>
          </w:tcPr>
          <w:p>
            <w:pPr>
              <w:pStyle w:val="Compact"/>
              <w:spacing w:before="0" w:after="0" w:line="240" w:lineRule="auto"/>
              <w:jc w:val="left"/>
            </w:pPr>
            <w:r>
              <w:rPr>
                <w:b/>
                <w:color w:val="1F3864"/>
                <w:sz w:val="18"/>
              </w:rPr>
              <w:t xml:space="preserve">Penalty confirmed</w:t>
            </w:r>
          </w:p>
        </w:tc>
        <w:tc>
          <w:tcPr>
            <w:tcW w:type="dxa" w:w="1168"/>
            <w:shd w:val="clear" w:color="auto" w:fill="DCE6F1"/>
          </w:tcPr>
          <w:p>
            <w:pPr>
              <w:pStyle w:val="Compact"/>
              <w:spacing w:before="0" w:after="0" w:line="240" w:lineRule="auto"/>
              <w:jc w:val="left"/>
            </w:pPr>
            <w:r>
              <w:rPr>
                <w:b/>
                <w:color w:val="1F3864"/>
                <w:sz w:val="18"/>
              </w:rPr>
              <w:t xml:space="preserve">Finding at para</w:t>
            </w:r>
          </w:p>
        </w:tc>
      </w:tr>
      <w:tr>
        <w:tc>
          <w:tcPr>
            <w:tcW w:type="dxa" w:w="974"/>
          </w:tcPr>
          <w:p>
            <w:pPr>
              <w:pStyle w:val="Compact"/>
              <w:spacing w:before="0" w:after="0" w:line="240" w:lineRule="auto"/>
              <w:jc w:val="left"/>
            </w:pPr>
            <w:r>
              <w:rPr>
                <w:sz w:val="18"/>
              </w:rPr>
              <w:t xml:space="preserve">1</w:t>
            </w:r>
          </w:p>
        </w:tc>
        <w:tc>
          <w:tcPr>
            <w:tcW w:type="dxa" w:w="974"/>
          </w:tcPr>
          <w:p>
            <w:pPr>
              <w:pStyle w:val="Compact"/>
              <w:spacing w:before="0" w:after="0" w:line="240" w:lineRule="auto"/>
              <w:jc w:val="left"/>
            </w:pPr>
            <w:r>
              <w:rPr>
                <w:sz w:val="18"/>
              </w:rPr>
              <w:t xml:space="preserve">[ ]</w:t>
            </w:r>
          </w:p>
        </w:tc>
        <w:tc>
          <w:tcPr>
            <w:tcW w:type="dxa" w:w="1266"/>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6.2</w:t>
            </w:r>
          </w:p>
        </w:tc>
      </w:tr>
      <w:tr>
        <w:tc>
          <w:tcPr>
            <w:tcW w:type="dxa" w:w="974"/>
          </w:tcPr>
          <w:p>
            <w:pPr>
              <w:pStyle w:val="Compact"/>
              <w:spacing w:before="0" w:after="0" w:line="240" w:lineRule="auto"/>
              <w:jc w:val="left"/>
            </w:pPr>
            <w:r>
              <w:rPr>
                <w:sz w:val="18"/>
              </w:rPr>
              <w:t xml:space="preserve">2</w:t>
            </w:r>
          </w:p>
        </w:tc>
        <w:tc>
          <w:tcPr>
            <w:tcW w:type="dxa" w:w="974"/>
          </w:tcPr>
          <w:p>
            <w:pPr>
              <w:pStyle w:val="Compact"/>
              <w:spacing w:before="0" w:after="0" w:line="240" w:lineRule="auto"/>
              <w:jc w:val="left"/>
            </w:pPr>
            <w:r>
              <w:rPr>
                <w:sz w:val="18"/>
              </w:rPr>
              <w:t xml:space="preserve">[ ]</w:t>
            </w:r>
          </w:p>
        </w:tc>
        <w:tc>
          <w:tcPr>
            <w:tcW w:type="dxa" w:w="1266"/>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363"/>
          </w:tcPr>
          <w:p>
            <w:pPr>
              <w:pStyle w:val="Compact"/>
              <w:spacing w:before="0" w:after="0" w:line="240" w:lineRule="auto"/>
              <w:jc w:val="left"/>
            </w:pPr>
            <w:r>
              <w:rPr>
                <w:sz w:val="18"/>
              </w:rPr>
              <w:t xml:space="preserve">[ ]</w:t>
            </w:r>
          </w:p>
        </w:tc>
        <w:tc>
          <w:tcPr>
            <w:tcW w:type="dxa" w:w="1168"/>
          </w:tcPr>
          <w:p>
            <w:pPr>
              <w:pStyle w:val="Compact"/>
              <w:spacing w:before="0" w:after="0" w:line="240" w:lineRule="auto"/>
              <w:jc w:val="left"/>
            </w:pPr>
            <w:r>
              <w:rPr>
                <w:sz w:val="18"/>
              </w:rPr>
              <w:t xml:space="preserve">6.3</w:t>
            </w:r>
          </w:p>
        </w:tc>
      </w:tr>
      <w:tr>
        <w:tc>
          <w:tcPr>
            <w:tcW w:type="dxa" w:w="974"/>
            <w:shd w:val="clear" w:color="auto" w:fill="F2F2F2"/>
          </w:tcPr>
          <w:p>
            <w:pPr>
              <w:pStyle w:val="Compact"/>
              <w:spacing w:before="0" w:after="0" w:line="240" w:lineRule="auto"/>
              <w:jc w:val="left"/>
            </w:pPr>
            <w:r>
              <w:rPr>
                <w:bCs/>
                <w:b/>
                <w:sz w:val="18"/>
              </w:rPr>
              <w:t xml:space="preserve">Total</w:t>
            </w:r>
          </w:p>
        </w:tc>
        <w:tc>
          <w:tcPr>
            <w:tcW w:type="dxa" w:w="974"/>
            <w:shd w:val="clear" w:color="auto" w:fill="F2F2F2"/>
          </w:tcPr>
          <w:p>
            <w:pPr>
              <w:pStyle w:val="Compact"/>
              <w:spacing w:before="0" w:after="0" w:line="240" w:lineRule="auto"/>
            </w:pPr>
          </w:p>
        </w:tc>
        <w:tc>
          <w:tcPr>
            <w:tcW w:type="dxa" w:w="1266"/>
            <w:shd w:val="clear" w:color="auto" w:fill="F2F2F2"/>
          </w:tcPr>
          <w:p>
            <w:pPr>
              <w:pStyle w:val="Compact"/>
              <w:spacing w:before="0" w:after="0" w:line="240" w:lineRule="auto"/>
              <w:jc w:val="left"/>
            </w:pPr>
            <w:r>
              <w:rPr>
                <w:bCs/>
                <w:b/>
                <w:sz w:val="18"/>
              </w:rPr>
              <w:t xml:space="preserve">[ ]</w:t>
            </w:r>
          </w:p>
        </w:tc>
        <w:tc>
          <w:tcPr>
            <w:tcW w:type="dxa" w:w="1363"/>
            <w:shd w:val="clear" w:color="auto" w:fill="F2F2F2"/>
          </w:tcPr>
          <w:p>
            <w:pPr>
              <w:pStyle w:val="Compact"/>
              <w:spacing w:before="0" w:after="0" w:line="240" w:lineRule="auto"/>
              <w:jc w:val="left"/>
            </w:pPr>
            <w:r>
              <w:rPr>
                <w:bCs/>
                <w:b/>
                <w:sz w:val="18"/>
              </w:rPr>
              <w:t xml:space="preserve">[ ]</w:t>
            </w:r>
          </w:p>
        </w:tc>
        <w:tc>
          <w:tcPr>
            <w:tcW w:type="dxa" w:w="1168"/>
            <w:shd w:val="clear" w:color="auto" w:fill="F2F2F2"/>
          </w:tcPr>
          <w:p>
            <w:pPr>
              <w:pStyle w:val="Compact"/>
              <w:spacing w:before="0" w:after="0" w:line="240" w:lineRule="auto"/>
              <w:jc w:val="left"/>
            </w:pPr>
            <w:r>
              <w:rPr>
                <w:bCs/>
                <w:b/>
                <w:sz w:val="18"/>
              </w:rPr>
              <w:t xml:space="preserve">[ ]</w:t>
            </w:r>
          </w:p>
        </w:tc>
        <w:tc>
          <w:tcPr>
            <w:tcW w:type="dxa" w:w="1363"/>
            <w:shd w:val="clear" w:color="auto" w:fill="F2F2F2"/>
          </w:tcPr>
          <w:p>
            <w:pPr>
              <w:pStyle w:val="Compact"/>
              <w:spacing w:before="0" w:after="0" w:line="240" w:lineRule="auto"/>
              <w:jc w:val="left"/>
            </w:pPr>
            <w:r>
              <w:rPr>
                <w:bCs/>
                <w:b/>
                <w:sz w:val="18"/>
              </w:rPr>
              <w:t xml:space="preserve">[ ]</w:t>
            </w:r>
          </w:p>
        </w:tc>
        <w:tc>
          <w:tcPr>
            <w:tcW w:type="dxa" w:w="1363"/>
            <w:shd w:val="clear" w:color="auto" w:fill="F2F2F2"/>
          </w:tcPr>
          <w:p>
            <w:pPr>
              <w:pStyle w:val="Compact"/>
              <w:spacing w:before="0" w:after="0" w:line="240" w:lineRule="auto"/>
              <w:jc w:val="left"/>
            </w:pPr>
            <w:r>
              <w:rPr>
                <w:bCs/>
                <w:b/>
                <w:sz w:val="18"/>
              </w:rPr>
              <w:t xml:space="preserve">[ ]</w:t>
            </w:r>
          </w:p>
        </w:tc>
        <w:tc>
          <w:tcPr>
            <w:tcW w:type="dxa" w:w="1168"/>
            <w:shd w:val="clear" w:color="auto" w:fill="F2F2F2"/>
          </w:tcPr>
          <w:p>
            <w:pPr>
              <w:pStyle w:val="Compact"/>
              <w:spacing w:before="0" w:after="0" w:line="240" w:lineRule="auto"/>
            </w:pPr>
          </w:p>
        </w:tc>
      </w:tr>
    </w:tbl>
    <w:p>
      <w:pPr>
        <w:pStyle w:val="BodyText"/>
        <w:spacing w:before="0" w:after="120" w:line="269" w:lineRule="auto"/>
        <w:jc w:val="both"/>
      </w:pPr>
      <w:r>
        <w:t xml:space="preserve">7.1 Summary in the layout of FORM GST DRC-07 (13 columns). For each Act, row P is the amount proposed, row C the amount confirmed and row D the amount dropped.</w:t>
      </w:r>
      <w:r>
        <w:t xml:space="preserve"> </w:t>
      </w:r>
      <w:r>
        <w:t xml:space="preserve">“</w:t>
      </w:r>
      <w:r>
        <w:t xml:space="preserve">From</w:t>
      </w:r>
      <w:r>
        <w:t xml:space="preserve">”</w:t>
      </w:r>
      <w:r>
        <w:t xml:space="preserve"> </w:t>
      </w:r>
      <w:r>
        <w:t xml:space="preserve">and</w:t>
      </w:r>
      <w:r>
        <w:t xml:space="preserve"> </w:t>
      </w:r>
      <w:r>
        <w:t xml:space="preserve">“</w:t>
      </w:r>
      <w:r>
        <w:t xml:space="preserve">To</w:t>
      </w:r>
      <w:r>
        <w:t xml:space="preserve">”</w:t>
      </w:r>
      <w:r>
        <w:t xml:space="preserve"> </w:t>
      </w:r>
      <w:r>
        <w:t xml:space="preserve">are the tax period;</w:t>
      </w:r>
      <w:r>
        <w:t xml:space="preserve"> </w:t>
      </w:r>
      <w:r>
        <w:t xml:space="preserve">“</w:t>
      </w:r>
      <w:r>
        <w:t xml:space="preserve">POS</w:t>
      </w:r>
      <w:r>
        <w:t xml:space="preserve">”</w:t>
      </w:r>
      <w:r>
        <w:t xml:space="preserve"> </w:t>
      </w:r>
      <w:r>
        <w:t xml:space="preserve">is the place of supply: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93"/>
        <w:gridCol w:w="693"/>
        <w:gridCol w:w="901"/>
        <w:gridCol w:w="693"/>
        <w:gridCol w:w="693"/>
        <w:gridCol w:w="693"/>
        <w:gridCol w:w="693"/>
        <w:gridCol w:w="693"/>
        <w:gridCol w:w="901"/>
        <w:gridCol w:w="832"/>
        <w:gridCol w:w="693"/>
        <w:gridCol w:w="763"/>
        <w:gridCol w:w="693"/>
      </w:tblGrid>
      <w:tr>
        <w:trPr>
          <w:tblHeader w:val="true"/>
          <w:tblHeader/>
        </w:trPr>
        <w:tc>
          <w:tcPr>
            <w:tcW w:type="dxa" w:w="693"/>
            <w:shd w:val="clear" w:color="auto" w:fill="DCE6F1"/>
          </w:tcPr>
          <w:p>
            <w:pPr>
              <w:pStyle w:val="Compact"/>
              <w:spacing w:before="0" w:after="0" w:line="240" w:lineRule="auto"/>
              <w:jc w:val="left"/>
            </w:pPr>
            <w:r>
              <w:rPr>
                <w:b/>
                <w:color w:val="1F3864"/>
                <w:sz w:val="18"/>
              </w:rPr>
              <w:t xml:space="preserve">No.</w:t>
            </w:r>
          </w:p>
        </w:tc>
        <w:tc>
          <w:tcPr>
            <w:tcW w:type="dxa" w:w="693"/>
            <w:shd w:val="clear" w:color="auto" w:fill="DCE6F1"/>
          </w:tcPr>
          <w:p>
            <w:pPr>
              <w:pStyle w:val="Compact"/>
              <w:spacing w:before="0" w:after="0" w:line="240" w:lineRule="auto"/>
              <w:jc w:val="left"/>
            </w:pPr>
            <w:r>
              <w:rPr>
                <w:b/>
                <w:color w:val="1F3864"/>
                <w:sz w:val="18"/>
              </w:rPr>
              <w:t xml:space="preserve">Rate</w:t>
            </w:r>
          </w:p>
        </w:tc>
        <w:tc>
          <w:tcPr>
            <w:tcW w:type="dxa" w:w="901"/>
            <w:shd w:val="clear" w:color="auto" w:fill="DCE6F1"/>
          </w:tcPr>
          <w:p>
            <w:pPr>
              <w:pStyle w:val="Compact"/>
              <w:spacing w:before="0" w:after="0" w:line="240" w:lineRule="auto"/>
              <w:jc w:val="left"/>
            </w:pPr>
            <w:r>
              <w:rPr>
                <w:b/>
                <w:color w:val="1F3864"/>
                <w:sz w:val="18"/>
              </w:rPr>
              <w:t xml:space="preserve">Turnover</w:t>
            </w:r>
          </w:p>
        </w:tc>
        <w:tc>
          <w:tcPr>
            <w:tcW w:type="dxa" w:w="693"/>
            <w:shd w:val="clear" w:color="auto" w:fill="DCE6F1"/>
          </w:tcPr>
          <w:p>
            <w:pPr>
              <w:pStyle w:val="Compact"/>
              <w:spacing w:before="0" w:after="0" w:line="240" w:lineRule="auto"/>
              <w:jc w:val="left"/>
            </w:pPr>
            <w:r>
              <w:rPr>
                <w:b/>
                <w:color w:val="1F3864"/>
                <w:sz w:val="18"/>
              </w:rPr>
              <w:t xml:space="preserve">From</w:t>
            </w:r>
          </w:p>
        </w:tc>
        <w:tc>
          <w:tcPr>
            <w:tcW w:type="dxa" w:w="693"/>
            <w:shd w:val="clear" w:color="auto" w:fill="DCE6F1"/>
          </w:tcPr>
          <w:p>
            <w:pPr>
              <w:pStyle w:val="Compact"/>
              <w:spacing w:before="0" w:after="0" w:line="240" w:lineRule="auto"/>
              <w:jc w:val="left"/>
            </w:pPr>
            <w:r>
              <w:rPr>
                <w:b/>
                <w:color w:val="1F3864"/>
                <w:sz w:val="18"/>
              </w:rPr>
              <w:t xml:space="preserve">To</w:t>
            </w:r>
          </w:p>
        </w:tc>
        <w:tc>
          <w:tcPr>
            <w:tcW w:type="dxa" w:w="693"/>
            <w:shd w:val="clear" w:color="auto" w:fill="DCE6F1"/>
          </w:tcPr>
          <w:p>
            <w:pPr>
              <w:pStyle w:val="Compact"/>
              <w:spacing w:before="0" w:after="0" w:line="240" w:lineRule="auto"/>
              <w:jc w:val="left"/>
            </w:pPr>
            <w:r>
              <w:rPr>
                <w:b/>
                <w:color w:val="1F3864"/>
                <w:sz w:val="18"/>
              </w:rPr>
              <w:t xml:space="preserve">Act</w:t>
            </w:r>
          </w:p>
        </w:tc>
        <w:tc>
          <w:tcPr>
            <w:tcW w:type="dxa" w:w="693"/>
            <w:shd w:val="clear" w:color="auto" w:fill="DCE6F1"/>
          </w:tcPr>
          <w:p>
            <w:pPr>
              <w:pStyle w:val="Compact"/>
              <w:spacing w:before="0" w:after="0" w:line="240" w:lineRule="auto"/>
              <w:jc w:val="left"/>
            </w:pPr>
            <w:r>
              <w:rPr>
                <w:b/>
                <w:color w:val="1F3864"/>
                <w:sz w:val="18"/>
              </w:rPr>
              <w:t xml:space="preserve">POS</w:t>
            </w:r>
          </w:p>
        </w:tc>
        <w:tc>
          <w:tcPr>
            <w:tcW w:type="dxa" w:w="693"/>
            <w:shd w:val="clear" w:color="auto" w:fill="DCE6F1"/>
          </w:tcPr>
          <w:p>
            <w:pPr>
              <w:pStyle w:val="Compact"/>
              <w:spacing w:before="0" w:after="0" w:line="240" w:lineRule="auto"/>
              <w:jc w:val="left"/>
            </w:pPr>
            <w:r>
              <w:rPr>
                <w:b/>
                <w:color w:val="1F3864"/>
                <w:sz w:val="18"/>
              </w:rPr>
              <w:t xml:space="preserve">Tax</w:t>
            </w:r>
          </w:p>
        </w:tc>
        <w:tc>
          <w:tcPr>
            <w:tcW w:type="dxa" w:w="901"/>
            <w:shd w:val="clear" w:color="auto" w:fill="DCE6F1"/>
          </w:tcPr>
          <w:p>
            <w:pPr>
              <w:pStyle w:val="Compact"/>
              <w:spacing w:before="0" w:after="0" w:line="240" w:lineRule="auto"/>
              <w:jc w:val="left"/>
            </w:pPr>
            <w:r>
              <w:rPr>
                <w:b/>
                <w:color w:val="1F3864"/>
                <w:sz w:val="18"/>
              </w:rPr>
              <w:t xml:space="preserve">Interest</w:t>
            </w:r>
          </w:p>
        </w:tc>
        <w:tc>
          <w:tcPr>
            <w:tcW w:type="dxa" w:w="832"/>
            <w:shd w:val="clear" w:color="auto" w:fill="DCE6F1"/>
          </w:tcPr>
          <w:p>
            <w:pPr>
              <w:pStyle w:val="Compact"/>
              <w:spacing w:before="0" w:after="0" w:line="240" w:lineRule="auto"/>
              <w:jc w:val="left"/>
            </w:pPr>
            <w:r>
              <w:rPr>
                <w:b/>
                <w:color w:val="1F3864"/>
                <w:sz w:val="18"/>
              </w:rPr>
              <w:t xml:space="preserve">Penalty</w:t>
            </w:r>
          </w:p>
        </w:tc>
        <w:tc>
          <w:tcPr>
            <w:tcW w:type="dxa" w:w="693"/>
            <w:shd w:val="clear" w:color="auto" w:fill="DCE6F1"/>
          </w:tcPr>
          <w:p>
            <w:pPr>
              <w:pStyle w:val="Compact"/>
              <w:spacing w:before="0" w:after="0" w:line="240" w:lineRule="auto"/>
              <w:jc w:val="left"/>
            </w:pPr>
            <w:r>
              <w:rPr>
                <w:b/>
                <w:color w:val="1F3864"/>
                <w:sz w:val="18"/>
              </w:rPr>
              <w:t xml:space="preserve">Fee</w:t>
            </w:r>
          </w:p>
        </w:tc>
        <w:tc>
          <w:tcPr>
            <w:tcW w:type="dxa" w:w="763"/>
            <w:shd w:val="clear" w:color="auto" w:fill="DCE6F1"/>
          </w:tcPr>
          <w:p>
            <w:pPr>
              <w:pStyle w:val="Compact"/>
              <w:spacing w:before="0" w:after="0" w:line="240" w:lineRule="auto"/>
              <w:jc w:val="left"/>
            </w:pPr>
            <w:r>
              <w:rPr>
                <w:b/>
                <w:color w:val="1F3864"/>
                <w:sz w:val="18"/>
              </w:rPr>
              <w:t xml:space="preserve">Others</w:t>
            </w:r>
          </w:p>
        </w:tc>
        <w:tc>
          <w:tcPr>
            <w:tcW w:type="dxa" w:w="693"/>
            <w:shd w:val="clear" w:color="auto" w:fill="DCE6F1"/>
          </w:tcPr>
          <w:p>
            <w:pPr>
              <w:pStyle w:val="Compact"/>
              <w:spacing w:before="0" w:after="0" w:line="240" w:lineRule="auto"/>
              <w:jc w:val="left"/>
            </w:pPr>
            <w:r>
              <w:rPr>
                <w:b/>
                <w:color w:val="1F3864"/>
                <w:sz w:val="18"/>
              </w:rPr>
              <w:t xml:space="preserve">Total</w:t>
            </w:r>
          </w:p>
        </w:tc>
      </w:tr>
      <w:tr>
        <w:tc>
          <w:tcPr>
            <w:tcW w:type="dxa" w:w="693"/>
          </w:tcPr>
          <w:p>
            <w:pPr>
              <w:pStyle w:val="Compact"/>
              <w:spacing w:before="0" w:after="0" w:line="240" w:lineRule="auto"/>
              <w:jc w:val="left"/>
            </w:pPr>
            <w:r>
              <w:rPr>
                <w:sz w:val="18"/>
              </w:rPr>
              <w:t xml:space="preserve">1 P</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CGST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1 C</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CGST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1 D</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CGST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2 P</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SGST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2 C</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SGST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tcPr>
          <w:p>
            <w:pPr>
              <w:pStyle w:val="Compact"/>
              <w:spacing w:before="0" w:after="0" w:line="240" w:lineRule="auto"/>
              <w:jc w:val="left"/>
            </w:pPr>
            <w:r>
              <w:rPr>
                <w:sz w:val="18"/>
              </w:rPr>
              <w:t xml:space="preserve">2 D</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SGST</w:t>
            </w:r>
          </w:p>
        </w:tc>
        <w:tc>
          <w:tcPr>
            <w:tcW w:type="dxa" w:w="69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901"/>
          </w:tcPr>
          <w:p>
            <w:pPr>
              <w:pStyle w:val="Compact"/>
              <w:spacing w:before="0" w:after="0" w:line="240" w:lineRule="auto"/>
              <w:jc w:val="left"/>
            </w:pPr>
            <w:r>
              <w:rPr>
                <w:sz w:val="18"/>
              </w:rPr>
              <w:t xml:space="preserve">[ ]</w:t>
            </w:r>
          </w:p>
        </w:tc>
        <w:tc>
          <w:tcPr>
            <w:tcW w:type="dxa" w:w="832"/>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c>
          <w:tcPr>
            <w:tcW w:type="dxa" w:w="763"/>
          </w:tcPr>
          <w:p>
            <w:pPr>
              <w:pStyle w:val="Compact"/>
              <w:spacing w:before="0" w:after="0" w:line="240" w:lineRule="auto"/>
              <w:jc w:val="left"/>
            </w:pPr>
            <w:r>
              <w:rPr>
                <w:sz w:val="18"/>
              </w:rPr>
              <w:t xml:space="preserve">[ ]</w:t>
            </w:r>
          </w:p>
        </w:tc>
        <w:tc>
          <w:tcPr>
            <w:tcW w:type="dxa" w:w="693"/>
          </w:tcPr>
          <w:p>
            <w:pPr>
              <w:pStyle w:val="Compact"/>
              <w:spacing w:before="0" w:after="0" w:line="240" w:lineRule="auto"/>
              <w:jc w:val="left"/>
            </w:pPr>
            <w:r>
              <w:rPr>
                <w:sz w:val="18"/>
              </w:rPr>
              <w:t xml:space="preserve">[ ]</w:t>
            </w:r>
          </w:p>
        </w:tc>
      </w:tr>
      <w:tr>
        <w:tc>
          <w:tcPr>
            <w:tcW w:type="dxa" w:w="693"/>
            <w:shd w:val="clear" w:color="auto" w:fill="F2F2F2"/>
          </w:tcPr>
          <w:p>
            <w:pPr>
              <w:pStyle w:val="Compact"/>
              <w:spacing w:before="0" w:after="0" w:line="240" w:lineRule="auto"/>
              <w:jc w:val="left"/>
            </w:pPr>
            <w:r>
              <w:rPr>
                <w:sz w:val="18"/>
              </w:rPr>
              <w:t xml:space="preserve">Total C</w:t>
            </w:r>
          </w:p>
        </w:tc>
        <w:tc>
          <w:tcPr>
            <w:tcW w:type="dxa" w:w="693"/>
            <w:shd w:val="clear" w:color="auto" w:fill="F2F2F2"/>
          </w:tcPr>
          <w:p>
            <w:pPr>
              <w:pStyle w:val="Compact"/>
              <w:spacing w:before="0" w:after="0" w:line="240" w:lineRule="auto"/>
            </w:pPr>
          </w:p>
        </w:tc>
        <w:tc>
          <w:tcPr>
            <w:tcW w:type="dxa" w:w="901"/>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pPr>
          </w:p>
        </w:tc>
        <w:tc>
          <w:tcPr>
            <w:tcW w:type="dxa" w:w="693"/>
            <w:shd w:val="clear" w:color="auto" w:fill="F2F2F2"/>
          </w:tcPr>
          <w:p>
            <w:pPr>
              <w:pStyle w:val="Compact"/>
              <w:spacing w:before="0" w:after="0" w:line="240" w:lineRule="auto"/>
              <w:jc w:val="left"/>
            </w:pPr>
            <w:r>
              <w:rPr>
                <w:bCs/>
                <w:b/>
                <w:sz w:val="18"/>
              </w:rPr>
              <w:t xml:space="preserve">[ ]</w:t>
            </w:r>
          </w:p>
        </w:tc>
        <w:tc>
          <w:tcPr>
            <w:tcW w:type="dxa" w:w="901"/>
            <w:shd w:val="clear" w:color="auto" w:fill="F2F2F2"/>
          </w:tcPr>
          <w:p>
            <w:pPr>
              <w:pStyle w:val="Compact"/>
              <w:spacing w:before="0" w:after="0" w:line="240" w:lineRule="auto"/>
              <w:jc w:val="left"/>
            </w:pPr>
            <w:r>
              <w:rPr>
                <w:bCs/>
                <w:b/>
                <w:sz w:val="18"/>
              </w:rPr>
              <w:t xml:space="preserve">[ ]</w:t>
            </w:r>
          </w:p>
        </w:tc>
        <w:tc>
          <w:tcPr>
            <w:tcW w:type="dxa" w:w="832"/>
            <w:shd w:val="clear" w:color="auto" w:fill="F2F2F2"/>
          </w:tcPr>
          <w:p>
            <w:pPr>
              <w:pStyle w:val="Compact"/>
              <w:spacing w:before="0" w:after="0" w:line="240" w:lineRule="auto"/>
              <w:jc w:val="left"/>
            </w:pPr>
            <w:r>
              <w:rPr>
                <w:bCs/>
                <w:b/>
                <w:sz w:val="18"/>
              </w:rPr>
              <w:t xml:space="preserve">[ ]</w:t>
            </w:r>
          </w:p>
        </w:tc>
        <w:tc>
          <w:tcPr>
            <w:tcW w:type="dxa" w:w="693"/>
            <w:shd w:val="clear" w:color="auto" w:fill="F2F2F2"/>
          </w:tcPr>
          <w:p>
            <w:pPr>
              <w:pStyle w:val="Compact"/>
              <w:spacing w:before="0" w:after="0" w:line="240" w:lineRule="auto"/>
              <w:jc w:val="left"/>
            </w:pPr>
            <w:r>
              <w:rPr>
                <w:bCs/>
                <w:b/>
                <w:sz w:val="18"/>
              </w:rPr>
              <w:t xml:space="preserve">[ ]</w:t>
            </w:r>
          </w:p>
        </w:tc>
        <w:tc>
          <w:tcPr>
            <w:tcW w:type="dxa" w:w="763"/>
            <w:shd w:val="clear" w:color="auto" w:fill="F2F2F2"/>
          </w:tcPr>
          <w:p>
            <w:pPr>
              <w:pStyle w:val="Compact"/>
              <w:spacing w:before="0" w:after="0" w:line="240" w:lineRule="auto"/>
              <w:jc w:val="left"/>
            </w:pPr>
            <w:r>
              <w:rPr>
                <w:bCs/>
                <w:b/>
                <w:sz w:val="18"/>
              </w:rPr>
              <w:t xml:space="preserve">[ ]</w:t>
            </w:r>
          </w:p>
        </w:tc>
        <w:tc>
          <w:tcPr>
            <w:tcW w:type="dxa" w:w="693"/>
            <w:shd w:val="clear" w:color="auto" w:fill="F2F2F2"/>
          </w:tcPr>
          <w:p>
            <w:pPr>
              <w:pStyle w:val="Compact"/>
              <w:spacing w:before="0" w:after="0" w:line="240" w:lineRule="auto"/>
              <w:jc w:val="left"/>
            </w:pPr>
            <w:r>
              <w:rPr>
                <w:bCs/>
                <w:b/>
                <w:sz w:val="18"/>
              </w:rPr>
              <w:t xml:space="preserve">[ ]</w:t>
            </w:r>
          </w:p>
        </w:tc>
      </w:tr>
    </w:tbl>
    <w:p>
      <w:pPr>
        <w:pStyle w:val="BodyText"/>
        <w:keepNext/>
        <w:spacing w:before="240" w:after="80"/>
        <w:pBdr>
          <w:bottom w:val="single" w:sz="6" w:space="1" w:color="B4C6E7"/>
        </w:pBdr>
        <w:jc w:val="center"/>
      </w:pPr>
      <w:r>
        <w:rPr>
          <w:bCs/>
          <w:b/>
          <w:color w:val="1F3864"/>
          <w:sz w:val="25"/>
        </w:rPr>
        <w:t xml:space="preserve">8. ORDER</w:t>
      </w:r>
    </w:p>
    <w:p>
      <w:pPr>
        <w:pStyle w:val="BodyText"/>
        <w:spacing w:before="0" w:after="120" w:line="269" w:lineRule="auto"/>
        <w:jc w:val="both"/>
      </w:pPr>
      <w:r>
        <w:t xml:space="preserve">8.1 For the reasons in para 6, in respect of SCN No. [ ] dated [ ] issued to [legal name], GSTIN [ ], for FY [ ], I pass the following order ex parte:</w:t>
      </w:r>
    </w:p>
    <w:p>
      <w:pPr>
        <w:pStyle w:val="BodyText"/>
        <w:spacing w:before="0" w:after="120" w:line="269" w:lineRule="auto"/>
        <w:jc w:val="both"/>
      </w:pPr>
      <w:r>
        <w:t xml:space="preserve">(i) I</w:t>
      </w:r>
      <w:r>
        <w:t xml:space="preserve"> </w:t>
      </w:r>
      <w:r>
        <w:rPr>
          <w:bCs/>
          <w:b/>
        </w:rPr>
        <w:t xml:space="preserve">confirm</w:t>
      </w:r>
      <w:r>
        <w:t xml:space="preserve"> </w:t>
      </w:r>
      <w:r>
        <w:t xml:space="preserve">tax of ₹[ ] (CGST ₹[ ], SGST ₹[ ], IGST ₹[ ], Cess ₹[ ]) under section [73(9) / 74(9) / 74A(6)] read with section [73(1) / 74(1) / 74A(1)] of the CGST Act and the corresponding provisions of the TGST Act [and section 20 of the IGST Act].</w:t>
      </w:r>
    </w:p>
    <w:p>
      <w:pPr>
        <w:pStyle w:val="BodyText"/>
        <w:spacing w:before="0" w:after="120" w:line="269" w:lineRule="auto"/>
      </w:pPr>
      <w:r>
        <w:t xml:space="preserve">(ii) I</w:t>
      </w:r>
      <w:r>
        <w:t xml:space="preserve"> </w:t>
      </w:r>
      <w:r>
        <w:rPr>
          <w:bCs/>
          <w:b/>
        </w:rPr>
        <w:t xml:space="preserve">drop</w:t>
      </w:r>
      <w:r>
        <w:t xml:space="preserve"> </w:t>
      </w:r>
      <w:r>
        <w:t xml:space="preserve">the proposal of ₹[ ] on [Issue / period], for the reasons in para [ ].</w:t>
      </w:r>
    </w:p>
    <w:p>
      <w:pPr>
        <w:pStyle w:val="BodyText"/>
        <w:spacing w:before="0" w:after="120" w:line="269" w:lineRule="auto"/>
        <w:jc w:val="both"/>
      </w:pPr>
      <w:r>
        <w:t xml:space="preserve">(iii) I order that</w:t>
      </w:r>
      <w:r>
        <w:t xml:space="preserve"> </w:t>
      </w:r>
      <w:r>
        <w:rPr>
          <w:bCs/>
          <w:b/>
        </w:rPr>
        <w:t xml:space="preserve">interest</w:t>
      </w:r>
      <w:r>
        <w:t xml:space="preserve"> </w:t>
      </w:r>
      <w:r>
        <w:t xml:space="preserve">under section [50(1) / 50(3)] be paid on the tax at (i) until the date of payment; interest up to [date] is ₹[ ].</w:t>
      </w:r>
    </w:p>
    <w:p>
      <w:pPr>
        <w:pStyle w:val="BodyText"/>
        <w:spacing w:before="0" w:after="120" w:line="269" w:lineRule="auto"/>
      </w:pPr>
      <w:r>
        <w:t xml:space="preserve">(iv) I</w:t>
      </w:r>
      <w:r>
        <w:t xml:space="preserve"> </w:t>
      </w:r>
      <w:r>
        <w:rPr>
          <w:bCs/>
          <w:b/>
        </w:rPr>
        <w:t xml:space="preserve">impose a penalty</w:t>
      </w:r>
      <w:r>
        <w:t xml:space="preserve"> </w:t>
      </w:r>
      <w:r>
        <w:t xml:space="preserve">of ₹[ ] under section [73(9) / 74(1) / 74A(5)(i) / 74A(5)(ii)].</w:t>
      </w:r>
    </w:p>
    <w:p>
      <w:pPr>
        <w:pStyle w:val="BodyText"/>
        <w:spacing w:before="0" w:after="120" w:line="269" w:lineRule="auto"/>
      </w:pPr>
      <w:r>
        <w:t xml:space="preserve">(v) [I appropriate ₹[ ] paid by DRC-03 No. [ ] dated [ ].]</w:t>
      </w:r>
    </w:p>
    <w:p>
      <w:pPr>
        <w:pStyle w:val="BodyText"/>
        <w:spacing w:before="0" w:after="120" w:line="269" w:lineRule="auto"/>
        <w:jc w:val="both"/>
      </w:pPr>
      <w:r>
        <w:t xml:space="preserve">8.2 The amounts are to be paid within three months from the date of service of this order (section 78). [Section 74 orders: if the tax, interest and a penalty of fifty per cent of the tax are paid within thirty days of communication of this order, all proceedings in respect of the SCN shall be deemed to be concluded (section 74(11)).] [Section 74A(5)(ii) orders: the same, within sixty days (section 74A(9)(iii)).] If the amount is not paid and no appeal with the pre-deposit is filed, it will be recovered under section 79.</w:t>
      </w:r>
    </w:p>
    <w:p>
      <w:pPr>
        <w:pStyle w:val="BodyText"/>
        <w:spacing w:before="0" w:after="120" w:line="269" w:lineRule="auto"/>
        <w:jc w:val="both"/>
      </w:pPr>
      <w:r>
        <w:t xml:space="preserve">8.3 This order will be served on the noticee through the common portal, by e-mail to its registered e-mail address and by speed post [and by affixing at its last known place of business].</w:t>
      </w:r>
    </w:p>
    <w:p>
      <w:pPr>
        <w:pStyle w:val="BlockText"/>
        <w:shd w:val="clear" w:color="auto" w:fill="E7E6E6"/>
      </w:pPr>
      <w:r>
        <w:rPr>
          <w:bCs/>
          <w:b/>
          <w:sz w:val="21"/>
        </w:rPr>
        <w:t xml:space="preserve">Drafting note: final check before signing an ex parte order.</w:t>
      </w:r>
      <w:r>
        <w:rPr>
          <w:sz w:val="21"/>
        </w:rPr>
        <w:t xml:space="preserve"> </w:t>
      </w:r>
      <w:r>
        <w:rPr>
          <w:sz w:val="21"/>
        </w:rPr>
        <w:t xml:space="preserve">(1) Three hearing notices, each with date, time and venue, each served by at least two modes, with proof on file. (2) No finding rests on the noticee’s silence. (3) Every figure confirmed traces to a document served with the SCN. (4) Every point in favour of the noticee that the record shows has been applied. (5) Checklist C2, Stage C. (6) DIN/RFN on the order and the DRC-07 (mandatory:</w:t>
      </w:r>
      <w:r>
        <w:rPr>
          <w:sz w:val="21"/>
        </w:rPr>
        <w:t xml:space="preserve"> </w:t>
      </w:r>
      <w:r>
        <w:rPr>
          <w:iCs/>
          <w:i/>
          <w:sz w:val="21"/>
        </w:rPr>
        <w:t xml:space="preserve">Gudla Vanaja</w:t>
      </w:r>
      <w:r>
        <w:rPr>
          <w:sz w:val="21"/>
        </w:rPr>
        <w:t xml:space="preserve">, Telangana HC Full Bench, 30.09.2026, which overruled</w:t>
      </w:r>
      <w:r>
        <w:rPr>
          <w:sz w:val="21"/>
        </w:rPr>
        <w:t xml:space="preserve"> </w:t>
      </w:r>
      <w:r>
        <w:rPr>
          <w:iCs/>
          <w:i/>
          <w:sz w:val="21"/>
        </w:rPr>
        <w:t xml:space="preserve">Bigleap Technologies</w:t>
      </w:r>
      <w:r>
        <w:rPr>
          <w:sz w:val="21"/>
        </w:rPr>
        <w:t xml:space="preserve">); digital signature on the date printed (good practice).</w:t>
      </w:r>
    </w:p>
    <w:p>
      <w:pPr>
        <w:pStyle w:val="FirstParagraph"/>
        <w:keepLines/>
        <w:spacing w:before="480" w:after="120" w:line="269" w:lineRule="auto"/>
        <w:jc w:val="right"/>
      </w:pPr>
      <w:r>
        <w:rPr>
          <w:bCs/>
          <w:b/>
        </w:rPr>
        <w:t xml:space="preserve">(Signature)</w:t>
      </w:r>
      <w:r>
        <w:br/>
      </w:r>
      <w:r>
        <w:rPr>
          <w:bCs/>
          <w:b/>
        </w:rPr>
        <w:t xml:space="preserve">(Dr. B. Santosh Kumar)</w:t>
      </w:r>
      <w:r>
        <w:br/>
      </w:r>
      <w:r>
        <w:t xml:space="preserve">Assistant Commissioner of Central Tax</w:t>
      </w:r>
      <w:r>
        <w:br/>
      </w:r>
      <w:r>
        <w:t xml:space="preserve">Sangareddy CGST Division, Medchal CGST Commissionerate</w:t>
      </w:r>
    </w:p>
    <w:p>
      <w:pPr>
        <w:pStyle w:val="BodyText"/>
        <w:spacing w:before="0" w:after="120" w:line="269" w:lineRule="auto"/>
        <w:jc w:val="both"/>
      </w:pPr>
      <w:r>
        <w:t xml:space="preserve">To,</w:t>
      </w:r>
      <w:r>
        <w:br/>
      </w:r>
      <w:r>
        <w:t xml:space="preserve">[Legal name of the noticee] (GSTIN [ ]), [address] (through the common portal, by e-mail to the registered e-mail address and by speed post)</w:t>
      </w:r>
    </w:p>
    <w:p>
      <w:pPr>
        <w:pStyle w:val="BodyText"/>
        <w:spacing w:before="0" w:after="120" w:line="269" w:lineRule="auto"/>
      </w:pPr>
      <w:r>
        <w:t xml:space="preserve">Copy to:</w:t>
      </w:r>
    </w:p>
    <w:p>
      <w:pPr>
        <w:numPr>
          <w:ilvl w:val="0"/>
          <w:numId w:val="1002"/>
        </w:numPr>
        <w:pStyle w:val="Compact"/>
        <w:spacing w:before="0" w:after="120" w:line="269" w:lineRule="auto"/>
      </w:pPr>
      <w:r>
        <w:t xml:space="preserve">The Commissioner of Central Tax, Medchal CGST Commissionerate (Review Section), for review under section 107(2).</w:t>
      </w:r>
    </w:p>
    <w:p>
      <w:pPr>
        <w:numPr>
          <w:ilvl w:val="0"/>
          <w:numId w:val="1002"/>
        </w:numPr>
        <w:pStyle w:val="Compact"/>
        <w:spacing w:before="0" w:after="120" w:line="269" w:lineRule="auto"/>
      </w:pPr>
      <w:r>
        <w:t xml:space="preserve">The Superintendent, [Range], Sangareddy CGST Division, for service by hand or affixing if the post is returned, and for recovery follow-up.</w:t>
      </w:r>
    </w:p>
    <w:p>
      <w:pPr>
        <w:numPr>
          <w:ilvl w:val="0"/>
          <w:numId w:val="1002"/>
        </w:numPr>
        <w:pStyle w:val="Compact"/>
        <w:spacing w:before="0" w:after="120" w:line="269" w:lineRule="auto"/>
      </w:pPr>
      <w:r>
        <w:t xml:space="preserve">Guard file / Office copy.</w:t>
      </w:r>
    </w:p>
    <w:p>
      <w:pPr>
        <w:pStyle w:val="BlockText"/>
        <w:shd w:val="clear" w:color="auto" w:fill="E7E6E6"/>
        <w:spacing w:before="360"/>
      </w:pPr>
      <w:r>
        <w:rPr>
          <w:bCs/>
          <w:b/>
          <w:sz w:val="21"/>
        </w:rPr>
        <w:t xml:space="preserve">How to use this template.</w:t>
      </w:r>
      <w:r>
        <w:rPr>
          <w:sz w:val="21"/>
        </w:rPr>
        <w:t xml:space="preserve"> </w:t>
      </w:r>
      <w:r>
        <w:rPr>
          <w:sz w:val="21"/>
        </w:rPr>
        <w:t xml:space="preserve">Use it only where the noticee has filed no reply and has not appeared, after the SCN and</w:t>
      </w:r>
      <w:r>
        <w:rPr>
          <w:sz w:val="21"/>
        </w:rPr>
        <w:t xml:space="preserve"> </w:t>
      </w:r>
      <w:r>
        <w:rPr>
          <w:bCs/>
          <w:b/>
          <w:sz w:val="21"/>
        </w:rPr>
        <w:t xml:space="preserve">three separate hearing notices</w:t>
      </w:r>
      <w:r>
        <w:rPr>
          <w:sz w:val="21"/>
        </w:rPr>
        <w:t xml:space="preserve">, each served on the portal</w:t>
      </w:r>
      <w:r>
        <w:rPr>
          <w:sz w:val="21"/>
        </w:rPr>
        <w:t xml:space="preserve"> </w:t>
      </w:r>
      <w:r>
        <w:rPr>
          <w:bCs/>
          <w:b/>
          <w:sz w:val="21"/>
        </w:rPr>
        <w:t xml:space="preserve">and</w:t>
      </w:r>
      <w:r>
        <w:rPr>
          <w:sz w:val="21"/>
        </w:rPr>
        <w:t xml:space="preserve"> </w:t>
      </w:r>
      <w:r>
        <w:rPr>
          <w:sz w:val="21"/>
        </w:rPr>
        <w:t xml:space="preserve">by e-mail or post. An ex parte order is still a full speaking order: test every allegation against the evidence, apply any law that favours the noticee even though it was not argued, and confirm only what the record proves. Text in [square brackets] is to be filled in or chosen;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signing. Paragraph numbers follow template B1 so that the B2 finding modules can be dropped in.</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Order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B3: Order-in-Original passed ex parte (no reply and no appearance despite three opportunities)</dc:title>
  <dc:creator>Sangareddy CGST Division</dc:creator>
  <cp:keywords/>
  <dcterms:created xsi:type="dcterms:W3CDTF">2026-10-14T21:59:39Z</dcterms:created>
  <dcterms:modified xsi:type="dcterms:W3CDTF">2026-10-14T21:59:39Z</dcterms:modified>
</cp:coreProperties>
</file>

<file path=docProps/custom.xml><?xml version="1.0" encoding="utf-8"?>
<Properties xmlns="http://schemas.openxmlformats.org/officeDocument/2006/custom-properties" xmlns:vt="http://schemas.openxmlformats.org/officeDocument/2006/docPropsVTypes"/>
</file>