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 OF RECTIFICATION</w:t>
      </w:r>
      <w:r>
        <w:br/>
      </w:r>
      <w:r>
        <w:t xml:space="preserve">under section 161 of the Central Goods and Services Tax Act, 2017</w:t>
      </w:r>
      <w:r>
        <w:br/>
      </w:r>
      <w:r>
        <w:t xml:space="preserve">(summary uploaded in FORM GST DRC-08 under rule 142(7)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117"/>
        <w:gridCol w:w="7521"/>
      </w:tblGrid>
      <w:tr>
        <w:trPr>
          <w:tblHeader w:val="true"/>
          <w:tblHeader/>
        </w:trPr>
        <w:tc>
          <w:tcPr>
            <w:tcW w:type="dxa" w:w="2117"/>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521"/>
            <w:shd w:val="clear" w:color="auto" w:fill="DCE6F1"/>
          </w:tcPr>
          <w:p>
            <w:pPr>
              <w:pStyle w:val="Compact"/>
              <w:spacing w:before="0" w:after="0" w:line="240" w:lineRule="auto"/>
              <w:jc w:val="left"/>
            </w:pPr>
            <w:r>
              <w:rPr>
                <w:b/>
                <w:color w:val="1F3864"/>
                <w:sz w:val="21"/>
              </w:rPr>
              <w:t xml:space="preserve">Details</w:t>
            </w:r>
          </w:p>
        </w:tc>
      </w:tr>
      <w:tr>
        <w:tc>
          <w:tcPr>
            <w:tcW w:type="dxa" w:w="2117"/>
            <w:shd w:val="clear" w:color="auto" w:fill="F5F8FC"/>
          </w:tcPr>
          <w:p>
            <w:pPr>
              <w:pStyle w:val="Compact"/>
              <w:spacing w:before="0" w:after="0" w:line="240" w:lineRule="auto"/>
              <w:jc w:val="left"/>
            </w:pPr>
            <w:r>
              <w:rPr>
                <w:b/>
                <w:sz w:val="21"/>
              </w:rPr>
              <w:t xml:space="preserve">Rectification order No. and date</w:t>
            </w:r>
          </w:p>
        </w:tc>
        <w:tc>
          <w:tcPr>
            <w:tcW w:type="dxa" w:w="7521"/>
          </w:tcPr>
          <w:p>
            <w:pPr>
              <w:pStyle w:val="Compact"/>
              <w:spacing w:before="0" w:after="0" w:line="240" w:lineRule="auto"/>
              <w:jc w:val="left"/>
            </w:pPr>
            <w:r>
              <w:rPr>
                <w:sz w:val="21"/>
              </w:rPr>
              <w:t xml:space="preserve">[ ] dated [DD.MM.YYYY]</w:t>
            </w:r>
          </w:p>
        </w:tc>
      </w:tr>
      <w:tr>
        <w:tc>
          <w:tcPr>
            <w:tcW w:type="dxa" w:w="2117"/>
            <w:shd w:val="clear" w:color="auto" w:fill="F5F8FC"/>
          </w:tcPr>
          <w:p>
            <w:pPr>
              <w:pStyle w:val="Compact"/>
              <w:spacing w:before="0" w:after="0" w:line="240" w:lineRule="auto"/>
              <w:jc w:val="left"/>
            </w:pPr>
            <w:r>
              <w:rPr>
                <w:b/>
                <w:sz w:val="21"/>
              </w:rPr>
              <w:t xml:space="preserve">Reference No. (RFN) / DIN</w:t>
            </w:r>
          </w:p>
        </w:tc>
        <w:tc>
          <w:tcPr>
            <w:tcW w:type="dxa" w:w="7521"/>
          </w:tcPr>
          <w:p>
            <w:pPr>
              <w:pStyle w:val="Compact"/>
              <w:spacing w:before="0" w:after="0" w:line="240" w:lineRule="auto"/>
              <w:jc w:val="left"/>
            </w:pPr>
            <w:r>
              <w:rPr>
                <w:sz w:val="21"/>
              </w:rPr>
              <w:t xml:space="preserve">RFN [ ] of the DRC-08. [DIN [ ] on copies sent by e-mail or post (Circular No. 249/06/2025-GST).]</w:t>
            </w:r>
          </w:p>
        </w:tc>
      </w:tr>
      <w:tr>
        <w:tc>
          <w:tcPr>
            <w:tcW w:type="dxa" w:w="2117"/>
            <w:shd w:val="clear" w:color="auto" w:fill="F5F8FC"/>
          </w:tcPr>
          <w:p>
            <w:pPr>
              <w:pStyle w:val="Compact"/>
              <w:spacing w:before="0" w:after="0" w:line="240" w:lineRule="auto"/>
              <w:jc w:val="left"/>
            </w:pPr>
            <w:r>
              <w:rPr>
                <w:b/>
                <w:sz w:val="21"/>
              </w:rPr>
              <w:t xml:space="preserve">Passed by</w:t>
            </w:r>
          </w:p>
        </w:tc>
        <w:tc>
          <w:tcPr>
            <w:tcW w:type="dxa" w:w="7521"/>
          </w:tcPr>
          <w:p>
            <w:pPr>
              <w:pStyle w:val="Compact"/>
              <w:spacing w:before="0" w:after="0" w:line="240" w:lineRule="auto"/>
              <w:jc w:val="left"/>
            </w:pPr>
            <w:r>
              <w:rPr>
                <w:sz w:val="21"/>
              </w:rPr>
              <w:t xml:space="preserve">Dr. B. Santosh Kumar, Assistant Commissioner of Central Tax, Sangareddy CGST Division, Medchal CGST Commissionerate</w:t>
            </w:r>
          </w:p>
        </w:tc>
      </w:tr>
      <w:tr>
        <w:tc>
          <w:tcPr>
            <w:tcW w:type="dxa" w:w="2117"/>
            <w:shd w:val="clear" w:color="auto" w:fill="F5F8FC"/>
          </w:tcPr>
          <w:p>
            <w:pPr>
              <w:pStyle w:val="Compact"/>
              <w:spacing w:before="0" w:after="0" w:line="240" w:lineRule="auto"/>
              <w:jc w:val="left"/>
            </w:pPr>
            <w:r>
              <w:rPr>
                <w:b/>
                <w:sz w:val="21"/>
              </w:rPr>
              <w:t xml:space="preserve">Person affected</w:t>
            </w:r>
          </w:p>
        </w:tc>
        <w:tc>
          <w:tcPr>
            <w:tcW w:type="dxa" w:w="7521"/>
          </w:tcPr>
          <w:p>
            <w:pPr>
              <w:pStyle w:val="Compact"/>
              <w:spacing w:before="0" w:after="0" w:line="240" w:lineRule="auto"/>
              <w:jc w:val="left"/>
            </w:pPr>
            <w:r>
              <w:rPr>
                <w:sz w:val="21"/>
              </w:rPr>
              <w:t xml:space="preserve">[Legal name] ([trade name]), GSTIN [ ], [address]</w:t>
            </w:r>
          </w:p>
        </w:tc>
      </w:tr>
      <w:tr>
        <w:tc>
          <w:tcPr>
            <w:tcW w:type="dxa" w:w="2117"/>
            <w:shd w:val="clear" w:color="auto" w:fill="F5F8FC"/>
          </w:tcPr>
          <w:p>
            <w:pPr>
              <w:pStyle w:val="Compact"/>
              <w:spacing w:before="0" w:after="0" w:line="240" w:lineRule="auto"/>
              <w:jc w:val="left"/>
            </w:pPr>
            <w:r>
              <w:rPr>
                <w:b/>
                <w:sz w:val="21"/>
              </w:rPr>
              <w:t xml:space="preserve">Document to be rectified</w:t>
            </w:r>
          </w:p>
        </w:tc>
        <w:tc>
          <w:tcPr>
            <w:tcW w:type="dxa" w:w="7521"/>
          </w:tcPr>
          <w:p>
            <w:pPr>
              <w:pStyle w:val="Compact"/>
              <w:spacing w:before="0" w:after="0" w:line="240" w:lineRule="auto"/>
              <w:jc w:val="left"/>
            </w:pPr>
            <w:r>
              <w:rPr>
                <w:sz w:val="21"/>
              </w:rPr>
              <w:t xml:space="preserve">[Order-in-Original / notice / other] No. [ ] dated [DD.MM.YYYY] (the original order), with DRC-07 reference [ ]</w:t>
            </w:r>
          </w:p>
        </w:tc>
      </w:tr>
      <w:tr>
        <w:tc>
          <w:tcPr>
            <w:tcW w:type="dxa" w:w="2117"/>
            <w:shd w:val="clear" w:color="auto" w:fill="F5F8FC"/>
          </w:tcPr>
          <w:p>
            <w:pPr>
              <w:pStyle w:val="Compact"/>
              <w:spacing w:before="0" w:after="0" w:line="240" w:lineRule="auto"/>
              <w:jc w:val="left"/>
            </w:pPr>
            <w:r>
              <w:rPr>
                <w:b/>
                <w:sz w:val="21"/>
              </w:rPr>
              <w:t xml:space="preserve">How the error came to notice</w:t>
            </w:r>
          </w:p>
        </w:tc>
        <w:tc>
          <w:tcPr>
            <w:tcW w:type="dxa" w:w="7521"/>
          </w:tcPr>
          <w:p>
            <w:pPr>
              <w:pStyle w:val="Compact"/>
              <w:spacing w:before="0" w:after="0" w:line="240" w:lineRule="auto"/>
              <w:jc w:val="left"/>
            </w:pPr>
            <w:r>
              <w:rPr>
                <w:sz w:val="21"/>
              </w:rPr>
              <w:t xml:space="preserve">[On the undersigned’s own motion on [date] / Application dated [date] by the person affected / Letter dated [date] from [officer, office]]</w:t>
            </w:r>
          </w:p>
        </w:tc>
      </w:tr>
      <w:tr>
        <w:tc>
          <w:tcPr>
            <w:tcW w:type="dxa" w:w="2117"/>
            <w:shd w:val="clear" w:color="auto" w:fill="F5F8FC"/>
          </w:tcPr>
          <w:p>
            <w:pPr>
              <w:pStyle w:val="Compact"/>
              <w:spacing w:before="0" w:after="0" w:line="240" w:lineRule="auto"/>
              <w:jc w:val="left"/>
            </w:pPr>
            <w:r>
              <w:rPr>
                <w:b/>
                <w:sz w:val="21"/>
              </w:rPr>
              <w:t xml:space="preserve">Nature of the error</w:t>
            </w:r>
          </w:p>
        </w:tc>
        <w:tc>
          <w:tcPr>
            <w:tcW w:type="dxa" w:w="7521"/>
          </w:tcPr>
          <w:p>
            <w:pPr>
              <w:pStyle w:val="Compact"/>
              <w:spacing w:before="0" w:after="0" w:line="240" w:lineRule="auto"/>
              <w:jc w:val="left"/>
            </w:pPr>
            <w:r>
              <w:rPr>
                <w:sz w:val="21"/>
              </w:rPr>
              <w:t xml:space="preserve">[Arithmetical / clerical / payment not credited / duplicate demand / figure inconsistent with the findings / other: [ ]]</w:t>
            </w:r>
          </w:p>
        </w:tc>
      </w:tr>
      <w:tr>
        <w:tc>
          <w:tcPr>
            <w:tcW w:type="dxa" w:w="2117"/>
            <w:shd w:val="clear" w:color="auto" w:fill="F5F8FC"/>
          </w:tcPr>
          <w:p>
            <w:pPr>
              <w:pStyle w:val="Compact"/>
              <w:spacing w:before="0" w:after="0" w:line="240" w:lineRule="auto"/>
              <w:jc w:val="left"/>
            </w:pPr>
            <w:r>
              <w:rPr>
                <w:b/>
                <w:sz w:val="21"/>
              </w:rPr>
              <w:t xml:space="preserve">Effect of the rectification</w:t>
            </w:r>
          </w:p>
        </w:tc>
        <w:tc>
          <w:tcPr>
            <w:tcW w:type="dxa" w:w="7521"/>
          </w:tcPr>
          <w:p>
            <w:pPr>
              <w:pStyle w:val="Compact"/>
              <w:spacing w:before="0" w:after="0" w:line="240" w:lineRule="auto"/>
              <w:jc w:val="left"/>
            </w:pPr>
            <w:r>
              <w:rPr>
                <w:sz w:val="21"/>
              </w:rPr>
              <w:t xml:space="preserve">[Reduces the demand by ₹[ ] / Increases the demand by ₹[ ] / No change in the amount / Application rejected]</w:t>
            </w:r>
          </w:p>
        </w:tc>
      </w:tr>
      <w:tr>
        <w:tc>
          <w:tcPr>
            <w:tcW w:type="dxa" w:w="2117"/>
            <w:shd w:val="clear" w:color="auto" w:fill="F5F8FC"/>
          </w:tcPr>
          <w:p>
            <w:pPr>
              <w:pStyle w:val="Compact"/>
              <w:spacing w:before="0" w:after="0" w:line="240" w:lineRule="auto"/>
              <w:jc w:val="left"/>
            </w:pPr>
            <w:r>
              <w:rPr>
                <w:b/>
                <w:sz w:val="21"/>
              </w:rPr>
              <w:t xml:space="preserve">Hearing</w:t>
            </w:r>
          </w:p>
        </w:tc>
        <w:tc>
          <w:tcPr>
            <w:tcW w:type="dxa" w:w="7521"/>
          </w:tcPr>
          <w:p>
            <w:pPr>
              <w:pStyle w:val="Compact"/>
              <w:spacing w:before="0" w:after="0" w:line="240" w:lineRule="auto"/>
              <w:jc w:val="left"/>
            </w:pPr>
            <w:r>
              <w:rPr>
                <w:sz w:val="21"/>
              </w:rPr>
              <w:t xml:space="preserve">[Held on [DD.MM.YYYY] (para 5) / Not required, as the rectification does not adversely affect any person]</w:t>
            </w:r>
          </w:p>
        </w:tc>
      </w:tr>
    </w:tbl>
    <w:p>
      <w:pPr>
        <w:pStyle w:val="BodyText"/>
        <w:keepNext/>
        <w:spacing w:before="240" w:after="80"/>
        <w:pBdr>
          <w:bottom w:val="single" w:sz="6" w:space="1" w:color="B4C6E7"/>
        </w:pBdr>
        <w:jc w:val="center"/>
      </w:pPr>
      <w:r>
        <w:rPr>
          <w:bCs/>
          <w:b/>
          <w:color w:val="1F3864"/>
          <w:sz w:val="25"/>
        </w:rPr>
        <w:t xml:space="preserve">IMPORTANT NOTE FOR THE PERSON AFFECTED</w:t>
      </w:r>
    </w:p>
    <w:p>
      <w:pPr>
        <w:numPr>
          <w:ilvl w:val="0"/>
          <w:numId w:val="1001"/>
        </w:numPr>
        <w:pStyle w:val="Compact"/>
        <w:spacing w:before="0" w:after="120" w:line="269" w:lineRule="auto"/>
      </w:pPr>
      <w:r>
        <w:t xml:space="preserve">Any person aggrieved by this order may appeal under section 107(1) of the Central Goods and Services Tax Act, 2017 to the Appellate Authority,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extendable by</w:t>
      </w:r>
      <w:r>
        <w:t xml:space="preserve"> </w:t>
      </w:r>
      <w:r>
        <w:rPr>
          <w:bCs/>
          <w:b/>
        </w:rPr>
        <w:t xml:space="preserve">one month</w:t>
      </w:r>
      <w:r>
        <w:t xml:space="preserve"> </w:t>
      </w:r>
      <w:r>
        <w:t xml:space="preserve">for sufficient cause (section 107(4)), electronically in FORM GST APL-01 (rule 108), on payment of the pre-deposit under section 107(6).</w:t>
      </w:r>
    </w:p>
    <w:p>
      <w:pPr>
        <w:numPr>
          <w:ilvl w:val="0"/>
          <w:numId w:val="1001"/>
        </w:numPr>
        <w:pStyle w:val="Compact"/>
        <w:spacing w:before="0" w:after="120" w:line="269" w:lineRule="auto"/>
      </w:pPr>
      <w:r>
        <w:t xml:space="preserve">Where an appeal against the original order is already pending, the appellant should inform the Appellate Authority of this rectification.</w:t>
      </w:r>
    </w:p>
    <w:p>
      <w:pPr>
        <w:numPr>
          <w:ilvl w:val="0"/>
          <w:numId w:val="1001"/>
        </w:numPr>
        <w:pStyle w:val="Compact"/>
        <w:spacing w:before="0" w:after="120" w:line="269" w:lineRule="auto"/>
      </w:pPr>
      <w:r>
        <w:t xml:space="preserve">This order is passed under the CGST Act and the corresponding provisions of the Telangana Goods and Services Tax Act, 2017 and the Integrated Goods and Services Tax Act, 2017, as applicable.</w:t>
      </w:r>
    </w:p>
    <w:p>
      <w:pPr>
        <w:pStyle w:val="FirstParagraph"/>
        <w:keepNext/>
        <w:spacing w:before="240" w:after="80"/>
        <w:pBdr>
          <w:bottom w:val="single" w:sz="6" w:space="1" w:color="B4C6E7"/>
        </w:pBdr>
      </w:pPr>
      <w:r>
        <w:rPr>
          <w:bCs/>
          <w:b/>
          <w:color w:val="1F3864"/>
          <w:sz w:val="25"/>
        </w:rPr>
        <w:t xml:space="preserve">1. The original order</w:t>
      </w:r>
    </w:p>
    <w:p>
      <w:pPr>
        <w:pStyle w:val="BodyText"/>
        <w:spacing w:before="0" w:after="120" w:line="269" w:lineRule="auto"/>
        <w:jc w:val="both"/>
      </w:pPr>
      <w:r>
        <w:t xml:space="preserve">1.1 By the original order, the undersigned [confirmed tax of ₹[ ], interest under section [ ] and penalty of ₹[ ] under section [ ]] on [legal name], GSTIN [ ], for FY [ ], on SCN No. [ ] dated [ ]. The summary was uploaded in DRC-07 [reference] on [date] and served on [date] by [modes].</w:t>
      </w:r>
    </w:p>
    <w:p>
      <w:pPr>
        <w:pStyle w:val="BodyText"/>
        <w:keepNext/>
        <w:spacing w:before="240" w:after="80"/>
        <w:pBdr>
          <w:bottom w:val="single" w:sz="6" w:space="1" w:color="B4C6E7"/>
        </w:pBdr>
      </w:pPr>
      <w:r>
        <w:rPr>
          <w:bCs/>
          <w:b/>
          <w:color w:val="1F3864"/>
          <w:sz w:val="25"/>
        </w:rPr>
        <w:t xml:space="preserve">2. How the error came to notice</w:t>
      </w:r>
    </w:p>
    <w:p>
      <w:pPr>
        <w:pStyle w:val="BodyText"/>
        <w:spacing w:before="0" w:after="120" w:line="269" w:lineRule="auto"/>
        <w:jc w:val="both"/>
      </w:pPr>
      <w:r>
        <w:t xml:space="preserve">2.1 [Option 1: own motion] On [date], while [verifying the electronic liability register / examining the appeal file / reconciling DRC-07 figures], the undersigned noticed that [describe the error in one or two sentences].</w:t>
      </w:r>
    </w:p>
    <w:p>
      <w:pPr>
        <w:pStyle w:val="BodyText"/>
        <w:spacing w:before="0" w:after="120" w:line="269" w:lineRule="auto"/>
        <w:jc w:val="both"/>
      </w:pPr>
      <w:r>
        <w:t xml:space="preserve">2.2 [Option 2: application] By application dated [date], received on [date] [through the portal / by e-mail / by hand], the person affected pointed out that [describe the error alleged, in its terms], and asked that [relief sought]. It relied on [documents A-1 to A-[n]].</w:t>
      </w:r>
    </w:p>
    <w:p>
      <w:pPr>
        <w:pStyle w:val="BodyText"/>
        <w:spacing w:before="0" w:after="120" w:line="269" w:lineRule="auto"/>
      </w:pPr>
      <w:r>
        <w:t xml:space="preserve">2.3 [Option 3: officer] By letter dated [date], [designation, office] pointed out that [ ].</w:t>
      </w:r>
    </w:p>
    <w:p>
      <w:pPr>
        <w:pStyle w:val="BodyText"/>
        <w:keepNext/>
        <w:spacing w:before="240" w:after="80"/>
        <w:pBdr>
          <w:bottom w:val="single" w:sz="6" w:space="1" w:color="B4C6E7"/>
        </w:pBdr>
      </w:pPr>
      <w:r>
        <w:rPr>
          <w:bCs/>
          <w:b/>
          <w:color w:val="1F3864"/>
          <w:sz w:val="25"/>
        </w:rPr>
        <w:t xml:space="preserve">3. Time limits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770"/>
        <w:gridCol w:w="1195"/>
        <w:gridCol w:w="1673"/>
      </w:tblGrid>
      <w:tr>
        <w:trPr>
          <w:tblHeader w:val="true"/>
          <w:tblHeader/>
        </w:trPr>
        <w:tc>
          <w:tcPr>
            <w:tcW w:type="dxa" w:w="6770"/>
            <w:shd w:val="clear" w:color="auto" w:fill="DCE6F1"/>
          </w:tcPr>
          <w:p>
            <w:pPr>
              <w:pStyle w:val="Compact"/>
              <w:spacing w:before="0" w:after="0" w:line="240" w:lineRule="auto"/>
              <w:jc w:val="left"/>
            </w:pPr>
            <w:r>
              <w:rPr>
                <w:b/>
                <w:color w:val="1F3864"/>
                <w:sz w:val="21"/>
              </w:rPr>
              <w:t xml:space="preserve">Item</w:t>
            </w:r>
          </w:p>
        </w:tc>
        <w:tc>
          <w:tcPr>
            <w:tcW w:type="dxa" w:w="1195"/>
            <w:shd w:val="clear" w:color="auto" w:fill="DCE6F1"/>
          </w:tcPr>
          <w:p>
            <w:pPr>
              <w:pStyle w:val="Compact"/>
              <w:spacing w:before="0" w:after="0" w:line="240" w:lineRule="auto"/>
              <w:jc w:val="left"/>
            </w:pPr>
            <w:r>
              <w:rPr>
                <w:b/>
                <w:color w:val="1F3864"/>
                <w:sz w:val="21"/>
              </w:rPr>
              <w:t xml:space="preserve">Date</w:t>
            </w:r>
          </w:p>
        </w:tc>
        <w:tc>
          <w:tcPr>
            <w:tcW w:type="dxa" w:w="1673"/>
            <w:shd w:val="clear" w:color="auto" w:fill="DCE6F1"/>
          </w:tcPr>
          <w:p>
            <w:pPr>
              <w:pStyle w:val="Compact"/>
              <w:spacing w:before="0" w:after="0" w:line="240" w:lineRule="auto"/>
              <w:jc w:val="left"/>
            </w:pPr>
            <w:r>
              <w:rPr>
                <w:b/>
                <w:color w:val="1F3864"/>
                <w:sz w:val="21"/>
              </w:rPr>
              <w:t xml:space="preserve">Provision</w:t>
            </w:r>
          </w:p>
        </w:tc>
      </w:tr>
      <w:tr>
        <w:tc>
          <w:tcPr>
            <w:tcW w:type="dxa" w:w="6770"/>
          </w:tcPr>
          <w:p>
            <w:pPr>
              <w:pStyle w:val="Compact"/>
              <w:spacing w:before="0" w:after="0" w:line="240" w:lineRule="auto"/>
              <w:jc w:val="left"/>
            </w:pPr>
            <w:r>
              <w:rPr>
                <w:sz w:val="21"/>
              </w:rPr>
              <w:t xml:space="preserve">Date of issue of the original order</w:t>
            </w:r>
          </w:p>
        </w:tc>
        <w:tc>
          <w:tcPr>
            <w:tcW w:type="dxa" w:w="1195"/>
          </w:tcPr>
          <w:p>
            <w:pPr>
              <w:pStyle w:val="Compact"/>
              <w:spacing w:before="0" w:after="0" w:line="240" w:lineRule="auto"/>
              <w:jc w:val="left"/>
            </w:pPr>
            <w:r>
              <w:rPr>
                <w:sz w:val="21"/>
              </w:rPr>
              <w:t xml:space="preserve">[ ]</w:t>
            </w:r>
          </w:p>
        </w:tc>
        <w:tc>
          <w:tcPr>
            <w:tcW w:type="dxa" w:w="1673"/>
          </w:tcPr>
          <w:p>
            <w:pPr>
              <w:pStyle w:val="Compact"/>
              <w:spacing w:before="0" w:after="0" w:line="240" w:lineRule="auto"/>
            </w:pPr>
          </w:p>
        </w:tc>
      </w:tr>
      <w:tr>
        <w:tc>
          <w:tcPr>
            <w:tcW w:type="dxa" w:w="6770"/>
          </w:tcPr>
          <w:p>
            <w:pPr>
              <w:pStyle w:val="Compact"/>
              <w:spacing w:before="0" w:after="0" w:line="240" w:lineRule="auto"/>
              <w:jc w:val="left"/>
            </w:pPr>
            <w:r>
              <w:rPr>
                <w:sz w:val="21"/>
              </w:rPr>
              <w:t xml:space="preserve">Three months from that date (last date for the error to be brought to notice by an officer or the person affected)</w:t>
            </w:r>
          </w:p>
        </w:tc>
        <w:tc>
          <w:tcPr>
            <w:tcW w:type="dxa" w:w="1195"/>
          </w:tcPr>
          <w:p>
            <w:pPr>
              <w:pStyle w:val="Compact"/>
              <w:spacing w:before="0" w:after="0" w:line="240" w:lineRule="auto"/>
              <w:jc w:val="left"/>
            </w:pPr>
            <w:r>
              <w:rPr>
                <w:sz w:val="21"/>
              </w:rPr>
              <w:t xml:space="preserve">[ ]</w:t>
            </w:r>
          </w:p>
        </w:tc>
        <w:tc>
          <w:tcPr>
            <w:tcW w:type="dxa" w:w="1673"/>
          </w:tcPr>
          <w:p>
            <w:pPr>
              <w:pStyle w:val="Compact"/>
              <w:spacing w:before="0" w:after="0" w:line="240" w:lineRule="auto"/>
              <w:jc w:val="left"/>
            </w:pPr>
            <w:r>
              <w:rPr>
                <w:sz w:val="21"/>
              </w:rPr>
              <w:t xml:space="preserve">Section 161</w:t>
            </w:r>
          </w:p>
        </w:tc>
      </w:tr>
      <w:tr>
        <w:tc>
          <w:tcPr>
            <w:tcW w:type="dxa" w:w="6770"/>
          </w:tcPr>
          <w:p>
            <w:pPr>
              <w:pStyle w:val="Compact"/>
              <w:spacing w:before="0" w:after="0" w:line="240" w:lineRule="auto"/>
              <w:jc w:val="left"/>
            </w:pPr>
            <w:r>
              <w:rPr>
                <w:sz w:val="21"/>
              </w:rPr>
              <w:t xml:space="preserve">Date on which the error was brought to notice</w:t>
            </w:r>
          </w:p>
        </w:tc>
        <w:tc>
          <w:tcPr>
            <w:tcW w:type="dxa" w:w="1195"/>
          </w:tcPr>
          <w:p>
            <w:pPr>
              <w:pStyle w:val="Compact"/>
              <w:spacing w:before="0" w:after="0" w:line="240" w:lineRule="auto"/>
              <w:jc w:val="left"/>
            </w:pPr>
            <w:r>
              <w:rPr>
                <w:sz w:val="21"/>
              </w:rPr>
              <w:t xml:space="preserve">[ ]</w:t>
            </w:r>
          </w:p>
        </w:tc>
        <w:tc>
          <w:tcPr>
            <w:tcW w:type="dxa" w:w="1673"/>
          </w:tcPr>
          <w:p>
            <w:pPr>
              <w:pStyle w:val="Compact"/>
              <w:spacing w:before="0" w:after="0" w:line="240" w:lineRule="auto"/>
            </w:pPr>
          </w:p>
        </w:tc>
      </w:tr>
      <w:tr>
        <w:tc>
          <w:tcPr>
            <w:tcW w:type="dxa" w:w="6770"/>
          </w:tcPr>
          <w:p>
            <w:pPr>
              <w:pStyle w:val="Compact"/>
              <w:spacing w:before="0" w:after="0" w:line="240" w:lineRule="auto"/>
              <w:jc w:val="left"/>
            </w:pPr>
            <w:r>
              <w:rPr>
                <w:sz w:val="21"/>
              </w:rPr>
              <w:t xml:space="preserve">Six months from the date of the original order (last date for rectification, except a purely clerical or arithmetical error)</w:t>
            </w:r>
          </w:p>
        </w:tc>
        <w:tc>
          <w:tcPr>
            <w:tcW w:type="dxa" w:w="1195"/>
          </w:tcPr>
          <w:p>
            <w:pPr>
              <w:pStyle w:val="Compact"/>
              <w:spacing w:before="0" w:after="0" w:line="240" w:lineRule="auto"/>
              <w:jc w:val="left"/>
            </w:pPr>
            <w:r>
              <w:rPr>
                <w:sz w:val="21"/>
              </w:rPr>
              <w:t xml:space="preserve">[ ]</w:t>
            </w:r>
          </w:p>
        </w:tc>
        <w:tc>
          <w:tcPr>
            <w:tcW w:type="dxa" w:w="1673"/>
          </w:tcPr>
          <w:p>
            <w:pPr>
              <w:pStyle w:val="Compact"/>
              <w:spacing w:before="0" w:after="0" w:line="240" w:lineRule="auto"/>
              <w:jc w:val="left"/>
            </w:pPr>
            <w:r>
              <w:rPr>
                <w:sz w:val="21"/>
              </w:rPr>
              <w:t xml:space="preserve">First and second provisos to section 161</w:t>
            </w:r>
          </w:p>
        </w:tc>
      </w:tr>
      <w:tr>
        <w:tc>
          <w:tcPr>
            <w:tcW w:type="dxa" w:w="6770"/>
          </w:tcPr>
          <w:p>
            <w:pPr>
              <w:pStyle w:val="Compact"/>
              <w:spacing w:before="0" w:after="0" w:line="240" w:lineRule="auto"/>
              <w:jc w:val="left"/>
            </w:pPr>
            <w:r>
              <w:rPr>
                <w:sz w:val="21"/>
              </w:rPr>
              <w:t xml:space="preserve">Date of this order</w:t>
            </w:r>
          </w:p>
        </w:tc>
        <w:tc>
          <w:tcPr>
            <w:tcW w:type="dxa" w:w="1195"/>
          </w:tcPr>
          <w:p>
            <w:pPr>
              <w:pStyle w:val="Compact"/>
              <w:spacing w:before="0" w:after="0" w:line="240" w:lineRule="auto"/>
              <w:jc w:val="left"/>
            </w:pPr>
            <w:r>
              <w:rPr>
                <w:sz w:val="21"/>
              </w:rPr>
              <w:t xml:space="preserve">[ ]</w:t>
            </w:r>
          </w:p>
        </w:tc>
        <w:tc>
          <w:tcPr>
            <w:tcW w:type="dxa" w:w="1673"/>
          </w:tcPr>
          <w:p>
            <w:pPr>
              <w:pStyle w:val="Compact"/>
              <w:spacing w:before="0" w:after="0" w:line="240" w:lineRule="auto"/>
            </w:pPr>
          </w:p>
        </w:tc>
      </w:tr>
    </w:tbl>
    <w:p>
      <w:pPr>
        <w:pStyle w:val="BodyText"/>
        <w:spacing w:before="0" w:after="120" w:line="269" w:lineRule="auto"/>
        <w:jc w:val="both"/>
      </w:pPr>
      <w:r>
        <w:t xml:space="preserve">3.1 [Option A: within time] The error was brought to notice within three months of the original order, and this order is issued within six months of it.</w:t>
      </w:r>
    </w:p>
    <w:p>
      <w:pPr>
        <w:pStyle w:val="BodyText"/>
        <w:spacing w:before="0" w:after="120" w:line="269" w:lineRule="auto"/>
        <w:jc w:val="both"/>
      </w:pPr>
      <w:r>
        <w:t xml:space="preserve">3.2 [Option B: own motion within six months] The application was received after three months from the original order, so it is not a valid trigger under section 161. The error is, however, apparent from the record, and the undersigned rectifies it on his own motion within six months of the original order.</w:t>
      </w:r>
    </w:p>
    <w:p>
      <w:pPr>
        <w:pStyle w:val="BodyText"/>
        <w:spacing w:before="0" w:after="120" w:line="269" w:lineRule="auto"/>
        <w:jc w:val="both"/>
      </w:pPr>
      <w:r>
        <w:t xml:space="preserve">3.3 [Option C: clerical or arithmetical error after six months] Six months from the original order have passed. The error is purely clerical or arithmetical, arising from an accidental slip or omission, namely [ ]. The six-month limit does not apply to it (second proviso to section 161).</w:t>
      </w:r>
    </w:p>
    <w:p>
      <w:pPr>
        <w:pStyle w:val="BodyText"/>
        <w:spacing w:before="0" w:after="120" w:line="269" w:lineRule="auto"/>
        <w:jc w:val="both"/>
      </w:pPr>
      <w:r>
        <w:t xml:space="preserve">3.4 [Option D: barred] The error alleged is not a clerical or arithmetical slip, and six months from the original order have passed. Rectification is barred by the first proviso to section 161. The person affected may pursue the remedy of appeal.</w:t>
      </w:r>
    </w:p>
    <w:p>
      <w:pPr>
        <w:pStyle w:val="BlockText"/>
        <w:shd w:val="clear" w:color="auto" w:fill="E7E6E6"/>
      </w:pPr>
      <w:r>
        <w:rPr>
          <w:bCs/>
          <w:b/>
          <w:sz w:val="21"/>
        </w:rPr>
        <w:t xml:space="preserve">Drafting note:</w:t>
      </w:r>
      <w:r>
        <w:rPr>
          <w:sz w:val="21"/>
        </w:rPr>
        <w:t xml:space="preserve"> </w:t>
      </w:r>
      <w:r>
        <w:rPr>
          <w:sz w:val="21"/>
        </w:rPr>
        <w:t xml:space="preserve">the three-month limit governs when an officer or the person affected brings the error to notice; own-motion rectification is open within six months; a purely clerical or arithmetical slip can be corrected at any time. The Telangana HC has treated duplicate State and Central orders for the same period as rectifiable under section 161 and recorded the State’s concession that the six-month bar did not apply (W.P. No. 20731 of 2025 batch, 15.10.2025, binding in Telangana). For orders that denied credit now saved by section 16(5) or 16(6), the special procedure under Notification No. 22/2024-Central Tax (section 148) applied within the time fixed by that notification; check whether that window is still open before relying on it.</w:t>
      </w:r>
    </w:p>
    <w:p>
      <w:pPr>
        <w:pStyle w:val="FirstParagraph"/>
        <w:keepNext/>
        <w:spacing w:before="240" w:after="80"/>
        <w:pBdr>
          <w:bottom w:val="single" w:sz="6" w:space="1" w:color="B4C6E7"/>
        </w:pBdr>
      </w:pPr>
      <w:r>
        <w:rPr>
          <w:bCs/>
          <w:b/>
          <w:color w:val="1F3864"/>
          <w:sz w:val="25"/>
        </w:rPr>
        <w:t xml:space="preserve">4. Whether the error is apparent on the face of the record</w:t>
      </w:r>
    </w:p>
    <w:p>
      <w:pPr>
        <w:pStyle w:val="BodyText"/>
        <w:spacing w:before="0" w:after="120" w:line="269" w:lineRule="auto"/>
        <w:jc w:val="both"/>
      </w:pPr>
      <w:r>
        <w:t xml:space="preserve">4.1 An error apparent on the face of the record is one that is plain from the order and the record itself, without long reasoning, fresh evidence or a re-appreciation of the merits. A different view on the law or facts, a point that needs verification of new documents, or a new ground of demand is not such an error.</w:t>
      </w:r>
    </w:p>
    <w:p>
      <w:pPr>
        <w:pStyle w:val="BodyText"/>
        <w:spacing w:before="0" w:after="120" w:line="269" w:lineRule="auto"/>
        <w:jc w:val="both"/>
      </w:pPr>
      <w:r>
        <w:t xml:space="preserve">4.2 [Option A] The error is apparent from the record. [Explain in specific terms: for example,</w:t>
      </w:r>
      <w:r>
        <w:t xml:space="preserve"> </w:t>
      </w:r>
      <w:r>
        <w:t xml:space="preserve">“</w:t>
      </w:r>
      <w:r>
        <w:t xml:space="preserve">Para 8.1 of the original order totals the CGST column as ₹[ ], whereas the entries in that column add up to ₹[ ]</w:t>
      </w:r>
      <w:r>
        <w:t xml:space="preserve">”</w:t>
      </w:r>
      <w:r>
        <w:t xml:space="preserve">;</w:t>
      </w:r>
      <w:r>
        <w:t xml:space="preserve"> </w:t>
      </w:r>
      <w:r>
        <w:t xml:space="preserve">“</w:t>
      </w:r>
      <w:r>
        <w:t xml:space="preserve">DRC-03 No. [ ] dated [ ], paid before the order and shown in the liability register, was not credited in para 7.8</w:t>
      </w:r>
      <w:r>
        <w:t xml:space="preserve">”</w:t>
      </w:r>
      <w:r>
        <w:t xml:space="preserve">;</w:t>
      </w:r>
      <w:r>
        <w:t xml:space="preserve"> </w:t>
      </w:r>
      <w:r>
        <w:t xml:space="preserve">“</w:t>
      </w:r>
      <w:r>
        <w:t xml:space="preserve">the penalty in para 9.1(v) was computed on ₹[ ], whereas the tax confirmed in para 9.1(i) is ₹[ ]</w:t>
      </w:r>
      <w:r>
        <w:t xml:space="preserve">”</w:t>
      </w:r>
      <w:r>
        <w:t xml:space="preserve">;</w:t>
      </w:r>
      <w:r>
        <w:t xml:space="preserve"> </w:t>
      </w:r>
      <w:r>
        <w:t xml:space="preserve">“</w:t>
      </w:r>
      <w:r>
        <w:t xml:space="preserve">the DRC-07 shows ₹[ ], which differs from the order</w:t>
      </w:r>
      <w:r>
        <w:t xml:space="preserve">”</w:t>
      </w:r>
      <w:r>
        <w:t xml:space="preserve">;</w:t>
      </w:r>
      <w:r>
        <w:t xml:space="preserve"> </w:t>
      </w:r>
      <w:r>
        <w:t xml:space="preserve">“</w:t>
      </w:r>
      <w:r>
        <w:t xml:space="preserve">the same demand for the same period was confirmed in Order No. [ ] dated [ ]</w:t>
      </w:r>
      <w:r>
        <w:t xml:space="preserve">”</w:t>
      </w:r>
      <w:r>
        <w:t xml:space="preserve">.] No fresh evidence or argument is needed to see it.</w:t>
      </w:r>
    </w:p>
    <w:p>
      <w:pPr>
        <w:pStyle w:val="BodyText"/>
        <w:spacing w:before="0" w:after="120" w:line="269" w:lineRule="auto"/>
        <w:jc w:val="both"/>
      </w:pPr>
      <w:r>
        <w:t xml:space="preserve">4.3 [Option B] The application does not point to an error apparent on the record. It asks the undersigned to [re-examine the evidence on [ ] / accept new documents [ ] that were not produced during adjudication / take a different view of [provision]]. That is a request for review on merits, which section 161 does not permit. [The documents filed, A-[ ] to A-[ ], would need verification against [ ], which is beyond rectification.] The proper remedy is an appeal under section 107.</w:t>
      </w:r>
    </w:p>
    <w:p>
      <w:pPr>
        <w:pStyle w:val="BlockText"/>
        <w:shd w:val="clear" w:color="auto" w:fill="E7E6E6"/>
      </w:pPr>
      <w:r>
        <w:rPr>
          <w:bCs/>
          <w:b/>
          <w:sz w:val="21"/>
        </w:rPr>
        <w:t xml:space="preserve">Drafting note:</w:t>
      </w:r>
      <w:r>
        <w:rPr>
          <w:sz w:val="21"/>
        </w:rPr>
        <w:t xml:space="preserve"> </w:t>
      </w:r>
      <w:r>
        <w:rPr>
          <w:sz w:val="21"/>
        </w:rPr>
        <w:t xml:space="preserve">rectification cannot be used for substantive rewriting of an order (</w:t>
      </w:r>
      <w:r>
        <w:rPr>
          <w:iCs/>
          <w:i/>
          <w:sz w:val="21"/>
        </w:rPr>
        <w:t xml:space="preserve">Sajal Kumar Das</w:t>
      </w:r>
      <w:r>
        <w:rPr>
          <w:sz w:val="21"/>
        </w:rPr>
        <w:t xml:space="preserve">, Calcutta HC, 2024, persuasive) or to raise a fresh demand (Madras HC, December 2025, persuasive). A new or larger demand needs a fresh SCN within the time limits. A rejection must state reasons; a cryptic rejection has been quashed (Calcutta HC, 27.11.2025, persuasive).</w:t>
      </w:r>
    </w:p>
    <w:p>
      <w:pPr>
        <w:pStyle w:val="FirstParagraph"/>
        <w:keepNext/>
        <w:spacing w:before="240" w:after="80"/>
        <w:pBdr>
          <w:bottom w:val="single" w:sz="6" w:space="1" w:color="B4C6E7"/>
        </w:pBdr>
      </w:pPr>
      <w:r>
        <w:rPr>
          <w:bCs/>
          <w:b/>
          <w:color w:val="1F3864"/>
          <w:sz w:val="25"/>
        </w:rPr>
        <w:t xml:space="preserve">5. Opportunity of hearing (where the rectification adversely affects any person)</w:t>
      </w:r>
    </w:p>
    <w:p>
      <w:pPr>
        <w:pStyle w:val="BodyText"/>
        <w:spacing w:before="0" w:after="120" w:line="269" w:lineRule="auto"/>
        <w:jc w:val="both"/>
      </w:pPr>
      <w:r>
        <w:t xml:space="preserve">5.1 [Option A: rectification adverse to the person affected, for example an arithmetical error that understated the demand] As the rectification increases the amount payable by ₹[ ], a notice dated [ ] was issued proposing it, served by [portal RFN [ ] / e-mail / speed post], with a personal hearing fixed on [date, time, venue] (third proviso to section 161). [The person affected replied on [ ] that [ ], and was heard on [ ], when [ ] appeared and submitted that [ ].] [No reply was received and no one appeared, despite notices dated [ ] and [ ].] [Finding on the submissions.]</w:t>
      </w:r>
    </w:p>
    <w:p>
      <w:pPr>
        <w:pStyle w:val="BodyText"/>
        <w:spacing w:before="0" w:after="120" w:line="269" w:lineRule="auto"/>
        <w:jc w:val="both"/>
      </w:pPr>
      <w:r>
        <w:t xml:space="preserve">5.2 [Option B: rectification not adverse] The rectification reduces the amount payable [or corrects the record without changing any amount] and does not adversely affect any person, so no notice was required under the third proviso to section 161.</w:t>
      </w:r>
    </w:p>
    <w:p>
      <w:pPr>
        <w:pStyle w:val="BlockText"/>
        <w:shd w:val="clear" w:color="auto" w:fill="E7E6E6"/>
      </w:pPr>
      <w:r>
        <w:rPr>
          <w:bCs/>
          <w:b/>
          <w:sz w:val="21"/>
        </w:rPr>
        <w:t xml:space="preserve">Drafting note:</w:t>
      </w:r>
      <w:r>
        <w:rPr>
          <w:sz w:val="21"/>
        </w:rPr>
        <w:t xml:space="preserve"> </w:t>
      </w:r>
      <w:r>
        <w:rPr>
          <w:sz w:val="21"/>
        </w:rPr>
        <w:t xml:space="preserve">a personal hearing is mandatory under the third proviso to section 161 before a rectification adverse to the person affected, and before rejecting that person’s application for rectification (</w:t>
      </w:r>
      <w:r>
        <w:rPr>
          <w:iCs/>
          <w:i/>
          <w:sz w:val="21"/>
        </w:rPr>
        <w:t xml:space="preserve">Future Consumer Ltd v. Union of India</w:t>
      </w:r>
      <w:r>
        <w:rPr>
          <w:sz w:val="21"/>
        </w:rPr>
        <w:t xml:space="preserve">, Delhi HC, W.P.(C) 15611/2025, 10.10.2025, persuasive: there the application had been rejected without a hearing). Even a correction that only increases the arithmetic total of a demand already reasoned in the order is adverse: give notice.</w:t>
      </w:r>
    </w:p>
    <w:p>
      <w:pPr>
        <w:pStyle w:val="FirstParagraph"/>
        <w:keepNext/>
        <w:spacing w:before="240" w:after="80"/>
        <w:pBdr>
          <w:bottom w:val="single" w:sz="6" w:space="1" w:color="B4C6E7"/>
        </w:pBdr>
      </w:pPr>
      <w:r>
        <w:rPr>
          <w:bCs/>
          <w:b/>
          <w:color w:val="1F3864"/>
          <w:sz w:val="25"/>
        </w:rPr>
        <w:t xml:space="preserve">6. The rectification</w:t>
      </w:r>
    </w:p>
    <w:p>
      <w:pPr>
        <w:pStyle w:val="BodyText"/>
        <w:spacing w:before="0" w:after="120" w:line="269" w:lineRule="auto"/>
      </w:pPr>
      <w:r>
        <w:t xml:space="preserve">6.1 [Option A] The original order is rectified as follows:</w:t>
      </w:r>
    </w:p>
    <w:tbl>
      <w:tblPr>
        <w:tblW w:type="auto" w:w="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557"/>
        <w:gridCol w:w="2164"/>
        <w:gridCol w:w="2754"/>
        <w:gridCol w:w="2164"/>
      </w:tblGrid>
      <w:tr>
        <w:trPr>
          <w:tblHeader w:val="true"/>
          <w:tblHeader/>
        </w:trPr>
        <w:tc>
          <w:tcPr>
            <w:tcW w:type="dxa" w:w="2557"/>
            <w:shd w:val="clear" w:color="auto" w:fill="DCE6F1"/>
          </w:tcPr>
          <w:p>
            <w:pPr>
              <w:pStyle w:val="Compact"/>
              <w:spacing w:before="0" w:after="0" w:line="240" w:lineRule="auto"/>
              <w:jc w:val="left"/>
            </w:pPr>
            <w:r>
              <w:rPr>
                <w:b/>
                <w:color w:val="1F3864"/>
                <w:sz w:val="21"/>
              </w:rPr>
              <w:t xml:space="preserve">Para of the original order</w:t>
            </w:r>
          </w:p>
        </w:tc>
        <w:tc>
          <w:tcPr>
            <w:tcW w:type="dxa" w:w="2164"/>
            <w:shd w:val="clear" w:color="auto" w:fill="DCE6F1"/>
          </w:tcPr>
          <w:p>
            <w:pPr>
              <w:pStyle w:val="Compact"/>
              <w:spacing w:before="0" w:after="0" w:line="240" w:lineRule="auto"/>
              <w:jc w:val="left"/>
            </w:pPr>
            <w:r>
              <w:rPr>
                <w:b/>
                <w:color w:val="1F3864"/>
                <w:sz w:val="21"/>
              </w:rPr>
              <w:t xml:space="preserve">As it stands</w:t>
            </w:r>
          </w:p>
        </w:tc>
        <w:tc>
          <w:tcPr>
            <w:tcW w:type="dxa" w:w="2754"/>
            <w:shd w:val="clear" w:color="auto" w:fill="DCE6F1"/>
          </w:tcPr>
          <w:p>
            <w:pPr>
              <w:pStyle w:val="Compact"/>
              <w:spacing w:before="0" w:after="0" w:line="240" w:lineRule="auto"/>
              <w:jc w:val="left"/>
            </w:pPr>
            <w:r>
              <w:rPr>
                <w:b/>
                <w:color w:val="1F3864"/>
                <w:sz w:val="21"/>
              </w:rPr>
              <w:t xml:space="preserve">As rectified</w:t>
            </w:r>
          </w:p>
        </w:tc>
        <w:tc>
          <w:tcPr>
            <w:tcW w:type="dxa" w:w="2164"/>
            <w:shd w:val="clear" w:color="auto" w:fill="DCE6F1"/>
          </w:tcPr>
          <w:p>
            <w:pPr>
              <w:pStyle w:val="Compact"/>
              <w:spacing w:before="0" w:after="0" w:line="240" w:lineRule="auto"/>
              <w:jc w:val="left"/>
            </w:pPr>
            <w:r>
              <w:rPr>
                <w:b/>
                <w:color w:val="1F3864"/>
                <w:sz w:val="21"/>
              </w:rPr>
              <w:t xml:space="preserve">Reason</w:t>
            </w:r>
          </w:p>
        </w:tc>
      </w:tr>
      <w:tr>
        <w:tc>
          <w:tcPr>
            <w:tcW w:type="dxa" w:w="2557"/>
          </w:tcPr>
          <w:p>
            <w:pPr>
              <w:pStyle w:val="Compact"/>
              <w:spacing w:before="0" w:after="0" w:line="240" w:lineRule="auto"/>
              <w:jc w:val="left"/>
            </w:pPr>
            <w:r>
              <w:rPr>
                <w:sz w:val="21"/>
              </w:rPr>
              <w:t xml:space="preserve">[ ]</w:t>
            </w:r>
          </w:p>
        </w:tc>
        <w:tc>
          <w:tcPr>
            <w:tcW w:type="dxa" w:w="2164"/>
          </w:tcPr>
          <w:p>
            <w:pPr>
              <w:pStyle w:val="Compact"/>
              <w:spacing w:before="0" w:after="0" w:line="240" w:lineRule="auto"/>
              <w:jc w:val="left"/>
            </w:pPr>
            <w:r>
              <w:rPr>
                <w:sz w:val="21"/>
              </w:rPr>
              <w:t xml:space="preserve">[ ]</w:t>
            </w:r>
          </w:p>
        </w:tc>
        <w:tc>
          <w:tcPr>
            <w:tcW w:type="dxa" w:w="2754"/>
          </w:tcPr>
          <w:p>
            <w:pPr>
              <w:pStyle w:val="Compact"/>
              <w:spacing w:before="0" w:after="0" w:line="240" w:lineRule="auto"/>
              <w:jc w:val="left"/>
            </w:pPr>
            <w:r>
              <w:rPr>
                <w:sz w:val="21"/>
              </w:rPr>
              <w:t xml:space="preserve">[ ]</w:t>
            </w:r>
          </w:p>
        </w:tc>
        <w:tc>
          <w:tcPr>
            <w:tcW w:type="dxa" w:w="2164"/>
          </w:tcPr>
          <w:p>
            <w:pPr>
              <w:pStyle w:val="Compact"/>
              <w:spacing w:before="0" w:after="0" w:line="240" w:lineRule="auto"/>
              <w:jc w:val="left"/>
            </w:pPr>
            <w:r>
              <w:rPr>
                <w:sz w:val="21"/>
              </w:rPr>
              <w:t xml:space="preserve">[ ]</w:t>
            </w:r>
          </w:p>
        </w:tc>
      </w:tr>
      <w:tr>
        <w:tc>
          <w:tcPr>
            <w:tcW w:type="dxa" w:w="2557"/>
          </w:tcPr>
          <w:p>
            <w:pPr>
              <w:pStyle w:val="Compact"/>
              <w:spacing w:before="0" w:after="0" w:line="240" w:lineRule="auto"/>
              <w:jc w:val="left"/>
            </w:pPr>
            <w:r>
              <w:rPr>
                <w:sz w:val="21"/>
              </w:rPr>
              <w:t xml:space="preserve">[ ]</w:t>
            </w:r>
          </w:p>
        </w:tc>
        <w:tc>
          <w:tcPr>
            <w:tcW w:type="dxa" w:w="2164"/>
          </w:tcPr>
          <w:p>
            <w:pPr>
              <w:pStyle w:val="Compact"/>
              <w:spacing w:before="0" w:after="0" w:line="240" w:lineRule="auto"/>
              <w:jc w:val="left"/>
            </w:pPr>
            <w:r>
              <w:rPr>
                <w:sz w:val="21"/>
              </w:rPr>
              <w:t xml:space="preserve">[ ]</w:t>
            </w:r>
          </w:p>
        </w:tc>
        <w:tc>
          <w:tcPr>
            <w:tcW w:type="dxa" w:w="2754"/>
          </w:tcPr>
          <w:p>
            <w:pPr>
              <w:pStyle w:val="Compact"/>
              <w:spacing w:before="0" w:after="0" w:line="240" w:lineRule="auto"/>
              <w:jc w:val="left"/>
            </w:pPr>
            <w:r>
              <w:rPr>
                <w:sz w:val="21"/>
              </w:rPr>
              <w:t xml:space="preserve">[ ]</w:t>
            </w:r>
          </w:p>
        </w:tc>
        <w:tc>
          <w:tcPr>
            <w:tcW w:type="dxa" w:w="2164"/>
          </w:tcPr>
          <w:p>
            <w:pPr>
              <w:pStyle w:val="Compact"/>
              <w:spacing w:before="0" w:after="0" w:line="240" w:lineRule="auto"/>
              <w:jc w:val="left"/>
            </w:pPr>
            <w:r>
              <w:rPr>
                <w:sz w:val="21"/>
              </w:rPr>
              <w:t xml:space="preserve">[ ]</w:t>
            </w:r>
          </w:p>
        </w:tc>
      </w:tr>
    </w:tbl>
    <w:p>
      <w:pPr>
        <w:pStyle w:val="BodyText"/>
        <w:spacing w:before="0" w:after="120" w:line="269" w:lineRule="auto"/>
      </w:pPr>
      <w:r>
        <w:t xml:space="preserve">6.2 [Option A] As a result, the amounts payable under the original order become: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48"/>
        <w:gridCol w:w="1362"/>
        <w:gridCol w:w="1467"/>
        <w:gridCol w:w="1467"/>
        <w:gridCol w:w="1467"/>
        <w:gridCol w:w="1362"/>
        <w:gridCol w:w="1467"/>
      </w:tblGrid>
      <w:tr>
        <w:trPr>
          <w:tblHeader w:val="true"/>
          <w:tblHeader/>
        </w:trPr>
        <w:tc>
          <w:tcPr>
            <w:tcW w:type="dxa" w:w="1048"/>
            <w:shd w:val="clear" w:color="auto" w:fill="DCE6F1"/>
          </w:tcPr>
          <w:p>
            <w:pPr>
              <w:pStyle w:val="Compact"/>
              <w:spacing w:before="0" w:after="0" w:line="240" w:lineRule="auto"/>
              <w:jc w:val="left"/>
            </w:pPr>
            <w:r>
              <w:rPr>
                <w:b/>
                <w:color w:val="1F3864"/>
                <w:sz w:val="18"/>
              </w:rPr>
              <w:t xml:space="preserve">Head</w:t>
            </w:r>
          </w:p>
        </w:tc>
        <w:tc>
          <w:tcPr>
            <w:tcW w:type="dxa" w:w="1362"/>
            <w:shd w:val="clear" w:color="auto" w:fill="DCE6F1"/>
          </w:tcPr>
          <w:p>
            <w:pPr>
              <w:pStyle w:val="Compact"/>
              <w:spacing w:before="0" w:after="0" w:line="240" w:lineRule="auto"/>
              <w:jc w:val="left"/>
            </w:pPr>
            <w:r>
              <w:rPr>
                <w:b/>
                <w:color w:val="1F3864"/>
                <w:sz w:val="18"/>
              </w:rPr>
              <w:t xml:space="preserve">Tax: original (₹)</w:t>
            </w:r>
          </w:p>
        </w:tc>
        <w:tc>
          <w:tcPr>
            <w:tcW w:type="dxa" w:w="1467"/>
            <w:shd w:val="clear" w:color="auto" w:fill="DCE6F1"/>
          </w:tcPr>
          <w:p>
            <w:pPr>
              <w:pStyle w:val="Compact"/>
              <w:spacing w:before="0" w:after="0" w:line="240" w:lineRule="auto"/>
              <w:jc w:val="left"/>
            </w:pPr>
            <w:r>
              <w:rPr>
                <w:b/>
                <w:color w:val="1F3864"/>
                <w:sz w:val="18"/>
              </w:rPr>
              <w:t xml:space="preserve">Tax: rectified (₹)</w:t>
            </w:r>
          </w:p>
        </w:tc>
        <w:tc>
          <w:tcPr>
            <w:tcW w:type="dxa" w:w="1467"/>
            <w:shd w:val="clear" w:color="auto" w:fill="DCE6F1"/>
          </w:tcPr>
          <w:p>
            <w:pPr>
              <w:pStyle w:val="Compact"/>
              <w:spacing w:before="0" w:after="0" w:line="240" w:lineRule="auto"/>
              <w:jc w:val="left"/>
            </w:pPr>
            <w:r>
              <w:rPr>
                <w:b/>
                <w:color w:val="1F3864"/>
                <w:sz w:val="18"/>
              </w:rPr>
              <w:t xml:space="preserve">Interest: original (₹)</w:t>
            </w:r>
          </w:p>
        </w:tc>
        <w:tc>
          <w:tcPr>
            <w:tcW w:type="dxa" w:w="1467"/>
            <w:shd w:val="clear" w:color="auto" w:fill="DCE6F1"/>
          </w:tcPr>
          <w:p>
            <w:pPr>
              <w:pStyle w:val="Compact"/>
              <w:spacing w:before="0" w:after="0" w:line="240" w:lineRule="auto"/>
              <w:jc w:val="left"/>
            </w:pPr>
            <w:r>
              <w:rPr>
                <w:b/>
                <w:color w:val="1F3864"/>
                <w:sz w:val="18"/>
              </w:rPr>
              <w:t xml:space="preserve">Interest: rectified (₹)</w:t>
            </w:r>
          </w:p>
        </w:tc>
        <w:tc>
          <w:tcPr>
            <w:tcW w:type="dxa" w:w="1362"/>
            <w:shd w:val="clear" w:color="auto" w:fill="DCE6F1"/>
          </w:tcPr>
          <w:p>
            <w:pPr>
              <w:pStyle w:val="Compact"/>
              <w:spacing w:before="0" w:after="0" w:line="240" w:lineRule="auto"/>
              <w:jc w:val="left"/>
            </w:pPr>
            <w:r>
              <w:rPr>
                <w:b/>
                <w:color w:val="1F3864"/>
                <w:sz w:val="18"/>
              </w:rPr>
              <w:t xml:space="preserve">Penalty: original (₹)</w:t>
            </w:r>
          </w:p>
        </w:tc>
        <w:tc>
          <w:tcPr>
            <w:tcW w:type="dxa" w:w="1467"/>
            <w:shd w:val="clear" w:color="auto" w:fill="DCE6F1"/>
          </w:tcPr>
          <w:p>
            <w:pPr>
              <w:pStyle w:val="Compact"/>
              <w:spacing w:before="0" w:after="0" w:line="240" w:lineRule="auto"/>
              <w:jc w:val="left"/>
            </w:pPr>
            <w:r>
              <w:rPr>
                <w:b/>
                <w:color w:val="1F3864"/>
                <w:sz w:val="18"/>
              </w:rPr>
              <w:t xml:space="preserve">Penalty: rectified (₹)</w:t>
            </w:r>
          </w:p>
        </w:tc>
      </w:tr>
      <w:tr>
        <w:tc>
          <w:tcPr>
            <w:tcW w:type="dxa" w:w="1048"/>
          </w:tcPr>
          <w:p>
            <w:pPr>
              <w:pStyle w:val="Compact"/>
              <w:spacing w:before="0" w:after="0" w:line="240" w:lineRule="auto"/>
              <w:jc w:val="left"/>
            </w:pPr>
            <w:r>
              <w:rPr>
                <w:sz w:val="18"/>
              </w:rPr>
              <w:t xml:space="preserve">CGST</w:t>
            </w:r>
          </w:p>
        </w:tc>
        <w:tc>
          <w:tcPr>
            <w:tcW w:type="dxa" w:w="1362"/>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362"/>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r>
      <w:tr>
        <w:tc>
          <w:tcPr>
            <w:tcW w:type="dxa" w:w="1048"/>
          </w:tcPr>
          <w:p>
            <w:pPr>
              <w:pStyle w:val="Compact"/>
              <w:spacing w:before="0" w:after="0" w:line="240" w:lineRule="auto"/>
              <w:jc w:val="left"/>
            </w:pPr>
            <w:r>
              <w:rPr>
                <w:sz w:val="18"/>
              </w:rPr>
              <w:t xml:space="preserve">SGST</w:t>
            </w:r>
          </w:p>
        </w:tc>
        <w:tc>
          <w:tcPr>
            <w:tcW w:type="dxa" w:w="1362"/>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362"/>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r>
      <w:tr>
        <w:tc>
          <w:tcPr>
            <w:tcW w:type="dxa" w:w="1048"/>
          </w:tcPr>
          <w:p>
            <w:pPr>
              <w:pStyle w:val="Compact"/>
              <w:spacing w:before="0" w:after="0" w:line="240" w:lineRule="auto"/>
              <w:jc w:val="left"/>
            </w:pPr>
            <w:r>
              <w:rPr>
                <w:sz w:val="18"/>
              </w:rPr>
              <w:t xml:space="preserve">IGST</w:t>
            </w:r>
          </w:p>
        </w:tc>
        <w:tc>
          <w:tcPr>
            <w:tcW w:type="dxa" w:w="1362"/>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c>
          <w:tcPr>
            <w:tcW w:type="dxa" w:w="1362"/>
          </w:tcPr>
          <w:p>
            <w:pPr>
              <w:pStyle w:val="Compact"/>
              <w:spacing w:before="0" w:after="0" w:line="240" w:lineRule="auto"/>
              <w:jc w:val="left"/>
            </w:pPr>
            <w:r>
              <w:rPr>
                <w:sz w:val="18"/>
              </w:rPr>
              <w:t xml:space="preserve">[ ]</w:t>
            </w:r>
          </w:p>
        </w:tc>
        <w:tc>
          <w:tcPr>
            <w:tcW w:type="dxa" w:w="1467"/>
          </w:tcPr>
          <w:p>
            <w:pPr>
              <w:pStyle w:val="Compact"/>
              <w:spacing w:before="0" w:after="0" w:line="240" w:lineRule="auto"/>
              <w:jc w:val="left"/>
            </w:pPr>
            <w:r>
              <w:rPr>
                <w:sz w:val="18"/>
              </w:rPr>
              <w:t xml:space="preserve">[ ]</w:t>
            </w:r>
          </w:p>
        </w:tc>
      </w:tr>
      <w:tr>
        <w:tc>
          <w:tcPr>
            <w:tcW w:type="dxa" w:w="1048"/>
            <w:shd w:val="clear" w:color="auto" w:fill="F2F2F2"/>
          </w:tcPr>
          <w:p>
            <w:pPr>
              <w:pStyle w:val="Compact"/>
              <w:spacing w:before="0" w:after="0" w:line="240" w:lineRule="auto"/>
              <w:jc w:val="left"/>
            </w:pPr>
            <w:r>
              <w:rPr>
                <w:bCs/>
                <w:b/>
                <w:sz w:val="18"/>
              </w:rPr>
              <w:t xml:space="preserve">Total</w:t>
            </w:r>
          </w:p>
        </w:tc>
        <w:tc>
          <w:tcPr>
            <w:tcW w:type="dxa" w:w="1362"/>
            <w:shd w:val="clear" w:color="auto" w:fill="F2F2F2"/>
          </w:tcPr>
          <w:p>
            <w:pPr>
              <w:pStyle w:val="Compact"/>
              <w:spacing w:before="0" w:after="0" w:line="240" w:lineRule="auto"/>
              <w:jc w:val="left"/>
            </w:pPr>
            <w:r>
              <w:rPr>
                <w:bCs/>
                <w:b/>
                <w:sz w:val="18"/>
              </w:rPr>
              <w:t xml:space="preserve">[ ]</w:t>
            </w:r>
          </w:p>
        </w:tc>
        <w:tc>
          <w:tcPr>
            <w:tcW w:type="dxa" w:w="1467"/>
            <w:shd w:val="clear" w:color="auto" w:fill="F2F2F2"/>
          </w:tcPr>
          <w:p>
            <w:pPr>
              <w:pStyle w:val="Compact"/>
              <w:spacing w:before="0" w:after="0" w:line="240" w:lineRule="auto"/>
              <w:jc w:val="left"/>
            </w:pPr>
            <w:r>
              <w:rPr>
                <w:bCs/>
                <w:b/>
                <w:sz w:val="18"/>
              </w:rPr>
              <w:t xml:space="preserve">[ ]</w:t>
            </w:r>
          </w:p>
        </w:tc>
        <w:tc>
          <w:tcPr>
            <w:tcW w:type="dxa" w:w="1467"/>
            <w:shd w:val="clear" w:color="auto" w:fill="F2F2F2"/>
          </w:tcPr>
          <w:p>
            <w:pPr>
              <w:pStyle w:val="Compact"/>
              <w:spacing w:before="0" w:after="0" w:line="240" w:lineRule="auto"/>
              <w:jc w:val="left"/>
            </w:pPr>
            <w:r>
              <w:rPr>
                <w:bCs/>
                <w:b/>
                <w:sz w:val="18"/>
              </w:rPr>
              <w:t xml:space="preserve">[ ]</w:t>
            </w:r>
          </w:p>
        </w:tc>
        <w:tc>
          <w:tcPr>
            <w:tcW w:type="dxa" w:w="1467"/>
            <w:shd w:val="clear" w:color="auto" w:fill="F2F2F2"/>
          </w:tcPr>
          <w:p>
            <w:pPr>
              <w:pStyle w:val="Compact"/>
              <w:spacing w:before="0" w:after="0" w:line="240" w:lineRule="auto"/>
              <w:jc w:val="left"/>
            </w:pPr>
            <w:r>
              <w:rPr>
                <w:bCs/>
                <w:b/>
                <w:sz w:val="18"/>
              </w:rPr>
              <w:t xml:space="preserve">[ ]</w:t>
            </w:r>
          </w:p>
        </w:tc>
        <w:tc>
          <w:tcPr>
            <w:tcW w:type="dxa" w:w="1362"/>
            <w:shd w:val="clear" w:color="auto" w:fill="F2F2F2"/>
          </w:tcPr>
          <w:p>
            <w:pPr>
              <w:pStyle w:val="Compact"/>
              <w:spacing w:before="0" w:after="0" w:line="240" w:lineRule="auto"/>
              <w:jc w:val="left"/>
            </w:pPr>
            <w:r>
              <w:rPr>
                <w:bCs/>
                <w:b/>
                <w:sz w:val="18"/>
              </w:rPr>
              <w:t xml:space="preserve">[ ]</w:t>
            </w:r>
          </w:p>
        </w:tc>
        <w:tc>
          <w:tcPr>
            <w:tcW w:type="dxa" w:w="1467"/>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pPr>
      <w:r>
        <w:t xml:space="preserve">6.3 [Option A] No rectified amount exceeds the amount proposed in the SCN for that issue and head (section 75(7)).</w:t>
      </w:r>
    </w:p>
    <w:p>
      <w:pPr>
        <w:pStyle w:val="BodyText"/>
        <w:keepNext/>
        <w:spacing w:before="240" w:after="80"/>
        <w:pBdr>
          <w:bottom w:val="single" w:sz="6" w:space="1" w:color="B4C6E7"/>
        </w:pBdr>
        <w:jc w:val="center"/>
      </w:pPr>
      <w:r>
        <w:rPr>
          <w:bCs/>
          <w:b/>
          <w:color w:val="1F3864"/>
          <w:sz w:val="25"/>
        </w:rPr>
        <w:t xml:space="preserve">7. ORDER</w:t>
      </w:r>
    </w:p>
    <w:p>
      <w:pPr>
        <w:pStyle w:val="BodyText"/>
        <w:spacing w:before="0" w:after="120" w:line="269" w:lineRule="auto"/>
        <w:jc w:val="both"/>
      </w:pPr>
      <w:r>
        <w:t xml:space="preserve">7.1 [Option A] Under section 161 of the CGST Act, I rectify Order No. [ ] dated [ ] as set out in para 6. The rest of the original order remains unchanged. The summary of this rectification order is uploaded in FORM GST DRC-08 (rule 142(7)), and the electronic liability register is to be updated to the rectified amounts. [The amount of ₹[ ] paid in excess of the rectified demand may be claimed as refund under section 54 / is to be adjusted as provided in the Act.]</w:t>
      </w:r>
    </w:p>
    <w:p>
      <w:pPr>
        <w:pStyle w:val="BodyText"/>
        <w:spacing w:before="0" w:after="120" w:line="269" w:lineRule="auto"/>
        <w:jc w:val="both"/>
      </w:pPr>
      <w:r>
        <w:t xml:space="preserve">7.2 [Option B] For the reasons in paras [3.4 / 4.3], the application dated [ ] for rectification of Order No. [ ] dated [ ] is</w:t>
      </w:r>
      <w:r>
        <w:t xml:space="preserve"> </w:t>
      </w:r>
      <w:r>
        <w:rPr>
          <w:bCs/>
          <w:b/>
        </w:rPr>
        <w:t xml:space="preserve">rejected</w:t>
      </w:r>
      <w:r>
        <w:t xml:space="preserve">. The original order stands.</w:t>
      </w:r>
    </w:p>
    <w:p>
      <w:pPr>
        <w:pStyle w:val="BlockText"/>
        <w:shd w:val="clear" w:color="auto" w:fill="E7E6E6"/>
      </w:pPr>
      <w:r>
        <w:rPr>
          <w:bCs/>
          <w:b/>
          <w:sz w:val="21"/>
        </w:rPr>
        <w:t xml:space="preserve">Drafting note: final check.</w:t>
      </w:r>
      <w:r>
        <w:rPr>
          <w:sz w:val="21"/>
        </w:rPr>
        <w:t xml:space="preserve"> </w:t>
      </w:r>
      <w:r>
        <w:rPr>
          <w:sz w:val="21"/>
        </w:rPr>
        <w:t xml:space="preserve">(1) The error is shown from the record in one or two sentences. (2) Time limits recorded. (3) Hearing given if adverse, including before rejecting an application (third proviso to section 161;</w:t>
      </w:r>
      <w:r>
        <w:rPr>
          <w:sz w:val="21"/>
        </w:rPr>
        <w:t xml:space="preserve"> </w:t>
      </w:r>
      <w:r>
        <w:rPr>
          <w:iCs/>
          <w:i/>
          <w:sz w:val="21"/>
        </w:rPr>
        <w:t xml:space="preserve">Future Consumer</w:t>
      </w:r>
      <w:r>
        <w:rPr>
          <w:sz w:val="21"/>
        </w:rPr>
        <w:t xml:space="preserve">). (4) The DRC-08 figures match para 6.2. (5) DIN/RFN on the order and the DRC-08 (mandatory:</w:t>
      </w:r>
      <w:r>
        <w:rPr>
          <w:sz w:val="21"/>
        </w:rPr>
        <w:t xml:space="preserve"> </w:t>
      </w:r>
      <w:r>
        <w:rPr>
          <w:iCs/>
          <w:i/>
          <w:sz w:val="21"/>
        </w:rPr>
        <w:t xml:space="preserve">Gudla Vanaja</w:t>
      </w:r>
      <w:r>
        <w:rPr>
          <w:sz w:val="21"/>
        </w:rPr>
        <w:t xml:space="preserve">, Telangana HC Full Bench, 30.09.2026, which overruled</w:t>
      </w:r>
      <w:r>
        <w:rPr>
          <w:sz w:val="21"/>
        </w:rPr>
        <w:t xml:space="preserve"> </w:t>
      </w:r>
      <w:r>
        <w:rPr>
          <w:iCs/>
          <w:i/>
          <w:sz w:val="21"/>
        </w:rPr>
        <w:t xml:space="preserve">Bigleap Technologies</w:t>
      </w:r>
      <w:r>
        <w:rPr>
          <w:sz w:val="21"/>
        </w:rPr>
        <w:t xml:space="preserve">); digital signature on the date printed (good practice). (6) If an appeal against the original order is pending, send a copy to the Appellate Authority.</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person affected]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(Review Section), for information [and review under section 107(2)].</w:t>
      </w:r>
    </w:p>
    <w:p>
      <w:pPr>
        <w:numPr>
          <w:ilvl w:val="0"/>
          <w:numId w:val="1002"/>
        </w:numPr>
        <w:pStyle w:val="Compact"/>
        <w:spacing w:before="0" w:after="120" w:line="269" w:lineRule="auto"/>
      </w:pPr>
      <w:r>
        <w:t xml:space="preserve">[The Appellate Authority, where an appeal against the original order is pending.]</w:t>
      </w:r>
    </w:p>
    <w:p>
      <w:pPr>
        <w:numPr>
          <w:ilvl w:val="0"/>
          <w:numId w:val="1002"/>
        </w:numPr>
        <w:pStyle w:val="Compact"/>
        <w:spacing w:before="0" w:after="120" w:line="269" w:lineRule="auto"/>
      </w:pPr>
      <w:r>
        <w:t xml:space="preserve">The Superintendent, [Range], Sangareddy CGST Division, for updating the demand register.</w:t>
      </w:r>
    </w:p>
    <w:p>
      <w:pPr>
        <w:numPr>
          <w:ilvl w:val="0"/>
          <w:numId w:val="1002"/>
        </w:numPr>
        <w:pStyle w:val="Compact"/>
        <w:spacing w:before="0" w:after="120" w:line="269" w:lineRule="auto"/>
      </w:pPr>
      <w:r>
        <w:t xml:space="preserve">Guard file / Office copy.</w:t>
      </w:r>
    </w:p>
    <w:p>
      <w:pPr>
        <w:pStyle w:val="BlockText"/>
        <w:shd w:val="clear" w:color="auto" w:fill="E7E6E6"/>
        <w:spacing w:before="360"/>
      </w:pPr>
      <w:r>
        <w:rPr>
          <w:bCs/>
          <w:b/>
          <w:sz w:val="21"/>
        </w:rPr>
        <w:t xml:space="preserve">How to use this template.</w:t>
      </w:r>
      <w:r>
        <w:rPr>
          <w:sz w:val="21"/>
        </w:rPr>
        <w:t xml:space="preserve"> </w:t>
      </w:r>
      <w:r>
        <w:rPr>
          <w:sz w:val="21"/>
        </w:rPr>
        <w:t xml:space="preserve">Use it to correct an error apparent on the face of the record in an order, notice or other document issued by this office, or to reject an application for rectification with reasons. Section 161 is not a review: it cannot re-decide merits, take in new evidence that needs verification, or create a fresh demand. Keep</w:t>
      </w:r>
      <w:r>
        <w:rPr>
          <w:sz w:val="21"/>
        </w:rPr>
        <w:t xml:space="preserve"> </w:t>
      </w:r>
      <w:r>
        <w:rPr>
          <w:bCs/>
          <w:b/>
          <w:sz w:val="21"/>
        </w:rPr>
        <w:t xml:space="preserve">[Option A]</w:t>
      </w:r>
      <w:r>
        <w:rPr>
          <w:sz w:val="21"/>
        </w:rPr>
        <w:t xml:space="preserve"> </w:t>
      </w:r>
      <w:r>
        <w:rPr>
          <w:sz w:val="21"/>
        </w:rPr>
        <w:t xml:space="preserve">(rectification allowed) or</w:t>
      </w:r>
      <w:r>
        <w:rPr>
          <w:sz w:val="21"/>
        </w:rPr>
        <w:t xml:space="preserve"> </w:t>
      </w:r>
      <w:r>
        <w:rPr>
          <w:bCs/>
          <w:b/>
          <w:sz w:val="21"/>
        </w:rPr>
        <w:t xml:space="preserve">[Option B]</w:t>
      </w:r>
      <w:r>
        <w:rPr>
          <w:sz w:val="21"/>
        </w:rPr>
        <w:t xml:space="preserve"> </w:t>
      </w:r>
      <w:r>
        <w:rPr>
          <w:sz w:val="21"/>
        </w:rPr>
        <w:t xml:space="preserve">(application rejected). Text in [square brackets] is to be filled in or chosen;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signing.</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B4: Rectification order under section 161 (summary in FORM GST DRC-08)</dc:title>
  <dc:creator>Sangareddy CGST Division</dc:creator>
  <cp:keywords/>
  <dcterms:created xsi:type="dcterms:W3CDTF">2026-10-15T02:44:02Z</dcterms:created>
  <dcterms:modified xsi:type="dcterms:W3CDTF">2026-10-15T02:44:02Z</dcterms:modified>
</cp:coreProperties>
</file>

<file path=docProps/custom.xml><?xml version="1.0" encoding="utf-8"?>
<Properties xmlns="http://schemas.openxmlformats.org/officeDocument/2006/custom-properties" xmlns:vt="http://schemas.openxmlformats.org/officeDocument/2006/docPropsVTypes"/>
</file>