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ORDER OF RE-DETERMINATION</w:t>
      </w:r>
      <w:r>
        <w:br/>
      </w:r>
      <w:r>
        <w:t xml:space="preserve">under section 75(2) read with section 73(9) of the Central Goods and Services Tax Act, 2017</w:t>
      </w:r>
      <w:r>
        <w:br/>
      </w:r>
      <w:r>
        <w:t xml:space="preserve">(summary uploaded in FORM GST DRC-07 under rule 142(5) of the CGST Rules, 2017)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081"/>
        <w:gridCol w:w="7557"/>
      </w:tblGrid>
      <w:tr>
        <w:trPr>
          <w:tblHeader w:val="true"/>
          <w:tblHeader/>
        </w:trPr>
        <w:tc>
          <w:tcPr>
            <w:tcW w:type="dxa" w:w="2081"/>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557"/>
            <w:shd w:val="clear" w:color="auto" w:fill="DCE6F1"/>
          </w:tcPr>
          <w:p>
            <w:pPr>
              <w:pStyle w:val="Compact"/>
              <w:spacing w:before="0" w:after="0" w:line="240" w:lineRule="auto"/>
              <w:jc w:val="left"/>
            </w:pPr>
            <w:r>
              <w:rPr>
                <w:b/>
                <w:color w:val="1F3864"/>
                <w:sz w:val="21"/>
              </w:rPr>
              <w:t xml:space="preserve">Details</w:t>
            </w:r>
          </w:p>
        </w:tc>
      </w:tr>
      <w:tr>
        <w:tc>
          <w:tcPr>
            <w:tcW w:type="dxa" w:w="2081"/>
            <w:shd w:val="clear" w:color="auto" w:fill="F5F8FC"/>
          </w:tcPr>
          <w:p>
            <w:pPr>
              <w:pStyle w:val="Compact"/>
              <w:spacing w:before="0" w:after="0" w:line="240" w:lineRule="auto"/>
              <w:jc w:val="left"/>
            </w:pPr>
            <w:r>
              <w:rPr>
                <w:b/>
                <w:sz w:val="21"/>
              </w:rPr>
              <w:t xml:space="preserve">Order No. and date</w:t>
            </w:r>
          </w:p>
        </w:tc>
        <w:tc>
          <w:tcPr>
            <w:tcW w:type="dxa" w:w="7557"/>
          </w:tcPr>
          <w:p>
            <w:pPr>
              <w:pStyle w:val="Compact"/>
              <w:spacing w:before="0" w:after="0" w:line="240" w:lineRule="auto"/>
              <w:jc w:val="left"/>
            </w:pPr>
            <w:r>
              <w:rPr>
                <w:sz w:val="21"/>
              </w:rPr>
              <w:t xml:space="preserve">[ ] dated [DD.MM.YYYY]</w:t>
            </w:r>
          </w:p>
        </w:tc>
      </w:tr>
      <w:tr>
        <w:tc>
          <w:tcPr>
            <w:tcW w:type="dxa" w:w="2081"/>
            <w:shd w:val="clear" w:color="auto" w:fill="F5F8FC"/>
          </w:tcPr>
          <w:p>
            <w:pPr>
              <w:pStyle w:val="Compact"/>
              <w:spacing w:before="0" w:after="0" w:line="240" w:lineRule="auto"/>
              <w:jc w:val="left"/>
            </w:pPr>
            <w:r>
              <w:rPr>
                <w:b/>
                <w:sz w:val="21"/>
              </w:rPr>
              <w:t xml:space="preserve">Reference No. (RFN) / DIN</w:t>
            </w:r>
          </w:p>
        </w:tc>
        <w:tc>
          <w:tcPr>
            <w:tcW w:type="dxa" w:w="7557"/>
          </w:tcPr>
          <w:p>
            <w:pPr>
              <w:pStyle w:val="Compact"/>
              <w:spacing w:before="0" w:after="0" w:line="240" w:lineRule="auto"/>
              <w:jc w:val="left"/>
            </w:pPr>
            <w:r>
              <w:rPr>
                <w:sz w:val="21"/>
              </w:rPr>
              <w:t xml:space="preserve">RFN [ ] of the DRC-07. [DIN [ ] on copies sent by e-mail or post (Circular No. 249/06/2025-GST).]</w:t>
            </w:r>
          </w:p>
        </w:tc>
      </w:tr>
      <w:tr>
        <w:tc>
          <w:tcPr>
            <w:tcW w:type="dxa" w:w="2081"/>
            <w:shd w:val="clear" w:color="auto" w:fill="F5F8FC"/>
          </w:tcPr>
          <w:p>
            <w:pPr>
              <w:pStyle w:val="Compact"/>
              <w:spacing w:before="0" w:after="0" w:line="240" w:lineRule="auto"/>
              <w:jc w:val="left"/>
            </w:pPr>
            <w:r>
              <w:rPr>
                <w:b/>
                <w:sz w:val="21"/>
              </w:rPr>
              <w:t xml:space="preserve">Passed by</w:t>
            </w:r>
          </w:p>
        </w:tc>
        <w:tc>
          <w:tcPr>
            <w:tcW w:type="dxa" w:w="7557"/>
          </w:tcPr>
          <w:p>
            <w:pPr>
              <w:pStyle w:val="Compact"/>
              <w:spacing w:before="0" w:after="0" w:line="240" w:lineRule="auto"/>
              <w:jc w:val="left"/>
            </w:pPr>
            <w:r>
              <w:rPr>
                <w:sz w:val="21"/>
              </w:rPr>
              <w:t xml:space="preserve">Dr. B. Santosh Kumar, Assistant Commissioner of Central Tax, Sangareddy CGST Division, Medchal CGST Commissionerate</w:t>
            </w:r>
          </w:p>
        </w:tc>
      </w:tr>
      <w:tr>
        <w:tc>
          <w:tcPr>
            <w:tcW w:type="dxa" w:w="2081"/>
            <w:shd w:val="clear" w:color="auto" w:fill="F5F8FC"/>
          </w:tcPr>
          <w:p>
            <w:pPr>
              <w:pStyle w:val="Compact"/>
              <w:spacing w:before="0" w:after="0" w:line="240" w:lineRule="auto"/>
              <w:jc w:val="left"/>
            </w:pPr>
            <w:r>
              <w:rPr>
                <w:b/>
                <w:sz w:val="21"/>
              </w:rPr>
              <w:t xml:space="preserve">Noticee</w:t>
            </w:r>
          </w:p>
        </w:tc>
        <w:tc>
          <w:tcPr>
            <w:tcW w:type="dxa" w:w="7557"/>
          </w:tcPr>
          <w:p>
            <w:pPr>
              <w:pStyle w:val="Compact"/>
              <w:spacing w:before="0" w:after="0" w:line="240" w:lineRule="auto"/>
              <w:jc w:val="left"/>
            </w:pPr>
            <w:r>
              <w:rPr>
                <w:sz w:val="21"/>
              </w:rPr>
              <w:t xml:space="preserve">[Legal name] ([trade name]), GSTIN [ ], [address]</w:t>
            </w:r>
          </w:p>
        </w:tc>
      </w:tr>
      <w:tr>
        <w:tc>
          <w:tcPr>
            <w:tcW w:type="dxa" w:w="2081"/>
            <w:shd w:val="clear" w:color="auto" w:fill="F5F8FC"/>
          </w:tcPr>
          <w:p>
            <w:pPr>
              <w:pStyle w:val="Compact"/>
              <w:spacing w:before="0" w:after="0" w:line="240" w:lineRule="auto"/>
              <w:jc w:val="left"/>
            </w:pPr>
            <w:r>
              <w:rPr>
                <w:b/>
                <w:sz w:val="21"/>
              </w:rPr>
              <w:t xml:space="preserve">Section 74 SCN</w:t>
            </w:r>
          </w:p>
        </w:tc>
        <w:tc>
          <w:tcPr>
            <w:tcW w:type="dxa" w:w="7557"/>
          </w:tcPr>
          <w:p>
            <w:pPr>
              <w:pStyle w:val="Compact"/>
              <w:spacing w:before="0" w:after="0" w:line="240" w:lineRule="auto"/>
              <w:jc w:val="left"/>
            </w:pPr>
            <w:r>
              <w:rPr>
                <w:sz w:val="21"/>
              </w:rPr>
              <w:t xml:space="preserve">SCN No. [ ] dated [DD.MM.YYYY] (DRC-01 reference [ ]) for FY [ ]</w:t>
            </w:r>
          </w:p>
        </w:tc>
      </w:tr>
      <w:tr>
        <w:tc>
          <w:tcPr>
            <w:tcW w:type="dxa" w:w="2081"/>
            <w:shd w:val="clear" w:color="auto" w:fill="F5F8FC"/>
          </w:tcPr>
          <w:p>
            <w:pPr>
              <w:pStyle w:val="Compact"/>
              <w:spacing w:before="0" w:after="0" w:line="240" w:lineRule="auto"/>
              <w:jc w:val="left"/>
            </w:pPr>
            <w:r>
              <w:rPr>
                <w:b/>
                <w:sz w:val="21"/>
              </w:rPr>
              <w:t xml:space="preserve">Original order</w:t>
            </w:r>
          </w:p>
        </w:tc>
        <w:tc>
          <w:tcPr>
            <w:tcW w:type="dxa" w:w="7557"/>
          </w:tcPr>
          <w:p>
            <w:pPr>
              <w:pStyle w:val="Compact"/>
              <w:spacing w:before="0" w:after="0" w:line="240" w:lineRule="auto"/>
              <w:jc w:val="left"/>
            </w:pPr>
            <w:r>
              <w:rPr>
                <w:sz w:val="21"/>
              </w:rPr>
              <w:t xml:space="preserve">Order-in-Original No. [ ] dated [DD.MM.YYYY] under section 74(9)</w:t>
            </w:r>
          </w:p>
        </w:tc>
      </w:tr>
      <w:tr>
        <w:tc>
          <w:tcPr>
            <w:tcW w:type="dxa" w:w="2081"/>
            <w:shd w:val="clear" w:color="auto" w:fill="F5F8FC"/>
          </w:tcPr>
          <w:p>
            <w:pPr>
              <w:pStyle w:val="Compact"/>
              <w:spacing w:before="0" w:after="0" w:line="240" w:lineRule="auto"/>
              <w:jc w:val="left"/>
            </w:pPr>
            <w:r>
              <w:rPr>
                <w:b/>
                <w:sz w:val="21"/>
              </w:rPr>
              <w:t xml:space="preserve">Appellate / Tribunal / court order</w:t>
            </w:r>
          </w:p>
        </w:tc>
        <w:tc>
          <w:tcPr>
            <w:tcW w:type="dxa" w:w="7557"/>
          </w:tcPr>
          <w:p>
            <w:pPr>
              <w:pStyle w:val="Compact"/>
              <w:spacing w:before="0" w:after="0" w:line="240" w:lineRule="auto"/>
              <w:jc w:val="left"/>
            </w:pPr>
            <w:r>
              <w:rPr>
                <w:sz w:val="21"/>
              </w:rPr>
              <w:t xml:space="preserve">[Order-in-Appeal No. [ ] dated [ ] of [authority] / Order No. [ ] dated [ ] of the GST Appellate Tribunal, [Bench] / Judgment dated [ ] in [W.P. / Appeal No.] of the Hon’ble [court]]</w:t>
            </w:r>
          </w:p>
        </w:tc>
      </w:tr>
      <w:tr>
        <w:tc>
          <w:tcPr>
            <w:tcW w:type="dxa" w:w="2081"/>
            <w:shd w:val="clear" w:color="auto" w:fill="F5F8FC"/>
          </w:tcPr>
          <w:p>
            <w:pPr>
              <w:pStyle w:val="Compact"/>
              <w:spacing w:before="0" w:after="0" w:line="240" w:lineRule="auto"/>
              <w:jc w:val="left"/>
            </w:pPr>
            <w:r>
              <w:rPr>
                <w:b/>
                <w:sz w:val="21"/>
              </w:rPr>
              <w:t xml:space="preserve">Date of communication of that order to this office</w:t>
            </w:r>
          </w:p>
        </w:tc>
        <w:tc>
          <w:tcPr>
            <w:tcW w:type="dxa" w:w="7557"/>
          </w:tcPr>
          <w:p>
            <w:pPr>
              <w:pStyle w:val="Compact"/>
              <w:spacing w:before="0" w:after="0" w:line="240" w:lineRule="auto"/>
              <w:jc w:val="left"/>
            </w:pPr>
            <w:r>
              <w:rPr>
                <w:sz w:val="21"/>
              </w:rPr>
              <w:t xml:space="preserve">[DD.MM.YYYY]</w:t>
            </w:r>
          </w:p>
        </w:tc>
      </w:tr>
      <w:tr>
        <w:tc>
          <w:tcPr>
            <w:tcW w:type="dxa" w:w="2081"/>
            <w:shd w:val="clear" w:color="auto" w:fill="F5F8FC"/>
          </w:tcPr>
          <w:p>
            <w:pPr>
              <w:pStyle w:val="Compact"/>
              <w:spacing w:before="0" w:after="0" w:line="240" w:lineRule="auto"/>
              <w:jc w:val="left"/>
            </w:pPr>
            <w:r>
              <w:rPr>
                <w:b/>
                <w:sz w:val="21"/>
              </w:rPr>
              <w:t xml:space="preserve">Last date for this order</w:t>
            </w:r>
          </w:p>
        </w:tc>
        <w:tc>
          <w:tcPr>
            <w:tcW w:type="dxa" w:w="7557"/>
          </w:tcPr>
          <w:p>
            <w:pPr>
              <w:pStyle w:val="Compact"/>
              <w:spacing w:before="0" w:after="0" w:line="240" w:lineRule="auto"/>
              <w:jc w:val="left"/>
            </w:pPr>
            <w:r>
              <w:rPr>
                <w:sz w:val="21"/>
              </w:rPr>
              <w:t xml:space="preserve">[DD.MM.YYYY], two years from that communication (section 75(3))</w:t>
            </w:r>
          </w:p>
        </w:tc>
      </w:tr>
      <w:tr>
        <w:tc>
          <w:tcPr>
            <w:tcW w:type="dxa" w:w="2081"/>
            <w:shd w:val="clear" w:color="auto" w:fill="F5F8FC"/>
          </w:tcPr>
          <w:p>
            <w:pPr>
              <w:pStyle w:val="Compact"/>
              <w:spacing w:before="0" w:after="0" w:line="240" w:lineRule="auto"/>
              <w:jc w:val="left"/>
            </w:pPr>
            <w:r>
              <w:rPr>
                <w:b/>
                <w:sz w:val="21"/>
              </w:rPr>
              <w:t xml:space="preserve">Result</w:t>
            </w:r>
          </w:p>
        </w:tc>
        <w:tc>
          <w:tcPr>
            <w:tcW w:type="dxa" w:w="7557"/>
          </w:tcPr>
          <w:p>
            <w:pPr>
              <w:pStyle w:val="Compact"/>
              <w:spacing w:before="0" w:after="0" w:line="240" w:lineRule="auto"/>
              <w:jc w:val="left"/>
            </w:pPr>
            <w:r>
              <w:rPr>
                <w:sz w:val="21"/>
              </w:rPr>
              <w:t xml:space="preserve">Tax re-determined at ₹[ ]; penalty under section 73(9) ₹[ ]; [year(s) [ ] dropped as outside the section 73 time limits]</w:t>
            </w:r>
          </w:p>
        </w:tc>
      </w:tr>
    </w:tbl>
    <w:p>
      <w:pPr>
        <w:pStyle w:val="BodyText"/>
        <w:keepNext/>
        <w:spacing w:before="240" w:after="80"/>
        <w:pBdr>
          <w:bottom w:val="single" w:sz="6" w:space="1" w:color="B4C6E7"/>
        </w:pBdr>
        <w:jc w:val="center"/>
      </w:pPr>
      <w:r>
        <w:rPr>
          <w:bCs/>
          <w:b/>
          <w:color w:val="1F3864"/>
          <w:sz w:val="25"/>
        </w:rPr>
        <w:t xml:space="preserve">IMPORTANT NOTE FOR THE NOTICEE</w:t>
      </w:r>
    </w:p>
    <w:p>
      <w:pPr>
        <w:numPr>
          <w:ilvl w:val="0"/>
          <w:numId w:val="1001"/>
        </w:numPr>
        <w:pStyle w:val="Compact"/>
        <w:spacing w:before="0" w:after="120" w:line="269" w:lineRule="auto"/>
      </w:pPr>
      <w:r>
        <w:t xml:space="preserve">Any person aggrieved by this order may appeal under section 107(1) of the Central Goods and Services Tax Act, 2017 (the CGST Act) to the Appellate Authority, the Commissioner (Appeals-II), Hyderabad, Headquarters Office, 7th Floor, L.B. Stadium Road, Basheerbagh, Hyderabad – 500 004 (rule 109A(1)(b) of the CGST Rules, 2017), within</w:t>
      </w:r>
      <w:r>
        <w:t xml:space="preserve"> </w:t>
      </w:r>
      <w:r>
        <w:rPr>
          <w:bCs/>
          <w:b/>
        </w:rPr>
        <w:t xml:space="preserve">three months</w:t>
      </w:r>
      <w:r>
        <w:t xml:space="preserve"> </w:t>
      </w:r>
      <w:r>
        <w:t xml:space="preserve">from the date on which this order is communicated, extendable by</w:t>
      </w:r>
      <w:r>
        <w:t xml:space="preserve"> </w:t>
      </w:r>
      <w:r>
        <w:rPr>
          <w:bCs/>
          <w:b/>
        </w:rPr>
        <w:t xml:space="preserve">one month</w:t>
      </w:r>
      <w:r>
        <w:t xml:space="preserve"> </w:t>
      </w:r>
      <w:r>
        <w:t xml:space="preserve">for sufficient cause (section 107(4)), electronically in FORM GST APL-01 (rule 108).</w:t>
      </w:r>
    </w:p>
    <w:p>
      <w:pPr>
        <w:numPr>
          <w:ilvl w:val="0"/>
          <w:numId w:val="1001"/>
        </w:numPr>
        <w:pStyle w:val="Compact"/>
        <w:spacing w:before="0" w:after="120" w:line="269" w:lineRule="auto"/>
      </w:pPr>
      <w:r>
        <w:rPr>
          <w:bCs/>
          <w:b/>
        </w:rPr>
        <w:t xml:space="preserve">Pre-deposit (section 107(6)).</w:t>
      </w:r>
      <w:r>
        <w:t xml:space="preserve"> </w:t>
      </w:r>
      <w:r>
        <w:t xml:space="preserve">No appeal can be filed unless the appellant has paid (a) in full, the admitted part of the tax, interest, fine, fee and penalty arising from this order; and (b) ten per cent of the remaining tax in dispute, subject to a maximum of twenty crore rupees. [An amount already paid as pre-deposit in the earlier appeal against the original order, and not refunded, is shown in para 7.]</w:t>
      </w:r>
    </w:p>
    <w:p>
      <w:pPr>
        <w:numPr>
          <w:ilvl w:val="0"/>
          <w:numId w:val="1001"/>
        </w:numPr>
        <w:pStyle w:val="Compact"/>
        <w:spacing w:before="0" w:after="120" w:line="269" w:lineRule="auto"/>
      </w:pPr>
      <w:r>
        <w:t xml:space="preserve">[Only for tax periods from 01.07.2017 to 31.03.2020] As this order is passed under section 75(2) on a notice issued under section 74(1), it is treated as an order referred to in section 128A(1)(b) (first proviso to section 128A(1)). The noticee may apply for waiver of interest and penalty under section 128A, subject to the conditions of that section and rule 164, by paying the full tax and applying within the time notified (six months from the date of this order: Notification No. 21/2024-Central Tax; proviso to rule 164(6)).</w:t>
      </w:r>
    </w:p>
    <w:p>
      <w:pPr>
        <w:numPr>
          <w:ilvl w:val="0"/>
          <w:numId w:val="1001"/>
        </w:numPr>
        <w:pStyle w:val="Compact"/>
        <w:spacing w:before="0" w:after="120" w:line="269" w:lineRule="auto"/>
      </w:pPr>
      <w:r>
        <w:t xml:space="preserve">This order is passed under the CGST Act and the corresponding provisions of the Telangana Goods and Services Tax Act, 2017 and the Integrated Goods and Services Tax Act, 2017, as applicable.</w:t>
      </w:r>
    </w:p>
    <w:p>
      <w:pPr>
        <w:pStyle w:val="FirstParagraph"/>
        <w:keepNext/>
        <w:spacing w:before="240" w:after="80"/>
        <w:pBdr>
          <w:bottom w:val="single" w:sz="6" w:space="1" w:color="B4C6E7"/>
        </w:pBdr>
      </w:pPr>
      <w:r>
        <w:rPr>
          <w:bCs/>
          <w:b/>
          <w:color w:val="1F3864"/>
          <w:sz w:val="25"/>
        </w:rPr>
        <w:t xml:space="preserve">1. Authority to pass this order</w:t>
      </w:r>
    </w:p>
    <w:p>
      <w:pPr>
        <w:pStyle w:val="BodyText"/>
        <w:spacing w:before="0" w:after="120" w:line="269" w:lineRule="auto"/>
        <w:jc w:val="both"/>
      </w:pPr>
      <w:r>
        <w:t xml:space="preserve">1.1 Under section 75(2), where an appellate authority, Tribunal or court concludes that a notice under section 74(1) is not sustainable because the charge of fraud, wilful misstatement or suppression of facts to evade tax is not established, the proper officer shall determine the tax payable as if the notice were issued under section 73(1). The proper officer for this re-determination is the officer who adjudicated the section 74 notice (para 6 of Circular No. 254/11/2025-GST). The original order was passed by [the undersigned / the [designation] of this Division, whose post the undersigned now holds].</w:t>
      </w:r>
    </w:p>
    <w:p>
      <w:pPr>
        <w:pStyle w:val="BodyText"/>
        <w:spacing w:before="0" w:after="120" w:line="269" w:lineRule="auto"/>
        <w:jc w:val="both"/>
      </w:pPr>
      <w:r>
        <w:t xml:space="preserve">1.2 Neither the first Appellate Authority nor the Tribunal itself confirms a section 73 demand in such a case; that is for the proper officer (</w:t>
      </w:r>
      <w:r>
        <w:rPr>
          <w:iCs/>
          <w:i/>
        </w:rPr>
        <w:t xml:space="preserve">Sterling &amp; Wilson Pvt Ltd v. Commissioner, Odisha</w:t>
      </w:r>
      <w:r>
        <w:t xml:space="preserve">, GSTAT Principal Bench, 11.02.2026, APL/1/PB/2026).</w:t>
      </w:r>
    </w:p>
    <w:p>
      <w:pPr>
        <w:pStyle w:val="BodyText"/>
        <w:keepNext/>
        <w:spacing w:before="240" w:after="80"/>
        <w:pBdr>
          <w:bottom w:val="single" w:sz="6" w:space="1" w:color="B4C6E7"/>
        </w:pBdr>
      </w:pPr>
      <w:r>
        <w:rPr>
          <w:bCs/>
          <w:b/>
          <w:color w:val="1F3864"/>
          <w:sz w:val="25"/>
        </w:rPr>
        <w:t xml:space="preserve">2. Background</w:t>
      </w:r>
    </w:p>
    <w:p>
      <w:pPr>
        <w:pStyle w:val="BodyText"/>
        <w:spacing w:before="0" w:after="120" w:line="269" w:lineRule="auto"/>
        <w:jc w:val="both"/>
      </w:pPr>
      <w:r>
        <w:t xml:space="preserve">2.1 SCN No. [ ] dated [ ] was issued under section 74(1) for FY [ ], proposing tax of ₹[ ] on [issues], with interest and a penalty equal to the tax. By Order-in-Original No. [ ] dated [ ], the undersigned [confirmed ₹[ ] / confirmed ₹[ ] and dropped ₹[ ]].</w:t>
      </w:r>
    </w:p>
    <w:p>
      <w:pPr>
        <w:pStyle w:val="BodyText"/>
        <w:spacing w:before="0" w:after="120" w:line="269" w:lineRule="auto"/>
        <w:jc w:val="both"/>
      </w:pPr>
      <w:r>
        <w:t xml:space="preserve">2.2 On the noticee’s appeal, [authority] by [order] dated [ ] held that [quote or closely summarise the operative finding: for example,</w:t>
      </w:r>
      <w:r>
        <w:t xml:space="preserve"> </w:t>
      </w:r>
      <w:r>
        <w:t xml:space="preserve">“</w:t>
      </w:r>
      <w:r>
        <w:t xml:space="preserve">the charge of suppression of facts with intent to evade tax is not established, because the noticee had declared the transactions in its GSTR-1 and the issue was one of interpretation</w:t>
      </w:r>
      <w:r>
        <w:t xml:space="preserve">”</w:t>
      </w:r>
      <w:r>
        <w:t xml:space="preserve">]. [It upheld / did not decide / set aside] the finding on the merits of the tax on [issues]. It directed [quote the direction, if any].</w:t>
      </w:r>
    </w:p>
    <w:p>
      <w:pPr>
        <w:pStyle w:val="BodyText"/>
        <w:spacing w:before="0" w:after="120" w:line="269" w:lineRule="auto"/>
        <w:jc w:val="both"/>
      </w:pPr>
      <w:r>
        <w:t xml:space="preserve">2.3 That order was communicated to this office on [date] [and has not been challenged by the department / the department’s review under section 107(2) / appeal under section 112(3) was [not filed / disposed of on [ ]]].</w:t>
      </w:r>
    </w:p>
    <w:p>
      <w:pPr>
        <w:pStyle w:val="BlockText"/>
        <w:shd w:val="clear" w:color="auto" w:fill="E7E6E6"/>
      </w:pPr>
      <w:r>
        <w:rPr>
          <w:bCs/>
          <w:b/>
          <w:sz w:val="21"/>
        </w:rPr>
        <w:t xml:space="preserve">Drafting note:</w:t>
      </w:r>
      <w:r>
        <w:rPr>
          <w:sz w:val="21"/>
        </w:rPr>
        <w:t xml:space="preserve"> </w:t>
      </w:r>
      <w:r>
        <w:rPr>
          <w:sz w:val="21"/>
        </w:rPr>
        <w:t xml:space="preserve">read the appellate order with care. If it set aside the tax on merits, there is nothing to re-determine on that issue. If it held only that fraud was not proved, the merits stand as found in the original order, unless the appellate order disturbed them. Do not reopen findings in the noticee’s favour, and do not decide any issue the appellate order did not leave for re-determination.</w:t>
      </w:r>
    </w:p>
    <w:p>
      <w:pPr>
        <w:pStyle w:val="FirstParagraph"/>
        <w:keepNext/>
        <w:spacing w:before="240" w:after="80"/>
        <w:pBdr>
          <w:bottom w:val="single" w:sz="6" w:space="1" w:color="B4C6E7"/>
        </w:pBdr>
      </w:pPr>
      <w:r>
        <w:rPr>
          <w:bCs/>
          <w:b/>
          <w:color w:val="1F3864"/>
          <w:sz w:val="25"/>
        </w:rPr>
        <w:t xml:space="preserve">3. Time limits</w:t>
      </w:r>
    </w:p>
    <w:p>
      <w:pPr>
        <w:pStyle w:val="BodyText"/>
        <w:spacing w:before="0" w:after="120" w:line="269" w:lineRule="auto"/>
        <w:jc w:val="both"/>
      </w:pPr>
      <w:r>
        <w:t xml:space="preserve">3.1</w:t>
      </w:r>
      <w:r>
        <w:t xml:space="preserve"> </w:t>
      </w:r>
      <w:r>
        <w:rPr>
          <w:bCs/>
          <w:b/>
        </w:rPr>
        <w:t xml:space="preserve">For this order.</w:t>
      </w:r>
      <w:r>
        <w:t xml:space="preserve"> </w:t>
      </w:r>
      <w:r>
        <w:t xml:space="preserve">This order must issue within two years from the date the direction was communicated (section 75(3)): that is, by [date]. It is issued on [date].</w:t>
      </w:r>
    </w:p>
    <w:p>
      <w:pPr>
        <w:pStyle w:val="BodyText"/>
        <w:spacing w:before="0" w:after="120" w:line="269" w:lineRule="auto"/>
        <w:jc w:val="both"/>
      </w:pPr>
      <w:r>
        <w:t xml:space="preserve">3.2</w:t>
      </w:r>
      <w:r>
        <w:t xml:space="preserve"> </w:t>
      </w:r>
      <w:r>
        <w:rPr>
          <w:bCs/>
          <w:b/>
        </w:rPr>
        <w:t xml:space="preserve">Which years survive (Circular No. 185/17/2022-GST).</w:t>
      </w:r>
      <w:r>
        <w:t xml:space="preserve"> </w:t>
      </w:r>
      <w:r>
        <w:t xml:space="preserve">The notice is deemed to be under section 73(1) only where it was issued within the time limit for a section 73 notice: at least three months before the section 73(10) date for that year, that is, within two years and nine months from the due date of the annual return (or the date of erroneous refund). Year by year:</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63"/>
        <w:gridCol w:w="1169"/>
        <w:gridCol w:w="2587"/>
        <w:gridCol w:w="1949"/>
        <w:gridCol w:w="1276"/>
        <w:gridCol w:w="1595"/>
      </w:tblGrid>
      <w:tr>
        <w:trPr>
          <w:tblHeader w:val="true"/>
          <w:tblHeader/>
        </w:trPr>
        <w:tc>
          <w:tcPr>
            <w:tcW w:type="dxa" w:w="1063"/>
            <w:shd w:val="clear" w:color="auto" w:fill="DCE6F1"/>
          </w:tcPr>
          <w:p>
            <w:pPr>
              <w:pStyle w:val="Compact"/>
              <w:spacing w:before="0" w:after="0" w:line="240" w:lineRule="auto"/>
              <w:jc w:val="left"/>
            </w:pPr>
            <w:r>
              <w:rPr>
                <w:b/>
                <w:color w:val="1F3864"/>
                <w:sz w:val="21"/>
              </w:rPr>
              <w:t xml:space="preserve">FY</w:t>
            </w:r>
          </w:p>
        </w:tc>
        <w:tc>
          <w:tcPr>
            <w:tcW w:type="dxa" w:w="1169"/>
            <w:shd w:val="clear" w:color="auto" w:fill="DCE6F1"/>
          </w:tcPr>
          <w:p>
            <w:pPr>
              <w:pStyle w:val="Compact"/>
              <w:spacing w:before="0" w:after="0" w:line="240" w:lineRule="auto"/>
              <w:jc w:val="left"/>
            </w:pPr>
            <w:r>
              <w:rPr>
                <w:b/>
                <w:color w:val="1F3864"/>
                <w:sz w:val="21"/>
              </w:rPr>
              <w:t xml:space="preserve">Annual return due date</w:t>
            </w:r>
          </w:p>
        </w:tc>
        <w:tc>
          <w:tcPr>
            <w:tcW w:type="dxa" w:w="2587"/>
            <w:shd w:val="clear" w:color="auto" w:fill="DCE6F1"/>
          </w:tcPr>
          <w:p>
            <w:pPr>
              <w:pStyle w:val="Compact"/>
              <w:spacing w:before="0" w:after="0" w:line="240" w:lineRule="auto"/>
              <w:jc w:val="left"/>
            </w:pPr>
            <w:r>
              <w:rPr>
                <w:b/>
                <w:color w:val="1F3864"/>
                <w:sz w:val="21"/>
              </w:rPr>
              <w:t xml:space="preserve">Section 73(10) date [as extended, if any]</w:t>
            </w:r>
          </w:p>
        </w:tc>
        <w:tc>
          <w:tcPr>
            <w:tcW w:type="dxa" w:w="1949"/>
            <w:shd w:val="clear" w:color="auto" w:fill="DCE6F1"/>
          </w:tcPr>
          <w:p>
            <w:pPr>
              <w:pStyle w:val="Compact"/>
              <w:spacing w:before="0" w:after="0" w:line="240" w:lineRule="auto"/>
              <w:jc w:val="left"/>
            </w:pPr>
            <w:r>
              <w:rPr>
                <w:b/>
                <w:color w:val="1F3864"/>
                <w:sz w:val="21"/>
              </w:rPr>
              <w:t xml:space="preserve">Last date for a section 73 notice (section 73(2))</w:t>
            </w:r>
          </w:p>
        </w:tc>
        <w:tc>
          <w:tcPr>
            <w:tcW w:type="dxa" w:w="1276"/>
            <w:shd w:val="clear" w:color="auto" w:fill="DCE6F1"/>
          </w:tcPr>
          <w:p>
            <w:pPr>
              <w:pStyle w:val="Compact"/>
              <w:spacing w:before="0" w:after="0" w:line="240" w:lineRule="auto"/>
              <w:jc w:val="left"/>
            </w:pPr>
            <w:r>
              <w:rPr>
                <w:b/>
                <w:color w:val="1F3864"/>
                <w:sz w:val="21"/>
              </w:rPr>
              <w:t xml:space="preserve">Date of the section 74 SCN</w:t>
            </w:r>
          </w:p>
        </w:tc>
        <w:tc>
          <w:tcPr>
            <w:tcW w:type="dxa" w:w="1595"/>
            <w:shd w:val="clear" w:color="auto" w:fill="DCE6F1"/>
          </w:tcPr>
          <w:p>
            <w:pPr>
              <w:pStyle w:val="Compact"/>
              <w:spacing w:before="0" w:after="0" w:line="240" w:lineRule="auto"/>
              <w:jc w:val="left"/>
            </w:pPr>
            <w:r>
              <w:rPr>
                <w:b/>
                <w:color w:val="1F3864"/>
                <w:sz w:val="21"/>
              </w:rPr>
              <w:t xml:space="preserve">Within section 73 limits?</w:t>
            </w:r>
          </w:p>
        </w:tc>
      </w:tr>
      <w:tr>
        <w:tc>
          <w:tcPr>
            <w:tcW w:type="dxa" w:w="1063"/>
          </w:tcPr>
          <w:p>
            <w:pPr>
              <w:pStyle w:val="Compact"/>
              <w:spacing w:before="0" w:after="0" w:line="240" w:lineRule="auto"/>
              <w:jc w:val="left"/>
            </w:pPr>
            <w:r>
              <w:rPr>
                <w:sz w:val="21"/>
              </w:rPr>
              <w:t xml:space="preserve">[ ]</w:t>
            </w:r>
          </w:p>
        </w:tc>
        <w:tc>
          <w:tcPr>
            <w:tcW w:type="dxa" w:w="1169"/>
          </w:tcPr>
          <w:p>
            <w:pPr>
              <w:pStyle w:val="Compact"/>
              <w:spacing w:before="0" w:after="0" w:line="240" w:lineRule="auto"/>
              <w:jc w:val="left"/>
            </w:pPr>
            <w:r>
              <w:rPr>
                <w:sz w:val="21"/>
              </w:rPr>
              <w:t xml:space="preserve">[ ]</w:t>
            </w:r>
          </w:p>
        </w:tc>
        <w:tc>
          <w:tcPr>
            <w:tcW w:type="dxa" w:w="2587"/>
          </w:tcPr>
          <w:p>
            <w:pPr>
              <w:pStyle w:val="Compact"/>
              <w:spacing w:before="0" w:after="0" w:line="240" w:lineRule="auto"/>
              <w:jc w:val="left"/>
            </w:pPr>
            <w:r>
              <w:rPr>
                <w:sz w:val="21"/>
              </w:rPr>
              <w:t xml:space="preserve">[ ] [Notification No. [ ]-CT]</w:t>
            </w:r>
          </w:p>
        </w:tc>
        <w:tc>
          <w:tcPr>
            <w:tcW w:type="dxa" w:w="1949"/>
          </w:tcPr>
          <w:p>
            <w:pPr>
              <w:pStyle w:val="Compact"/>
              <w:spacing w:before="0" w:after="0" w:line="240" w:lineRule="auto"/>
              <w:jc w:val="left"/>
            </w:pPr>
            <w:r>
              <w:rPr>
                <w:sz w:val="21"/>
              </w:rPr>
              <w:t xml:space="preserve">[ ]</w:t>
            </w:r>
          </w:p>
        </w:tc>
        <w:tc>
          <w:tcPr>
            <w:tcW w:type="dxa" w:w="1276"/>
          </w:tcPr>
          <w:p>
            <w:pPr>
              <w:pStyle w:val="Compact"/>
              <w:spacing w:before="0" w:after="0" w:line="240" w:lineRule="auto"/>
              <w:jc w:val="left"/>
            </w:pPr>
            <w:r>
              <w:rPr>
                <w:sz w:val="21"/>
              </w:rPr>
              <w:t xml:space="preserve">[ ]</w:t>
            </w:r>
          </w:p>
        </w:tc>
        <w:tc>
          <w:tcPr>
            <w:tcW w:type="dxa" w:w="1595"/>
          </w:tcPr>
          <w:p>
            <w:pPr>
              <w:pStyle w:val="Compact"/>
              <w:spacing w:before="0" w:after="0" w:line="240" w:lineRule="auto"/>
              <w:jc w:val="left"/>
            </w:pPr>
            <w:r>
              <w:rPr>
                <w:sz w:val="21"/>
              </w:rPr>
              <w:t xml:space="preserve">[Yes / No]</w:t>
            </w:r>
          </w:p>
        </w:tc>
      </w:tr>
      <w:tr>
        <w:tc>
          <w:tcPr>
            <w:tcW w:type="dxa" w:w="1063"/>
          </w:tcPr>
          <w:p>
            <w:pPr>
              <w:pStyle w:val="Compact"/>
              <w:spacing w:before="0" w:after="0" w:line="240" w:lineRule="auto"/>
              <w:jc w:val="left"/>
            </w:pPr>
            <w:r>
              <w:rPr>
                <w:sz w:val="21"/>
              </w:rPr>
              <w:t xml:space="preserve">[ ]</w:t>
            </w:r>
          </w:p>
        </w:tc>
        <w:tc>
          <w:tcPr>
            <w:tcW w:type="dxa" w:w="1169"/>
          </w:tcPr>
          <w:p>
            <w:pPr>
              <w:pStyle w:val="Compact"/>
              <w:spacing w:before="0" w:after="0" w:line="240" w:lineRule="auto"/>
              <w:jc w:val="left"/>
            </w:pPr>
            <w:r>
              <w:rPr>
                <w:sz w:val="21"/>
              </w:rPr>
              <w:t xml:space="preserve">[ ]</w:t>
            </w:r>
          </w:p>
        </w:tc>
        <w:tc>
          <w:tcPr>
            <w:tcW w:type="dxa" w:w="2587"/>
          </w:tcPr>
          <w:p>
            <w:pPr>
              <w:pStyle w:val="Compact"/>
              <w:spacing w:before="0" w:after="0" w:line="240" w:lineRule="auto"/>
              <w:jc w:val="left"/>
            </w:pPr>
            <w:r>
              <w:rPr>
                <w:sz w:val="21"/>
              </w:rPr>
              <w:t xml:space="preserve">[ ]</w:t>
            </w:r>
          </w:p>
        </w:tc>
        <w:tc>
          <w:tcPr>
            <w:tcW w:type="dxa" w:w="1949"/>
          </w:tcPr>
          <w:p>
            <w:pPr>
              <w:pStyle w:val="Compact"/>
              <w:spacing w:before="0" w:after="0" w:line="240" w:lineRule="auto"/>
              <w:jc w:val="left"/>
            </w:pPr>
            <w:r>
              <w:rPr>
                <w:sz w:val="21"/>
              </w:rPr>
              <w:t xml:space="preserve">[ ]</w:t>
            </w:r>
          </w:p>
        </w:tc>
        <w:tc>
          <w:tcPr>
            <w:tcW w:type="dxa" w:w="1276"/>
          </w:tcPr>
          <w:p>
            <w:pPr>
              <w:pStyle w:val="Compact"/>
              <w:spacing w:before="0" w:after="0" w:line="240" w:lineRule="auto"/>
              <w:jc w:val="left"/>
            </w:pPr>
            <w:r>
              <w:rPr>
                <w:sz w:val="21"/>
              </w:rPr>
              <w:t xml:space="preserve">[ ]</w:t>
            </w:r>
          </w:p>
        </w:tc>
        <w:tc>
          <w:tcPr>
            <w:tcW w:type="dxa" w:w="1595"/>
          </w:tcPr>
          <w:p>
            <w:pPr>
              <w:pStyle w:val="Compact"/>
              <w:spacing w:before="0" w:after="0" w:line="240" w:lineRule="auto"/>
              <w:jc w:val="left"/>
            </w:pPr>
            <w:r>
              <w:rPr>
                <w:sz w:val="21"/>
              </w:rPr>
              <w:t xml:space="preserve">[Yes / No]</w:t>
            </w:r>
          </w:p>
        </w:tc>
      </w:tr>
    </w:tbl>
    <w:p>
      <w:pPr>
        <w:pStyle w:val="BodyText"/>
        <w:spacing w:before="0" w:after="120" w:line="269" w:lineRule="auto"/>
        <w:jc w:val="both"/>
      </w:pPr>
      <w:r>
        <w:t xml:space="preserve">3.3 For FY [ ], the SCN was issued within the section 73 time limit, and the tax for that year is re-determined below. For FY [ ], the SCN was issued after that limit; the tax for that year cannot be determined under section 73, and the proceedings for that year are</w:t>
      </w:r>
      <w:r>
        <w:t xml:space="preserve"> </w:t>
      </w:r>
      <w:r>
        <w:rPr>
          <w:bCs/>
          <w:b/>
        </w:rPr>
        <w:t xml:space="preserve">dropped</w:t>
      </w:r>
      <w:r>
        <w:t xml:space="preserve">.</w:t>
      </w:r>
    </w:p>
    <w:p>
      <w:pPr>
        <w:pStyle w:val="BodyText"/>
        <w:spacing w:before="0" w:after="120" w:line="269" w:lineRule="auto"/>
        <w:jc w:val="both"/>
      </w:pPr>
      <w:r>
        <w:t xml:space="preserve">3.4 [Option, only where a section 168A extension is relied on for the section 73(10) date] The section 73(10) date for FY [ ] stands extended by Notification No. [ ]-CT dated [ ] issued under section 168A, with which the Hon’ble High Court of Telangana declined to interfere in</w:t>
      </w:r>
      <w:r>
        <w:t xml:space="preserve"> </w:t>
      </w:r>
      <w:r>
        <w:rPr>
          <w:iCs/>
          <w:i/>
        </w:rPr>
        <w:t xml:space="preserve">Brunda Infra Pvt Ltd</w:t>
      </w:r>
      <w:r>
        <w:t xml:space="preserve"> </w:t>
      </w:r>
      <w:r>
        <w:t xml:space="preserve">(W.P. No. 1154 of 2024 &amp; batch, including</w:t>
      </w:r>
      <w:r>
        <w:t xml:space="preserve"> </w:t>
      </w:r>
      <w:r>
        <w:rPr>
          <w:iCs/>
          <w:i/>
        </w:rPr>
        <w:t xml:space="preserve">HCC-SEW-MEIL-AAG JV</w:t>
      </w:r>
      <w:r>
        <w:t xml:space="preserve">, 02.01.2025). Its validity is pending before the Hon’ble Supreme Court in SLP (C) No. 4240 of 2025; this order is subject to its outcome.</w:t>
      </w:r>
    </w:p>
    <w:p>
      <w:pPr>
        <w:pStyle w:val="BlockText"/>
        <w:shd w:val="clear" w:color="auto" w:fill="E7E6E6"/>
      </w:pPr>
      <w:r>
        <w:rPr>
          <w:bCs/>
          <w:b/>
          <w:sz w:val="21"/>
        </w:rPr>
        <w:t xml:space="preserve">Drafting note:</w:t>
      </w:r>
      <w:r>
        <w:rPr>
          <w:sz w:val="21"/>
        </w:rPr>
        <w:t xml:space="preserve"> </w:t>
      </w:r>
      <w:r>
        <w:rPr>
          <w:sz w:val="21"/>
        </w:rPr>
        <w:t xml:space="preserve">Circular No. 185/17/2022-GST was read for the procedure guide; re-read its Issue 2 before applying it. Whether the section 73 time limit can bar re-determination after a section 74 charge fails is reported as unsettled in the case law; the Circular binds the officer and is applied here. A year for which the section 74 SCN was issued after the section 73(2) date must be dropped even if the noticee does not raise it.</w:t>
      </w:r>
    </w:p>
    <w:p>
      <w:pPr>
        <w:pStyle w:val="FirstParagraph"/>
        <w:keepNext/>
        <w:spacing w:before="240" w:after="80"/>
        <w:pBdr>
          <w:bottom w:val="single" w:sz="6" w:space="1" w:color="B4C6E7"/>
        </w:pBdr>
      </w:pPr>
      <w:r>
        <w:rPr>
          <w:bCs/>
          <w:b/>
          <w:color w:val="1F3864"/>
          <w:sz w:val="25"/>
        </w:rPr>
        <w:t xml:space="preserve">4. Notice and hearing</w:t>
      </w:r>
    </w:p>
    <w:p>
      <w:pPr>
        <w:pStyle w:val="BodyText"/>
        <w:spacing w:before="0" w:after="120" w:line="269" w:lineRule="auto"/>
        <w:jc w:val="both"/>
      </w:pPr>
      <w:r>
        <w:t xml:space="preserve">4.1 A notice dated [ ] was issued to the noticee informing it of the appellate order and of the proposed re-determination, enclosing [a working sheet of the tax proposed for the surviving years], and fixing a personal hearing on [date, time, venue] (section 75(4)). It was served by [portal RFN [ ] / e-mail / speed post].</w:t>
      </w:r>
    </w:p>
    <w:p>
      <w:pPr>
        <w:pStyle w:val="BodyText"/>
        <w:spacing w:before="0" w:after="120" w:line="269" w:lineRule="auto"/>
        <w:jc w:val="both"/>
      </w:pPr>
      <w:r>
        <w:t xml:space="preserve">4.2 [The noticee replied on [ ] that [R-1 …; R-2 …], and [name, designation] appeared on [date] and submitted [H-1 …].] [No reply was filed and no one appeared on [dates], despite notices served as above.]</w:t>
      </w:r>
    </w:p>
    <w:p>
      <w:pPr>
        <w:pStyle w:val="BlockText"/>
        <w:shd w:val="clear" w:color="auto" w:fill="E7E6E6"/>
      </w:pPr>
      <w:r>
        <w:rPr>
          <w:bCs/>
          <w:b/>
          <w:sz w:val="21"/>
        </w:rPr>
        <w:t xml:space="preserve">Drafting note:</w:t>
      </w:r>
      <w:r>
        <w:rPr>
          <w:sz w:val="21"/>
        </w:rPr>
        <w:t xml:space="preserve"> </w:t>
      </w:r>
      <w:r>
        <w:rPr>
          <w:sz w:val="21"/>
        </w:rPr>
        <w:t xml:space="preserve">a hearing is needed because the order is adverse (section 75(4)). Up to three adjournments for sufficient cause (section 75(5)). Supply any document you will rely on that was not with the SCN.</w:t>
      </w:r>
    </w:p>
    <w:p>
      <w:pPr>
        <w:pStyle w:val="FirstParagraph"/>
        <w:keepNext/>
        <w:spacing w:before="240" w:after="80"/>
        <w:pBdr>
          <w:bottom w:val="single" w:sz="6" w:space="1" w:color="B4C6E7"/>
        </w:pBdr>
      </w:pPr>
      <w:r>
        <w:rPr>
          <w:bCs/>
          <w:b/>
          <w:color w:val="1F3864"/>
          <w:sz w:val="25"/>
        </w:rPr>
        <w:t xml:space="preserve">5. Re-determination of tax</w:t>
      </w:r>
    </w:p>
    <w:p>
      <w:pPr>
        <w:pStyle w:val="BodyText"/>
        <w:spacing w:before="0" w:after="120" w:line="269" w:lineRule="auto"/>
        <w:jc w:val="both"/>
      </w:pPr>
      <w:r>
        <w:t xml:space="preserve">5.1 The grounds remain those stated in the SCN; nothing is added (section 75(7)). The amounts re-determined are not more than those in the SCN or the original order for any issue, year or head.</w:t>
      </w:r>
    </w:p>
    <w:p>
      <w:pPr>
        <w:pStyle w:val="BodyText"/>
        <w:spacing w:before="0" w:after="120" w:line="269" w:lineRule="auto"/>
        <w:jc w:val="both"/>
      </w:pPr>
      <w:r>
        <w:t xml:space="preserve">5.2 [For each surviving issue and year:]</w:t>
      </w:r>
      <w:r>
        <w:t xml:space="preserve"> </w:t>
      </w:r>
      <w:r>
        <w:rPr>
          <w:bCs/>
          <w:b/>
        </w:rPr>
        <w:t xml:space="preserve">Issue [ ], FY [ ].</w:t>
      </w:r>
      <w:r>
        <w:t xml:space="preserve"> </w:t>
      </w:r>
      <w:r>
        <w:t xml:space="preserve">The original order found [ ] (para [ ]). The appellate order [left that finding undisturbed / modified it to [ ]]. [Answer each submission R- and H- on the re-determination.] Tax of ₹[ ] is re-determined as payable under section 73(9).</w:t>
      </w:r>
    </w:p>
    <w:p>
      <w:pPr>
        <w:pStyle w:val="BodyText"/>
        <w:keepNext/>
        <w:spacing w:before="240" w:after="80"/>
        <w:pBdr>
          <w:bottom w:val="single" w:sz="6" w:space="1" w:color="B4C6E7"/>
        </w:pBdr>
      </w:pPr>
      <w:r>
        <w:rPr>
          <w:bCs/>
          <w:b/>
          <w:color w:val="1F3864"/>
          <w:sz w:val="25"/>
        </w:rPr>
        <w:t xml:space="preserve">6. Interest and penalty</w:t>
      </w:r>
    </w:p>
    <w:p>
      <w:pPr>
        <w:pStyle w:val="BodyText"/>
        <w:spacing w:before="0" w:after="120" w:line="269" w:lineRule="auto"/>
        <w:jc w:val="both"/>
      </w:pPr>
      <w:r>
        <w:t xml:space="preserve">6.1</w:t>
      </w:r>
      <w:r>
        <w:t xml:space="preserve"> </w:t>
      </w:r>
      <w:r>
        <w:rPr>
          <w:bCs/>
          <w:b/>
        </w:rPr>
        <w:t xml:space="preserve">Interest</w:t>
      </w:r>
      <w:r>
        <w:t xml:space="preserve"> </w:t>
      </w:r>
      <w:r>
        <w:t xml:space="preserve">under section [50(1) / 50(3)], as proposed in the SCN, is payable on the tax re-determined (sections 50 and 75(9)), computed as in template B1 Annexure A: ₹[ ] up to [date].</w:t>
      </w:r>
    </w:p>
    <w:p>
      <w:pPr>
        <w:pStyle w:val="BodyText"/>
        <w:spacing w:before="0" w:after="120" w:line="269" w:lineRule="auto"/>
        <w:jc w:val="both"/>
      </w:pPr>
      <w:r>
        <w:t xml:space="preserve">6.2</w:t>
      </w:r>
      <w:r>
        <w:t xml:space="preserve"> </w:t>
      </w:r>
      <w:r>
        <w:rPr>
          <w:bCs/>
          <w:b/>
        </w:rPr>
        <w:t xml:space="preserve">Penalty.</w:t>
      </w:r>
      <w:r>
        <w:t xml:space="preserve"> </w:t>
      </w:r>
      <w:r>
        <w:t xml:space="preserve">The penalty under section 74(1) does not survive. A penalty of ten per cent of the tax re-determined, or ten thousand rupees, whichever is higher, is imposed under</w:t>
      </w:r>
      <w:r>
        <w:t xml:space="preserve"> </w:t>
      </w:r>
      <w:r>
        <w:rPr>
          <w:bCs/>
          <w:b/>
        </w:rPr>
        <w:t xml:space="preserve">section 73(9)</w:t>
      </w:r>
      <w:r>
        <w:t xml:space="preserve">: ₹[ ]. [Option: As the tax re-determined is self-assessed tax that was not paid within thirty days of its due date, the penalty is payable notwithstanding any payment under section 73(8) (section 73(11)).]</w:t>
      </w:r>
    </w:p>
    <w:p>
      <w:pPr>
        <w:pStyle w:val="BlockText"/>
        <w:shd w:val="clear" w:color="auto" w:fill="E7E6E6"/>
      </w:pPr>
      <w:r>
        <w:rPr>
          <w:bCs/>
          <w:b/>
          <w:sz w:val="21"/>
        </w:rPr>
        <w:t xml:space="preserve">Drafting note:</w:t>
      </w:r>
      <w:r>
        <w:rPr>
          <w:sz w:val="21"/>
        </w:rPr>
        <w:t xml:space="preserve"> </w:t>
      </w:r>
      <w:r>
        <w:rPr>
          <w:sz w:val="21"/>
        </w:rPr>
        <w:t xml:space="preserve">section 73(8) (no penalty on payment within thirty days of the notice) refers to payment within thirty days of the SCN; it does not open afresh on re-determination. Record any payment actually made within thirty days of the original SCN and apply section 73(8) to it if the conditions were met.</w:t>
      </w:r>
    </w:p>
    <w:p>
      <w:pPr>
        <w:pStyle w:val="FirstParagraph"/>
        <w:keepNext/>
        <w:spacing w:before="240" w:after="80"/>
        <w:pBdr>
          <w:bottom w:val="single" w:sz="6" w:space="1" w:color="B4C6E7"/>
        </w:pBdr>
      </w:pPr>
      <w:r>
        <w:rPr>
          <w:bCs/>
          <w:b/>
          <w:color w:val="1F3864"/>
          <w:sz w:val="25"/>
        </w:rPr>
        <w:t xml:space="preserve">7. Amounts paid and pre-deposit</w:t>
      </w:r>
    </w:p>
    <w:p>
      <w:pPr>
        <w:pStyle w:val="BodyText"/>
        <w:spacing w:before="0" w:after="120" w:line="269" w:lineRule="auto"/>
        <w:jc w:val="both"/>
      </w:pPr>
      <w:r>
        <w:t xml:space="preserve">7.1 The noticee has paid: ₹[ ] by DRC-03 No. [ ] dated [ ]; ₹[ ] as pre-deposit for the appeal (section 107(6)) [and ₹[ ] for the Tribunal (section 112(8))]; [₹[ ] under section 74(11)]. These are appropriated against the amounts in para 8. [The amount of ₹[ ] paid in excess of the re-determined demand is refundable under section 54, with interest under section 56 as applicable.]</w:t>
      </w:r>
    </w:p>
    <w:p>
      <w:pPr>
        <w:pStyle w:val="BodyText"/>
        <w:keepNext/>
        <w:spacing w:before="240" w:after="80"/>
        <w:pBdr>
          <w:bottom w:val="single" w:sz="6" w:space="1" w:color="B4C6E7"/>
        </w:pBdr>
      </w:pPr>
      <w:r>
        <w:rPr>
          <w:bCs/>
          <w:b/>
          <w:color w:val="1F3864"/>
          <w:sz w:val="25"/>
        </w:rPr>
        <w:t xml:space="preserve">8. Proposed, originally confirmed and re-determined amounts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70"/>
        <w:gridCol w:w="870"/>
        <w:gridCol w:w="870"/>
        <w:gridCol w:w="870"/>
        <w:gridCol w:w="1218"/>
        <w:gridCol w:w="1566"/>
        <w:gridCol w:w="1200"/>
        <w:gridCol w:w="1131"/>
        <w:gridCol w:w="1044"/>
      </w:tblGrid>
      <w:tr>
        <w:trPr>
          <w:tblHeader w:val="true"/>
          <w:tblHeader/>
        </w:trPr>
        <w:tc>
          <w:tcPr>
            <w:tcW w:type="dxa" w:w="870"/>
            <w:shd w:val="clear" w:color="auto" w:fill="DCE6F1"/>
          </w:tcPr>
          <w:p>
            <w:pPr>
              <w:pStyle w:val="Compact"/>
              <w:spacing w:before="0" w:after="0" w:line="240" w:lineRule="auto"/>
              <w:jc w:val="left"/>
            </w:pPr>
            <w:r>
              <w:rPr>
                <w:b/>
                <w:color w:val="1F3864"/>
                <w:sz w:val="18"/>
              </w:rPr>
              <w:t xml:space="preserve">FY</w:t>
            </w:r>
          </w:p>
        </w:tc>
        <w:tc>
          <w:tcPr>
            <w:tcW w:type="dxa" w:w="870"/>
            <w:shd w:val="clear" w:color="auto" w:fill="DCE6F1"/>
          </w:tcPr>
          <w:p>
            <w:pPr>
              <w:pStyle w:val="Compact"/>
              <w:spacing w:before="0" w:after="0" w:line="240" w:lineRule="auto"/>
              <w:jc w:val="left"/>
            </w:pPr>
            <w:r>
              <w:rPr>
                <w:b/>
                <w:color w:val="1F3864"/>
                <w:sz w:val="18"/>
              </w:rPr>
              <w:t xml:space="preserve">Issue</w:t>
            </w:r>
          </w:p>
        </w:tc>
        <w:tc>
          <w:tcPr>
            <w:tcW w:type="dxa" w:w="870"/>
            <w:shd w:val="clear" w:color="auto" w:fill="DCE6F1"/>
          </w:tcPr>
          <w:p>
            <w:pPr>
              <w:pStyle w:val="Compact"/>
              <w:spacing w:before="0" w:after="0" w:line="240" w:lineRule="auto"/>
              <w:jc w:val="left"/>
            </w:pPr>
            <w:r>
              <w:rPr>
                <w:b/>
                <w:color w:val="1F3864"/>
                <w:sz w:val="18"/>
              </w:rPr>
              <w:t xml:space="preserve">Head</w:t>
            </w:r>
          </w:p>
        </w:tc>
        <w:tc>
          <w:tcPr>
            <w:tcW w:type="dxa" w:w="870"/>
            <w:shd w:val="clear" w:color="auto" w:fill="DCE6F1"/>
          </w:tcPr>
          <w:p>
            <w:pPr>
              <w:pStyle w:val="Compact"/>
              <w:spacing w:before="0" w:after="0" w:line="240" w:lineRule="auto"/>
              <w:jc w:val="left"/>
            </w:pPr>
            <w:r>
              <w:rPr>
                <w:b/>
                <w:color w:val="1F3864"/>
                <w:sz w:val="18"/>
              </w:rPr>
              <w:t xml:space="preserve">Tax in SCN (₹)</w:t>
            </w:r>
          </w:p>
        </w:tc>
        <w:tc>
          <w:tcPr>
            <w:tcW w:type="dxa" w:w="1218"/>
            <w:shd w:val="clear" w:color="auto" w:fill="DCE6F1"/>
          </w:tcPr>
          <w:p>
            <w:pPr>
              <w:pStyle w:val="Compact"/>
              <w:spacing w:before="0" w:after="0" w:line="240" w:lineRule="auto"/>
              <w:jc w:val="left"/>
            </w:pPr>
            <w:r>
              <w:rPr>
                <w:b/>
                <w:color w:val="1F3864"/>
                <w:sz w:val="18"/>
              </w:rPr>
              <w:t xml:space="preserve">Tax confirmed in the original order (₹)</w:t>
            </w:r>
          </w:p>
        </w:tc>
        <w:tc>
          <w:tcPr>
            <w:tcW w:type="dxa" w:w="1566"/>
            <w:shd w:val="clear" w:color="auto" w:fill="DCE6F1"/>
          </w:tcPr>
          <w:p>
            <w:pPr>
              <w:pStyle w:val="Compact"/>
              <w:spacing w:before="0" w:after="0" w:line="240" w:lineRule="auto"/>
              <w:jc w:val="left"/>
            </w:pPr>
            <w:r>
              <w:rPr>
                <w:b/>
                <w:color w:val="1F3864"/>
                <w:sz w:val="18"/>
              </w:rPr>
              <w:t xml:space="preserve">Tax re-determined (₹)</w:t>
            </w:r>
          </w:p>
        </w:tc>
        <w:tc>
          <w:tcPr>
            <w:tcW w:type="dxa" w:w="1200"/>
            <w:shd w:val="clear" w:color="auto" w:fill="DCE6F1"/>
          </w:tcPr>
          <w:p>
            <w:pPr>
              <w:pStyle w:val="Compact"/>
              <w:spacing w:before="0" w:after="0" w:line="240" w:lineRule="auto"/>
              <w:jc w:val="left"/>
            </w:pPr>
            <w:r>
              <w:rPr>
                <w:b/>
                <w:color w:val="1F3864"/>
                <w:sz w:val="18"/>
              </w:rPr>
              <w:t xml:space="preserve">Dropped (₹) and reason</w:t>
            </w:r>
          </w:p>
        </w:tc>
        <w:tc>
          <w:tcPr>
            <w:tcW w:type="dxa" w:w="1131"/>
            <w:shd w:val="clear" w:color="auto" w:fill="DCE6F1"/>
          </w:tcPr>
          <w:p>
            <w:pPr>
              <w:pStyle w:val="Compact"/>
              <w:spacing w:before="0" w:after="0" w:line="240" w:lineRule="auto"/>
              <w:jc w:val="left"/>
            </w:pPr>
            <w:r>
              <w:rPr>
                <w:b/>
                <w:color w:val="1F3864"/>
                <w:sz w:val="18"/>
              </w:rPr>
              <w:t xml:space="preserve">Interest</w:t>
            </w:r>
          </w:p>
        </w:tc>
        <w:tc>
          <w:tcPr>
            <w:tcW w:type="dxa" w:w="1044"/>
            <w:shd w:val="clear" w:color="auto" w:fill="DCE6F1"/>
          </w:tcPr>
          <w:p>
            <w:pPr>
              <w:pStyle w:val="Compact"/>
              <w:spacing w:before="0" w:after="0" w:line="240" w:lineRule="auto"/>
              <w:jc w:val="left"/>
            </w:pPr>
            <w:r>
              <w:rPr>
                <w:b/>
                <w:color w:val="1F3864"/>
                <w:sz w:val="18"/>
              </w:rPr>
              <w:t xml:space="preserve">Penalty under section 73(9) (₹)</w:t>
            </w:r>
          </w:p>
        </w:tc>
      </w:tr>
      <w:tr>
        <w:tc>
          <w:tcPr>
            <w:tcW w:type="dxa" w:w="870"/>
          </w:tcPr>
          <w:p>
            <w:pPr>
              <w:pStyle w:val="Compact"/>
              <w:spacing w:before="0" w:after="0" w:line="240" w:lineRule="auto"/>
              <w:jc w:val="left"/>
            </w:pPr>
            <w:r>
              <w:rPr>
                <w:sz w:val="18"/>
              </w:rPr>
              <w:t xml:space="preserve">[ ]</w:t>
            </w:r>
          </w:p>
        </w:tc>
        <w:tc>
          <w:tcPr>
            <w:tcW w:type="dxa" w:w="870"/>
          </w:tcPr>
          <w:p>
            <w:pPr>
              <w:pStyle w:val="Compact"/>
              <w:spacing w:before="0" w:after="0" w:line="240" w:lineRule="auto"/>
              <w:jc w:val="left"/>
            </w:pPr>
            <w:r>
              <w:rPr>
                <w:sz w:val="18"/>
              </w:rPr>
              <w:t xml:space="preserve">[ ]</w:t>
            </w:r>
          </w:p>
        </w:tc>
        <w:tc>
          <w:tcPr>
            <w:tcW w:type="dxa" w:w="870"/>
          </w:tcPr>
          <w:p>
            <w:pPr>
              <w:pStyle w:val="Compact"/>
              <w:spacing w:before="0" w:after="0" w:line="240" w:lineRule="auto"/>
              <w:jc w:val="left"/>
            </w:pPr>
            <w:r>
              <w:rPr>
                <w:sz w:val="18"/>
              </w:rPr>
              <w:t xml:space="preserve">CGST</w:t>
            </w:r>
          </w:p>
        </w:tc>
        <w:tc>
          <w:tcPr>
            <w:tcW w:type="dxa" w:w="870"/>
          </w:tcPr>
          <w:p>
            <w:pPr>
              <w:pStyle w:val="Compact"/>
              <w:spacing w:before="0" w:after="0" w:line="240" w:lineRule="auto"/>
              <w:jc w:val="left"/>
            </w:pPr>
            <w:r>
              <w:rPr>
                <w:sz w:val="18"/>
              </w:rPr>
              <w:t xml:space="preserve">[ ]</w:t>
            </w:r>
          </w:p>
        </w:tc>
        <w:tc>
          <w:tcPr>
            <w:tcW w:type="dxa" w:w="1218"/>
          </w:tcPr>
          <w:p>
            <w:pPr>
              <w:pStyle w:val="Compact"/>
              <w:spacing w:before="0" w:after="0" w:line="240" w:lineRule="auto"/>
              <w:jc w:val="left"/>
            </w:pPr>
            <w:r>
              <w:rPr>
                <w:sz w:val="18"/>
              </w:rPr>
              <w:t xml:space="preserve">[ ]</w:t>
            </w:r>
          </w:p>
        </w:tc>
        <w:tc>
          <w:tcPr>
            <w:tcW w:type="dxa" w:w="1566"/>
          </w:tcPr>
          <w:p>
            <w:pPr>
              <w:pStyle w:val="Compact"/>
              <w:spacing w:before="0" w:after="0" w:line="240" w:lineRule="auto"/>
              <w:jc w:val="left"/>
            </w:pPr>
            <w:r>
              <w:rPr>
                <w:sz w:val="18"/>
              </w:rPr>
              <w:t xml:space="preserve">[ ]</w:t>
            </w:r>
          </w:p>
        </w:tc>
        <w:tc>
          <w:tcPr>
            <w:tcW w:type="dxa" w:w="1200"/>
          </w:tcPr>
          <w:p>
            <w:pPr>
              <w:pStyle w:val="Compact"/>
              <w:spacing w:before="0" w:after="0" w:line="240" w:lineRule="auto"/>
              <w:jc w:val="left"/>
            </w:pPr>
            <w:r>
              <w:rPr>
                <w:sz w:val="18"/>
              </w:rPr>
              <w:t xml:space="preserve">[ ]</w:t>
            </w:r>
          </w:p>
        </w:tc>
        <w:tc>
          <w:tcPr>
            <w:tcW w:type="dxa" w:w="1131"/>
          </w:tcPr>
          <w:p>
            <w:pPr>
              <w:pStyle w:val="Compact"/>
              <w:spacing w:before="0" w:after="0" w:line="240" w:lineRule="auto"/>
              <w:jc w:val="left"/>
            </w:pPr>
            <w:r>
              <w:rPr>
                <w:sz w:val="18"/>
              </w:rPr>
              <w:t xml:space="preserve">[ ]</w:t>
            </w:r>
          </w:p>
        </w:tc>
        <w:tc>
          <w:tcPr>
            <w:tcW w:type="dxa" w:w="1044"/>
          </w:tcPr>
          <w:p>
            <w:pPr>
              <w:pStyle w:val="Compact"/>
              <w:spacing w:before="0" w:after="0" w:line="240" w:lineRule="auto"/>
              <w:jc w:val="left"/>
            </w:pPr>
            <w:r>
              <w:rPr>
                <w:sz w:val="18"/>
              </w:rPr>
              <w:t xml:space="preserve">[ ]</w:t>
            </w:r>
          </w:p>
        </w:tc>
      </w:tr>
      <w:tr>
        <w:tc>
          <w:tcPr>
            <w:tcW w:type="dxa" w:w="870"/>
          </w:tcPr>
          <w:p>
            <w:pPr>
              <w:pStyle w:val="Compact"/>
              <w:spacing w:before="0" w:after="0" w:line="240" w:lineRule="auto"/>
              <w:jc w:val="left"/>
            </w:pPr>
            <w:r>
              <w:rPr>
                <w:sz w:val="18"/>
              </w:rPr>
              <w:t xml:space="preserve">[ ]</w:t>
            </w:r>
          </w:p>
        </w:tc>
        <w:tc>
          <w:tcPr>
            <w:tcW w:type="dxa" w:w="870"/>
          </w:tcPr>
          <w:p>
            <w:pPr>
              <w:pStyle w:val="Compact"/>
              <w:spacing w:before="0" w:after="0" w:line="240" w:lineRule="auto"/>
              <w:jc w:val="left"/>
            </w:pPr>
            <w:r>
              <w:rPr>
                <w:sz w:val="18"/>
              </w:rPr>
              <w:t xml:space="preserve">[ ]</w:t>
            </w:r>
          </w:p>
        </w:tc>
        <w:tc>
          <w:tcPr>
            <w:tcW w:type="dxa" w:w="870"/>
          </w:tcPr>
          <w:p>
            <w:pPr>
              <w:pStyle w:val="Compact"/>
              <w:spacing w:before="0" w:after="0" w:line="240" w:lineRule="auto"/>
              <w:jc w:val="left"/>
            </w:pPr>
            <w:r>
              <w:rPr>
                <w:sz w:val="18"/>
              </w:rPr>
              <w:t xml:space="preserve">SGST</w:t>
            </w:r>
          </w:p>
        </w:tc>
        <w:tc>
          <w:tcPr>
            <w:tcW w:type="dxa" w:w="870"/>
          </w:tcPr>
          <w:p>
            <w:pPr>
              <w:pStyle w:val="Compact"/>
              <w:spacing w:before="0" w:after="0" w:line="240" w:lineRule="auto"/>
              <w:jc w:val="left"/>
            </w:pPr>
            <w:r>
              <w:rPr>
                <w:sz w:val="18"/>
              </w:rPr>
              <w:t xml:space="preserve">[ ]</w:t>
            </w:r>
          </w:p>
        </w:tc>
        <w:tc>
          <w:tcPr>
            <w:tcW w:type="dxa" w:w="1218"/>
          </w:tcPr>
          <w:p>
            <w:pPr>
              <w:pStyle w:val="Compact"/>
              <w:spacing w:before="0" w:after="0" w:line="240" w:lineRule="auto"/>
              <w:jc w:val="left"/>
            </w:pPr>
            <w:r>
              <w:rPr>
                <w:sz w:val="18"/>
              </w:rPr>
              <w:t xml:space="preserve">[ ]</w:t>
            </w:r>
          </w:p>
        </w:tc>
        <w:tc>
          <w:tcPr>
            <w:tcW w:type="dxa" w:w="1566"/>
          </w:tcPr>
          <w:p>
            <w:pPr>
              <w:pStyle w:val="Compact"/>
              <w:spacing w:before="0" w:after="0" w:line="240" w:lineRule="auto"/>
              <w:jc w:val="left"/>
            </w:pPr>
            <w:r>
              <w:rPr>
                <w:sz w:val="18"/>
              </w:rPr>
              <w:t xml:space="preserve">[ ]</w:t>
            </w:r>
          </w:p>
        </w:tc>
        <w:tc>
          <w:tcPr>
            <w:tcW w:type="dxa" w:w="1200"/>
          </w:tcPr>
          <w:p>
            <w:pPr>
              <w:pStyle w:val="Compact"/>
              <w:spacing w:before="0" w:after="0" w:line="240" w:lineRule="auto"/>
              <w:jc w:val="left"/>
            </w:pPr>
            <w:r>
              <w:rPr>
                <w:sz w:val="18"/>
              </w:rPr>
              <w:t xml:space="preserve">[ ]</w:t>
            </w:r>
          </w:p>
        </w:tc>
        <w:tc>
          <w:tcPr>
            <w:tcW w:type="dxa" w:w="1131"/>
          </w:tcPr>
          <w:p>
            <w:pPr>
              <w:pStyle w:val="Compact"/>
              <w:spacing w:before="0" w:after="0" w:line="240" w:lineRule="auto"/>
              <w:jc w:val="left"/>
            </w:pPr>
            <w:r>
              <w:rPr>
                <w:sz w:val="18"/>
              </w:rPr>
              <w:t xml:space="preserve">[ ]</w:t>
            </w:r>
          </w:p>
        </w:tc>
        <w:tc>
          <w:tcPr>
            <w:tcW w:type="dxa" w:w="1044"/>
          </w:tcPr>
          <w:p>
            <w:pPr>
              <w:pStyle w:val="Compact"/>
              <w:spacing w:before="0" w:after="0" w:line="240" w:lineRule="auto"/>
              <w:jc w:val="left"/>
            </w:pPr>
            <w:r>
              <w:rPr>
                <w:sz w:val="18"/>
              </w:rPr>
              <w:t xml:space="preserve">[ ]</w:t>
            </w:r>
          </w:p>
        </w:tc>
      </w:tr>
      <w:tr>
        <w:tc>
          <w:tcPr>
            <w:tcW w:type="dxa" w:w="870"/>
          </w:tcPr>
          <w:p>
            <w:pPr>
              <w:pStyle w:val="Compact"/>
              <w:spacing w:before="0" w:after="0" w:line="240" w:lineRule="auto"/>
              <w:jc w:val="left"/>
            </w:pPr>
            <w:r>
              <w:rPr>
                <w:sz w:val="18"/>
              </w:rPr>
              <w:t xml:space="preserve">[ ]</w:t>
            </w:r>
          </w:p>
        </w:tc>
        <w:tc>
          <w:tcPr>
            <w:tcW w:type="dxa" w:w="870"/>
          </w:tcPr>
          <w:p>
            <w:pPr>
              <w:pStyle w:val="Compact"/>
              <w:spacing w:before="0" w:after="0" w:line="240" w:lineRule="auto"/>
              <w:jc w:val="left"/>
            </w:pPr>
            <w:r>
              <w:rPr>
                <w:sz w:val="18"/>
              </w:rPr>
              <w:t xml:space="preserve">[ ]</w:t>
            </w:r>
          </w:p>
        </w:tc>
        <w:tc>
          <w:tcPr>
            <w:tcW w:type="dxa" w:w="870"/>
          </w:tcPr>
          <w:p>
            <w:pPr>
              <w:pStyle w:val="Compact"/>
              <w:spacing w:before="0" w:after="0" w:line="240" w:lineRule="auto"/>
              <w:jc w:val="left"/>
            </w:pPr>
            <w:r>
              <w:rPr>
                <w:sz w:val="18"/>
              </w:rPr>
              <w:t xml:space="preserve">[ ]</w:t>
            </w:r>
          </w:p>
        </w:tc>
        <w:tc>
          <w:tcPr>
            <w:tcW w:type="dxa" w:w="870"/>
          </w:tcPr>
          <w:p>
            <w:pPr>
              <w:pStyle w:val="Compact"/>
              <w:spacing w:before="0" w:after="0" w:line="240" w:lineRule="auto"/>
              <w:jc w:val="left"/>
            </w:pPr>
            <w:r>
              <w:rPr>
                <w:sz w:val="18"/>
              </w:rPr>
              <w:t xml:space="preserve">[ ]</w:t>
            </w:r>
          </w:p>
        </w:tc>
        <w:tc>
          <w:tcPr>
            <w:tcW w:type="dxa" w:w="1218"/>
          </w:tcPr>
          <w:p>
            <w:pPr>
              <w:pStyle w:val="Compact"/>
              <w:spacing w:before="0" w:after="0" w:line="240" w:lineRule="auto"/>
              <w:jc w:val="left"/>
            </w:pPr>
            <w:r>
              <w:rPr>
                <w:sz w:val="18"/>
              </w:rPr>
              <w:t xml:space="preserve">[ ]</w:t>
            </w:r>
          </w:p>
        </w:tc>
        <w:tc>
          <w:tcPr>
            <w:tcW w:type="dxa" w:w="1566"/>
          </w:tcPr>
          <w:p>
            <w:pPr>
              <w:pStyle w:val="Compact"/>
              <w:spacing w:before="0" w:after="0" w:line="240" w:lineRule="auto"/>
              <w:jc w:val="left"/>
            </w:pPr>
            <w:r>
              <w:rPr>
                <w:sz w:val="18"/>
              </w:rPr>
              <w:t xml:space="preserve">[ ]</w:t>
            </w:r>
          </w:p>
        </w:tc>
        <w:tc>
          <w:tcPr>
            <w:tcW w:type="dxa" w:w="1200"/>
          </w:tcPr>
          <w:p>
            <w:pPr>
              <w:pStyle w:val="Compact"/>
              <w:spacing w:before="0" w:after="0" w:line="240" w:lineRule="auto"/>
              <w:jc w:val="left"/>
            </w:pPr>
            <w:r>
              <w:rPr>
                <w:sz w:val="18"/>
              </w:rPr>
              <w:t xml:space="preserve">[Outside section 73 limits (para 3.3)]</w:t>
            </w:r>
          </w:p>
        </w:tc>
        <w:tc>
          <w:tcPr>
            <w:tcW w:type="dxa" w:w="1131"/>
          </w:tcPr>
          <w:p>
            <w:pPr>
              <w:pStyle w:val="Compact"/>
              <w:spacing w:before="0" w:after="0" w:line="240" w:lineRule="auto"/>
              <w:jc w:val="left"/>
            </w:pPr>
            <w:r>
              <w:rPr>
                <w:sz w:val="18"/>
              </w:rPr>
              <w:t xml:space="preserve">Nil</w:t>
            </w:r>
          </w:p>
        </w:tc>
        <w:tc>
          <w:tcPr>
            <w:tcW w:type="dxa" w:w="1044"/>
          </w:tcPr>
          <w:p>
            <w:pPr>
              <w:pStyle w:val="Compact"/>
              <w:spacing w:before="0" w:after="0" w:line="240" w:lineRule="auto"/>
              <w:jc w:val="left"/>
            </w:pPr>
            <w:r>
              <w:rPr>
                <w:sz w:val="18"/>
              </w:rPr>
              <w:t xml:space="preserve">Nil</w:t>
            </w:r>
          </w:p>
        </w:tc>
      </w:tr>
      <w:tr>
        <w:tc>
          <w:tcPr>
            <w:tcW w:type="dxa" w:w="870"/>
            <w:shd w:val="clear" w:color="auto" w:fill="F2F2F2"/>
          </w:tcPr>
          <w:p>
            <w:pPr>
              <w:pStyle w:val="Compact"/>
              <w:spacing w:before="0" w:after="0" w:line="240" w:lineRule="auto"/>
              <w:jc w:val="left"/>
            </w:pPr>
            <w:r>
              <w:rPr>
                <w:bCs/>
                <w:b/>
                <w:sz w:val="18"/>
              </w:rPr>
              <w:t xml:space="preserve">Total</w:t>
            </w:r>
          </w:p>
        </w:tc>
        <w:tc>
          <w:tcPr>
            <w:tcW w:type="dxa" w:w="870"/>
            <w:shd w:val="clear" w:color="auto" w:fill="F2F2F2"/>
          </w:tcPr>
          <w:p>
            <w:pPr>
              <w:pStyle w:val="Compact"/>
              <w:spacing w:before="0" w:after="0" w:line="240" w:lineRule="auto"/>
            </w:pPr>
          </w:p>
        </w:tc>
        <w:tc>
          <w:tcPr>
            <w:tcW w:type="dxa" w:w="870"/>
            <w:shd w:val="clear" w:color="auto" w:fill="F2F2F2"/>
          </w:tcPr>
          <w:p>
            <w:pPr>
              <w:pStyle w:val="Compact"/>
              <w:spacing w:before="0" w:after="0" w:line="240" w:lineRule="auto"/>
            </w:pPr>
          </w:p>
        </w:tc>
        <w:tc>
          <w:tcPr>
            <w:tcW w:type="dxa" w:w="870"/>
            <w:shd w:val="clear" w:color="auto" w:fill="F2F2F2"/>
          </w:tcPr>
          <w:p>
            <w:pPr>
              <w:pStyle w:val="Compact"/>
              <w:spacing w:before="0" w:after="0" w:line="240" w:lineRule="auto"/>
              <w:jc w:val="left"/>
            </w:pPr>
            <w:r>
              <w:rPr>
                <w:bCs/>
                <w:b/>
                <w:sz w:val="18"/>
              </w:rPr>
              <w:t xml:space="preserve">[ ]</w:t>
            </w:r>
          </w:p>
        </w:tc>
        <w:tc>
          <w:tcPr>
            <w:tcW w:type="dxa" w:w="1218"/>
            <w:shd w:val="clear" w:color="auto" w:fill="F2F2F2"/>
          </w:tcPr>
          <w:p>
            <w:pPr>
              <w:pStyle w:val="Compact"/>
              <w:spacing w:before="0" w:after="0" w:line="240" w:lineRule="auto"/>
              <w:jc w:val="left"/>
            </w:pPr>
            <w:r>
              <w:rPr>
                <w:bCs/>
                <w:b/>
                <w:sz w:val="18"/>
              </w:rPr>
              <w:t xml:space="preserve">[ ]</w:t>
            </w:r>
          </w:p>
        </w:tc>
        <w:tc>
          <w:tcPr>
            <w:tcW w:type="dxa" w:w="1566"/>
            <w:shd w:val="clear" w:color="auto" w:fill="F2F2F2"/>
          </w:tcPr>
          <w:p>
            <w:pPr>
              <w:pStyle w:val="Compact"/>
              <w:spacing w:before="0" w:after="0" w:line="240" w:lineRule="auto"/>
              <w:jc w:val="left"/>
            </w:pPr>
            <w:r>
              <w:rPr>
                <w:bCs/>
                <w:b/>
                <w:sz w:val="18"/>
              </w:rPr>
              <w:t xml:space="preserve">[ ]</w:t>
            </w:r>
          </w:p>
        </w:tc>
        <w:tc>
          <w:tcPr>
            <w:tcW w:type="dxa" w:w="1200"/>
            <w:shd w:val="clear" w:color="auto" w:fill="F2F2F2"/>
          </w:tcPr>
          <w:p>
            <w:pPr>
              <w:pStyle w:val="Compact"/>
              <w:spacing w:before="0" w:after="0" w:line="240" w:lineRule="auto"/>
              <w:jc w:val="left"/>
            </w:pPr>
            <w:r>
              <w:rPr>
                <w:bCs/>
                <w:b/>
                <w:sz w:val="18"/>
              </w:rPr>
              <w:t xml:space="preserve">[ ]</w:t>
            </w:r>
          </w:p>
        </w:tc>
        <w:tc>
          <w:tcPr>
            <w:tcW w:type="dxa" w:w="1131"/>
            <w:shd w:val="clear" w:color="auto" w:fill="F2F2F2"/>
          </w:tcPr>
          <w:p>
            <w:pPr>
              <w:pStyle w:val="Compact"/>
              <w:spacing w:before="0" w:after="0" w:line="240" w:lineRule="auto"/>
              <w:jc w:val="left"/>
            </w:pPr>
            <w:r>
              <w:rPr>
                <w:bCs/>
                <w:b/>
                <w:sz w:val="18"/>
              </w:rPr>
              <w:t xml:space="preserve">[ ]</w:t>
            </w:r>
          </w:p>
        </w:tc>
        <w:tc>
          <w:tcPr>
            <w:tcW w:type="dxa" w:w="1044"/>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jc w:val="both"/>
      </w:pPr>
      <w:r>
        <w:t xml:space="preserve">8.1 Summary in the layout of FORM GST DRC-07 (13 columns), for the amounts now payable.</w:t>
      </w:r>
      <w:r>
        <w:t xml:space="preserve"> </w:t>
      </w:r>
      <w:r>
        <w:t xml:space="preserve">“</w:t>
      </w:r>
      <w:r>
        <w:t xml:space="preserve">From</w:t>
      </w:r>
      <w:r>
        <w:t xml:space="preserve">”</w:t>
      </w:r>
      <w:r>
        <w:t xml:space="preserve"> </w:t>
      </w:r>
      <w:r>
        <w:t xml:space="preserve">and</w:t>
      </w:r>
      <w:r>
        <w:t xml:space="preserve"> </w:t>
      </w:r>
      <w:r>
        <w:t xml:space="preserve">“</w:t>
      </w:r>
      <w:r>
        <w:t xml:space="preserve">To</w:t>
      </w:r>
      <w:r>
        <w:t xml:space="preserve">”</w:t>
      </w:r>
      <w:r>
        <w:t xml:space="preserve"> </w:t>
      </w:r>
      <w:r>
        <w:t xml:space="preserve">are the tax period;</w:t>
      </w:r>
      <w:r>
        <w:t xml:space="preserve"> </w:t>
      </w:r>
      <w:r>
        <w:t xml:space="preserve">“</w:t>
      </w:r>
      <w:r>
        <w:t xml:space="preserve">POS</w:t>
      </w:r>
      <w:r>
        <w:t xml:space="preserve">”</w:t>
      </w:r>
      <w:r>
        <w:t xml:space="preserve"> </w:t>
      </w:r>
      <w:r>
        <w:t xml:space="preserve">is the place of supply:</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693"/>
        <w:gridCol w:w="693"/>
        <w:gridCol w:w="901"/>
        <w:gridCol w:w="693"/>
        <w:gridCol w:w="693"/>
        <w:gridCol w:w="693"/>
        <w:gridCol w:w="693"/>
        <w:gridCol w:w="693"/>
        <w:gridCol w:w="901"/>
        <w:gridCol w:w="832"/>
        <w:gridCol w:w="693"/>
        <w:gridCol w:w="763"/>
        <w:gridCol w:w="693"/>
      </w:tblGrid>
      <w:tr>
        <w:trPr>
          <w:tblHeader w:val="true"/>
          <w:tblHeader/>
        </w:trPr>
        <w:tc>
          <w:tcPr>
            <w:tcW w:type="dxa" w:w="693"/>
            <w:shd w:val="clear" w:color="auto" w:fill="DCE6F1"/>
          </w:tcPr>
          <w:p>
            <w:pPr>
              <w:pStyle w:val="Compact"/>
              <w:spacing w:before="0" w:after="0" w:line="240" w:lineRule="auto"/>
              <w:jc w:val="left"/>
            </w:pPr>
            <w:r>
              <w:rPr>
                <w:b/>
                <w:color w:val="1F3864"/>
                <w:sz w:val="18"/>
              </w:rPr>
              <w:t xml:space="preserve">No.</w:t>
            </w:r>
          </w:p>
        </w:tc>
        <w:tc>
          <w:tcPr>
            <w:tcW w:type="dxa" w:w="693"/>
            <w:shd w:val="clear" w:color="auto" w:fill="DCE6F1"/>
          </w:tcPr>
          <w:p>
            <w:pPr>
              <w:pStyle w:val="Compact"/>
              <w:spacing w:before="0" w:after="0" w:line="240" w:lineRule="auto"/>
              <w:jc w:val="left"/>
            </w:pPr>
            <w:r>
              <w:rPr>
                <w:b/>
                <w:color w:val="1F3864"/>
                <w:sz w:val="18"/>
              </w:rPr>
              <w:t xml:space="preserve">Rate</w:t>
            </w:r>
          </w:p>
        </w:tc>
        <w:tc>
          <w:tcPr>
            <w:tcW w:type="dxa" w:w="901"/>
            <w:shd w:val="clear" w:color="auto" w:fill="DCE6F1"/>
          </w:tcPr>
          <w:p>
            <w:pPr>
              <w:pStyle w:val="Compact"/>
              <w:spacing w:before="0" w:after="0" w:line="240" w:lineRule="auto"/>
              <w:jc w:val="left"/>
            </w:pPr>
            <w:r>
              <w:rPr>
                <w:b/>
                <w:color w:val="1F3864"/>
                <w:sz w:val="18"/>
              </w:rPr>
              <w:t xml:space="preserve">Turnover</w:t>
            </w:r>
          </w:p>
        </w:tc>
        <w:tc>
          <w:tcPr>
            <w:tcW w:type="dxa" w:w="693"/>
            <w:shd w:val="clear" w:color="auto" w:fill="DCE6F1"/>
          </w:tcPr>
          <w:p>
            <w:pPr>
              <w:pStyle w:val="Compact"/>
              <w:spacing w:before="0" w:after="0" w:line="240" w:lineRule="auto"/>
              <w:jc w:val="left"/>
            </w:pPr>
            <w:r>
              <w:rPr>
                <w:b/>
                <w:color w:val="1F3864"/>
                <w:sz w:val="18"/>
              </w:rPr>
              <w:t xml:space="preserve">From</w:t>
            </w:r>
          </w:p>
        </w:tc>
        <w:tc>
          <w:tcPr>
            <w:tcW w:type="dxa" w:w="693"/>
            <w:shd w:val="clear" w:color="auto" w:fill="DCE6F1"/>
          </w:tcPr>
          <w:p>
            <w:pPr>
              <w:pStyle w:val="Compact"/>
              <w:spacing w:before="0" w:after="0" w:line="240" w:lineRule="auto"/>
              <w:jc w:val="left"/>
            </w:pPr>
            <w:r>
              <w:rPr>
                <w:b/>
                <w:color w:val="1F3864"/>
                <w:sz w:val="18"/>
              </w:rPr>
              <w:t xml:space="preserve">To</w:t>
            </w:r>
          </w:p>
        </w:tc>
        <w:tc>
          <w:tcPr>
            <w:tcW w:type="dxa" w:w="693"/>
            <w:shd w:val="clear" w:color="auto" w:fill="DCE6F1"/>
          </w:tcPr>
          <w:p>
            <w:pPr>
              <w:pStyle w:val="Compact"/>
              <w:spacing w:before="0" w:after="0" w:line="240" w:lineRule="auto"/>
              <w:jc w:val="left"/>
            </w:pPr>
            <w:r>
              <w:rPr>
                <w:b/>
                <w:color w:val="1F3864"/>
                <w:sz w:val="18"/>
              </w:rPr>
              <w:t xml:space="preserve">Act</w:t>
            </w:r>
          </w:p>
        </w:tc>
        <w:tc>
          <w:tcPr>
            <w:tcW w:type="dxa" w:w="693"/>
            <w:shd w:val="clear" w:color="auto" w:fill="DCE6F1"/>
          </w:tcPr>
          <w:p>
            <w:pPr>
              <w:pStyle w:val="Compact"/>
              <w:spacing w:before="0" w:after="0" w:line="240" w:lineRule="auto"/>
              <w:jc w:val="left"/>
            </w:pPr>
            <w:r>
              <w:rPr>
                <w:b/>
                <w:color w:val="1F3864"/>
                <w:sz w:val="18"/>
              </w:rPr>
              <w:t xml:space="preserve">POS</w:t>
            </w:r>
          </w:p>
        </w:tc>
        <w:tc>
          <w:tcPr>
            <w:tcW w:type="dxa" w:w="693"/>
            <w:shd w:val="clear" w:color="auto" w:fill="DCE6F1"/>
          </w:tcPr>
          <w:p>
            <w:pPr>
              <w:pStyle w:val="Compact"/>
              <w:spacing w:before="0" w:after="0" w:line="240" w:lineRule="auto"/>
              <w:jc w:val="left"/>
            </w:pPr>
            <w:r>
              <w:rPr>
                <w:b/>
                <w:color w:val="1F3864"/>
                <w:sz w:val="18"/>
              </w:rPr>
              <w:t xml:space="preserve">Tax</w:t>
            </w:r>
          </w:p>
        </w:tc>
        <w:tc>
          <w:tcPr>
            <w:tcW w:type="dxa" w:w="901"/>
            <w:shd w:val="clear" w:color="auto" w:fill="DCE6F1"/>
          </w:tcPr>
          <w:p>
            <w:pPr>
              <w:pStyle w:val="Compact"/>
              <w:spacing w:before="0" w:after="0" w:line="240" w:lineRule="auto"/>
              <w:jc w:val="left"/>
            </w:pPr>
            <w:r>
              <w:rPr>
                <w:b/>
                <w:color w:val="1F3864"/>
                <w:sz w:val="18"/>
              </w:rPr>
              <w:t xml:space="preserve">Interest</w:t>
            </w:r>
          </w:p>
        </w:tc>
        <w:tc>
          <w:tcPr>
            <w:tcW w:type="dxa" w:w="832"/>
            <w:shd w:val="clear" w:color="auto" w:fill="DCE6F1"/>
          </w:tcPr>
          <w:p>
            <w:pPr>
              <w:pStyle w:val="Compact"/>
              <w:spacing w:before="0" w:after="0" w:line="240" w:lineRule="auto"/>
              <w:jc w:val="left"/>
            </w:pPr>
            <w:r>
              <w:rPr>
                <w:b/>
                <w:color w:val="1F3864"/>
                <w:sz w:val="18"/>
              </w:rPr>
              <w:t xml:space="preserve">Penalty</w:t>
            </w:r>
          </w:p>
        </w:tc>
        <w:tc>
          <w:tcPr>
            <w:tcW w:type="dxa" w:w="693"/>
            <w:shd w:val="clear" w:color="auto" w:fill="DCE6F1"/>
          </w:tcPr>
          <w:p>
            <w:pPr>
              <w:pStyle w:val="Compact"/>
              <w:spacing w:before="0" w:after="0" w:line="240" w:lineRule="auto"/>
              <w:jc w:val="left"/>
            </w:pPr>
            <w:r>
              <w:rPr>
                <w:b/>
                <w:color w:val="1F3864"/>
                <w:sz w:val="18"/>
              </w:rPr>
              <w:t xml:space="preserve">Fee</w:t>
            </w:r>
          </w:p>
        </w:tc>
        <w:tc>
          <w:tcPr>
            <w:tcW w:type="dxa" w:w="763"/>
            <w:shd w:val="clear" w:color="auto" w:fill="DCE6F1"/>
          </w:tcPr>
          <w:p>
            <w:pPr>
              <w:pStyle w:val="Compact"/>
              <w:spacing w:before="0" w:after="0" w:line="240" w:lineRule="auto"/>
              <w:jc w:val="left"/>
            </w:pPr>
            <w:r>
              <w:rPr>
                <w:b/>
                <w:color w:val="1F3864"/>
                <w:sz w:val="18"/>
              </w:rPr>
              <w:t xml:space="preserve">Others</w:t>
            </w:r>
          </w:p>
        </w:tc>
        <w:tc>
          <w:tcPr>
            <w:tcW w:type="dxa" w:w="693"/>
            <w:shd w:val="clear" w:color="auto" w:fill="DCE6F1"/>
          </w:tcPr>
          <w:p>
            <w:pPr>
              <w:pStyle w:val="Compact"/>
              <w:spacing w:before="0" w:after="0" w:line="240" w:lineRule="auto"/>
              <w:jc w:val="left"/>
            </w:pPr>
            <w:r>
              <w:rPr>
                <w:b/>
                <w:color w:val="1F3864"/>
                <w:sz w:val="18"/>
              </w:rPr>
              <w:t xml:space="preserve">Total</w:t>
            </w:r>
          </w:p>
        </w:tc>
      </w:tr>
      <w:tr>
        <w:tc>
          <w:tcPr>
            <w:tcW w:type="dxa" w:w="693"/>
          </w:tcPr>
          <w:p>
            <w:pPr>
              <w:pStyle w:val="Compact"/>
              <w:spacing w:before="0" w:after="0" w:line="240" w:lineRule="auto"/>
              <w:jc w:val="left"/>
            </w:pPr>
            <w:r>
              <w:rPr>
                <w:sz w:val="18"/>
              </w:rPr>
              <w:t xml:space="preserve">1</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CGST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2</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SGST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3</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IGST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shd w:val="clear" w:color="auto" w:fill="F2F2F2"/>
          </w:tcPr>
          <w:p>
            <w:pPr>
              <w:pStyle w:val="Compact"/>
              <w:spacing w:before="0" w:after="0" w:line="240" w:lineRule="auto"/>
              <w:jc w:val="left"/>
            </w:pPr>
            <w:r>
              <w:rPr>
                <w:sz w:val="18"/>
              </w:rPr>
              <w:t xml:space="preserve">Total</w:t>
            </w:r>
          </w:p>
        </w:tc>
        <w:tc>
          <w:tcPr>
            <w:tcW w:type="dxa" w:w="693"/>
            <w:shd w:val="clear" w:color="auto" w:fill="F2F2F2"/>
          </w:tcPr>
          <w:p>
            <w:pPr>
              <w:pStyle w:val="Compact"/>
              <w:spacing w:before="0" w:after="0" w:line="240" w:lineRule="auto"/>
            </w:pPr>
          </w:p>
        </w:tc>
        <w:tc>
          <w:tcPr>
            <w:tcW w:type="dxa" w:w="901"/>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jc w:val="left"/>
            </w:pPr>
            <w:r>
              <w:rPr>
                <w:bCs/>
                <w:b/>
                <w:sz w:val="18"/>
              </w:rPr>
              <w:t xml:space="preserve">[ ]</w:t>
            </w:r>
          </w:p>
        </w:tc>
        <w:tc>
          <w:tcPr>
            <w:tcW w:type="dxa" w:w="901"/>
            <w:shd w:val="clear" w:color="auto" w:fill="F2F2F2"/>
          </w:tcPr>
          <w:p>
            <w:pPr>
              <w:pStyle w:val="Compact"/>
              <w:spacing w:before="0" w:after="0" w:line="240" w:lineRule="auto"/>
              <w:jc w:val="left"/>
            </w:pPr>
            <w:r>
              <w:rPr>
                <w:bCs/>
                <w:b/>
                <w:sz w:val="18"/>
              </w:rPr>
              <w:t xml:space="preserve">[ ]</w:t>
            </w:r>
          </w:p>
        </w:tc>
        <w:tc>
          <w:tcPr>
            <w:tcW w:type="dxa" w:w="832"/>
            <w:shd w:val="clear" w:color="auto" w:fill="F2F2F2"/>
          </w:tcPr>
          <w:p>
            <w:pPr>
              <w:pStyle w:val="Compact"/>
              <w:spacing w:before="0" w:after="0" w:line="240" w:lineRule="auto"/>
              <w:jc w:val="left"/>
            </w:pPr>
            <w:r>
              <w:rPr>
                <w:bCs/>
                <w:b/>
                <w:sz w:val="18"/>
              </w:rPr>
              <w:t xml:space="preserve">[ ]</w:t>
            </w:r>
          </w:p>
        </w:tc>
        <w:tc>
          <w:tcPr>
            <w:tcW w:type="dxa" w:w="693"/>
            <w:shd w:val="clear" w:color="auto" w:fill="F2F2F2"/>
          </w:tcPr>
          <w:p>
            <w:pPr>
              <w:pStyle w:val="Compact"/>
              <w:spacing w:before="0" w:after="0" w:line="240" w:lineRule="auto"/>
              <w:jc w:val="left"/>
            </w:pPr>
            <w:r>
              <w:rPr>
                <w:bCs/>
                <w:b/>
                <w:sz w:val="18"/>
              </w:rPr>
              <w:t xml:space="preserve">[ ]</w:t>
            </w:r>
          </w:p>
        </w:tc>
        <w:tc>
          <w:tcPr>
            <w:tcW w:type="dxa" w:w="763"/>
            <w:shd w:val="clear" w:color="auto" w:fill="F2F2F2"/>
          </w:tcPr>
          <w:p>
            <w:pPr>
              <w:pStyle w:val="Compact"/>
              <w:spacing w:before="0" w:after="0" w:line="240" w:lineRule="auto"/>
              <w:jc w:val="left"/>
            </w:pPr>
            <w:r>
              <w:rPr>
                <w:bCs/>
                <w:b/>
                <w:sz w:val="18"/>
              </w:rPr>
              <w:t xml:space="preserve">[ ]</w:t>
            </w:r>
          </w:p>
        </w:tc>
        <w:tc>
          <w:tcPr>
            <w:tcW w:type="dxa" w:w="693"/>
            <w:shd w:val="clear" w:color="auto" w:fill="F2F2F2"/>
          </w:tcPr>
          <w:p>
            <w:pPr>
              <w:pStyle w:val="Compact"/>
              <w:spacing w:before="0" w:after="0" w:line="240" w:lineRule="auto"/>
              <w:jc w:val="left"/>
            </w:pPr>
            <w:r>
              <w:rPr>
                <w:bCs/>
                <w:b/>
                <w:sz w:val="18"/>
              </w:rPr>
              <w:t xml:space="preserve">[ ]</w:t>
            </w:r>
          </w:p>
        </w:tc>
      </w:tr>
    </w:tbl>
    <w:p>
      <w:pPr>
        <w:pStyle w:val="BodyText"/>
        <w:keepNext/>
        <w:spacing w:before="240" w:after="80"/>
        <w:pBdr>
          <w:bottom w:val="single" w:sz="6" w:space="1" w:color="B4C6E7"/>
        </w:pBdr>
        <w:jc w:val="center"/>
      </w:pPr>
      <w:r>
        <w:rPr>
          <w:bCs/>
          <w:b/>
          <w:color w:val="1F3864"/>
          <w:sz w:val="25"/>
        </w:rPr>
        <w:t xml:space="preserve">9. ORDER</w:t>
      </w:r>
    </w:p>
    <w:p>
      <w:pPr>
        <w:pStyle w:val="BodyText"/>
        <w:spacing w:before="0" w:after="120" w:line="269" w:lineRule="auto"/>
        <w:jc w:val="both"/>
      </w:pPr>
      <w:r>
        <w:t xml:space="preserve">9.1 In pursuance of [the appellate order] dated [ ], and under section 75(2) read with section 73(9) of the CGST Act and the corresponding provisions of the TGST Act [and section 20 of the IGST Act], I pass the following order in respect of SCN No. [ ] dated [ ]:</w:t>
      </w:r>
    </w:p>
    <w:p>
      <w:pPr>
        <w:pStyle w:val="BodyText"/>
        <w:spacing w:before="0" w:after="120" w:line="269" w:lineRule="auto"/>
        <w:jc w:val="both"/>
      </w:pPr>
      <w:r>
        <w:t xml:space="preserve">(i) I</w:t>
      </w:r>
      <w:r>
        <w:t xml:space="preserve"> </w:t>
      </w:r>
      <w:r>
        <w:rPr>
          <w:bCs/>
          <w:b/>
        </w:rPr>
        <w:t xml:space="preserve">re-determine</w:t>
      </w:r>
      <w:r>
        <w:t xml:space="preserve"> </w:t>
      </w:r>
      <w:r>
        <w:t xml:space="preserve">the tax payable for FY [ ] at ₹[ ] (CGST ₹[ ], SGST ₹[ ], IGST ₹[ ], Cess ₹[ ]), as if the notice were issued under section 73(1).</w:t>
      </w:r>
    </w:p>
    <w:p>
      <w:pPr>
        <w:pStyle w:val="BodyText"/>
        <w:spacing w:before="0" w:after="120" w:line="269" w:lineRule="auto"/>
        <w:jc w:val="both"/>
      </w:pPr>
      <w:r>
        <w:t xml:space="preserve">(ii) I</w:t>
      </w:r>
      <w:r>
        <w:t xml:space="preserve"> </w:t>
      </w:r>
      <w:r>
        <w:rPr>
          <w:bCs/>
          <w:b/>
        </w:rPr>
        <w:t xml:space="preserve">drop</w:t>
      </w:r>
      <w:r>
        <w:t xml:space="preserve"> </w:t>
      </w:r>
      <w:r>
        <w:t xml:space="preserve">the proceedings for FY [ ], as the SCN for that year was not issued within the time limit under section 73(2) (para 3.3).</w:t>
      </w:r>
    </w:p>
    <w:p>
      <w:pPr>
        <w:pStyle w:val="BodyText"/>
        <w:spacing w:before="0" w:after="120" w:line="269" w:lineRule="auto"/>
        <w:jc w:val="both"/>
      </w:pPr>
      <w:r>
        <w:t xml:space="preserve">(iii) I order that</w:t>
      </w:r>
      <w:r>
        <w:t xml:space="preserve"> </w:t>
      </w:r>
      <w:r>
        <w:rPr>
          <w:bCs/>
          <w:b/>
        </w:rPr>
        <w:t xml:space="preserve">interest</w:t>
      </w:r>
      <w:r>
        <w:t xml:space="preserve"> </w:t>
      </w:r>
      <w:r>
        <w:t xml:space="preserve">under section [50(1) / 50(3)] be paid on the tax at (i) until the date of payment; interest up to [date] is ₹[ ].</w:t>
      </w:r>
    </w:p>
    <w:p>
      <w:pPr>
        <w:pStyle w:val="BodyText"/>
        <w:spacing w:before="0" w:after="120" w:line="269" w:lineRule="auto"/>
        <w:jc w:val="both"/>
      </w:pPr>
      <w:r>
        <w:t xml:space="preserve">(iv) I</w:t>
      </w:r>
      <w:r>
        <w:t xml:space="preserve"> </w:t>
      </w:r>
      <w:r>
        <w:rPr>
          <w:bCs/>
          <w:b/>
        </w:rPr>
        <w:t xml:space="preserve">impose a penalty</w:t>
      </w:r>
      <w:r>
        <w:t xml:space="preserve"> </w:t>
      </w:r>
      <w:r>
        <w:t xml:space="preserve">of ₹[ ] under section 73(9). The penalty under section 74(1) imposed by the original order does not survive.</w:t>
      </w:r>
    </w:p>
    <w:p>
      <w:pPr>
        <w:pStyle w:val="BodyText"/>
        <w:spacing w:before="0" w:after="120" w:line="269" w:lineRule="auto"/>
      </w:pPr>
      <w:r>
        <w:t xml:space="preserve">(v) I</w:t>
      </w:r>
      <w:r>
        <w:t xml:space="preserve"> </w:t>
      </w:r>
      <w:r>
        <w:rPr>
          <w:bCs/>
          <w:b/>
        </w:rPr>
        <w:t xml:space="preserve">appropriate</w:t>
      </w:r>
      <w:r>
        <w:t xml:space="preserve"> </w:t>
      </w:r>
      <w:r>
        <w:t xml:space="preserve">₹[ ] already paid (para 7) towards the amounts above.</w:t>
      </w:r>
    </w:p>
    <w:p>
      <w:pPr>
        <w:pStyle w:val="BodyText"/>
        <w:spacing w:before="0" w:after="120" w:line="269" w:lineRule="auto"/>
        <w:jc w:val="both"/>
      </w:pPr>
      <w:r>
        <w:t xml:space="preserve">9.2 This order, with its DRC-07, replaces the demand created by the DRC-07 of the original order, which is to be [reduced / withdrawn] in the electronic liability register [and intimated in FORM GST DRC-25 (rule 161) as a modification following the appellate order]. The balance, if any, is to be paid within three months of service of this order (section 78).</w:t>
      </w:r>
    </w:p>
    <w:p>
      <w:pPr>
        <w:pStyle w:val="BlockText"/>
        <w:shd w:val="clear" w:color="auto" w:fill="E7E6E6"/>
      </w:pPr>
      <w:r>
        <w:rPr>
          <w:bCs/>
          <w:b/>
          <w:sz w:val="21"/>
        </w:rPr>
        <w:t xml:space="preserve">Drafting note: final check.</w:t>
      </w:r>
      <w:r>
        <w:rPr>
          <w:sz w:val="21"/>
        </w:rPr>
        <w:t xml:space="preserve"> </w:t>
      </w:r>
      <w:r>
        <w:rPr>
          <w:sz w:val="21"/>
        </w:rPr>
        <w:t xml:space="preserve">(1) Communication date of the direction and the two-year date recorded. (2) Year-by-year section 73 limitation table completed; out-of-time years dropped. (3) No issue re-decided that the appellate order did not leave open; no amount above the SCN or the original order. (4) Section 73(9) penalty only. (5) Pre-deposit and earlier payments credited, and any excess refunded. (6) For FY 2017-18 to 2019-20, the section 128A note retained. (7) DIN/RFN on the order and the DRC-07 (mandatory:</w:t>
      </w:r>
      <w:r>
        <w:rPr>
          <w:sz w:val="21"/>
        </w:rPr>
        <w:t xml:space="preserve"> </w:t>
      </w:r>
      <w:r>
        <w:rPr>
          <w:iCs/>
          <w:i/>
          <w:sz w:val="21"/>
        </w:rPr>
        <w:t xml:space="preserve">Gudla Vanaja</w:t>
      </w:r>
      <w:r>
        <w:rPr>
          <w:sz w:val="21"/>
        </w:rPr>
        <w:t xml:space="preserve">, Telangana HC Full Bench, 30.09.2026, which overruled</w:t>
      </w:r>
      <w:r>
        <w:rPr>
          <w:sz w:val="21"/>
        </w:rPr>
        <w:t xml:space="preserve"> </w:t>
      </w:r>
      <w:r>
        <w:rPr>
          <w:iCs/>
          <w:i/>
          <w:sz w:val="21"/>
        </w:rPr>
        <w:t xml:space="preserve">Bigleap Technologies</w:t>
      </w:r>
      <w:r>
        <w:rPr>
          <w:sz w:val="21"/>
        </w:rPr>
        <w:t xml:space="preserve">); digital signature (good practice).</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To,</w:t>
      </w:r>
      <w:r>
        <w:br/>
      </w:r>
      <w:r>
        <w:t xml:space="preserve">[Legal name of the noticee] (GSTIN [ ]), [address] (through the common portal and by e-mail to the registered e-mail address)</w:t>
      </w:r>
    </w:p>
    <w:p>
      <w:pPr>
        <w:pStyle w:val="BodyText"/>
        <w:spacing w:before="0" w:after="120" w:line="269" w:lineRule="auto"/>
      </w:pPr>
      <w:r>
        <w:t xml:space="preserve">Copy to:</w:t>
      </w:r>
    </w:p>
    <w:p>
      <w:pPr>
        <w:numPr>
          <w:ilvl w:val="0"/>
          <w:numId w:val="1002"/>
        </w:numPr>
        <w:pStyle w:val="Compact"/>
        <w:spacing w:before="0" w:after="120" w:line="269" w:lineRule="auto"/>
      </w:pPr>
      <w:r>
        <w:t xml:space="preserve">The Commissioner of Central Tax, Medchal CGST Commissionerate (Review Section), for review under section 107(2).</w:t>
      </w:r>
    </w:p>
    <w:p>
      <w:pPr>
        <w:numPr>
          <w:ilvl w:val="0"/>
          <w:numId w:val="1002"/>
        </w:numPr>
        <w:pStyle w:val="Compact"/>
        <w:spacing w:before="0" w:after="120" w:line="269" w:lineRule="auto"/>
      </w:pPr>
      <w:r>
        <w:t xml:space="preserve">[The Appellate Authority / the Registrar, GST Appellate Tribunal, [Bench] / the Government Pleader, for reporting compliance with the order dated [ ].]</w:t>
      </w:r>
    </w:p>
    <w:p>
      <w:pPr>
        <w:numPr>
          <w:ilvl w:val="0"/>
          <w:numId w:val="1002"/>
        </w:numPr>
        <w:pStyle w:val="Compact"/>
        <w:spacing w:before="0" w:after="120" w:line="269" w:lineRule="auto"/>
      </w:pPr>
      <w:r>
        <w:t xml:space="preserve">The Superintendent, [Range], Sangareddy CGST Division, for updating the demand register.</w:t>
      </w:r>
    </w:p>
    <w:p>
      <w:pPr>
        <w:numPr>
          <w:ilvl w:val="0"/>
          <w:numId w:val="1002"/>
        </w:numPr>
        <w:pStyle w:val="Compact"/>
        <w:spacing w:before="0" w:after="120" w:line="269" w:lineRule="auto"/>
      </w:pPr>
      <w:r>
        <w:t xml:space="preserve">Guard file / Office copy.</w:t>
      </w:r>
    </w:p>
    <w:p>
      <w:pPr>
        <w:pStyle w:val="BlockText"/>
        <w:shd w:val="clear" w:color="auto" w:fill="E7E6E6"/>
        <w:spacing w:before="360"/>
      </w:pPr>
      <w:r>
        <w:rPr>
          <w:bCs/>
          <w:b/>
          <w:sz w:val="21"/>
        </w:rPr>
        <w:t xml:space="preserve">How to use this template.</w:t>
      </w:r>
      <w:r>
        <w:rPr>
          <w:sz w:val="21"/>
        </w:rPr>
        <w:t xml:space="preserve"> </w:t>
      </w:r>
      <w:r>
        <w:rPr>
          <w:sz w:val="21"/>
        </w:rPr>
        <w:t xml:space="preserve">Use it where the Appellate Authority, the Appellate Tribunal or a court has held that a notice under section 74(1) is not sustainable because fraud, wilful misstatement or suppression of facts to evade tax was not established. The officer who adjudicated the section 74 SCN (or his successor in that post) re-determines the tax</w:t>
      </w:r>
      <w:r>
        <w:rPr>
          <w:sz w:val="21"/>
        </w:rPr>
        <w:t xml:space="preserve"> </w:t>
      </w:r>
      <w:r>
        <w:rPr>
          <w:sz w:val="21"/>
        </w:rPr>
        <w:t xml:space="preserve">“</w:t>
      </w:r>
      <w:r>
        <w:rPr>
          <w:sz w:val="21"/>
        </w:rPr>
        <w:t xml:space="preserve">as if</w:t>
      </w:r>
      <w:r>
        <w:rPr>
          <w:sz w:val="21"/>
        </w:rPr>
        <w:t xml:space="preserve">”</w:t>
      </w:r>
      <w:r>
        <w:rPr>
          <w:sz w:val="21"/>
        </w:rPr>
        <w:t xml:space="preserve"> </w:t>
      </w:r>
      <w:r>
        <w:rPr>
          <w:sz w:val="21"/>
        </w:rPr>
        <w:t xml:space="preserve">the notice had been issued under section 73(1). Only years for which the section 74 SCN was issued within the section 73 time limits survive (Circular No. 185/17/2022-GST). Follow the appellate direction to the letter and go no further. Text in [square brackets] is to be filled in or chosen;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signing.</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B5: Order re-determining tax under section 75(2) after an appellate finding that fraud was not proved</dc:title>
  <dc:creator>Sangareddy CGST Division</dc:creator>
  <cp:keywords/>
  <dcterms:created xsi:type="dcterms:W3CDTF">2026-10-14T21:59:39Z</dcterms:created>
  <dcterms:modified xsi:type="dcterms:W3CDTF">2026-10-14T21:59:39Z</dcterms:modified>
</cp:coreProperties>
</file>

<file path=docProps/custom.xml><?xml version="1.0" encoding="utf-8"?>
<Properties xmlns="http://schemas.openxmlformats.org/officeDocument/2006/custom-properties" xmlns:vt="http://schemas.openxmlformats.org/officeDocument/2006/docPropsVTypes"/>
</file>