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4953fe953bc1c27b94a8123bfc3dfb44e83b2b"/>
    <w:p>
      <w:pPr>
        <w:pStyle w:val="Heading1"/>
        <w:keepNext/>
        <w:spacing w:before="240" w:after="80"/>
        <w:pBdr>
          <w:bottom w:val="single" w:sz="6" w:space="1" w:color="B4C6E7"/>
        </w:pBdr>
      </w:pPr>
      <w:r>
        <w:rPr>
          <w:b/>
          <w:color w:val="1F3864"/>
          <w:sz w:val="25"/>
        </w:rPr>
        <w:t xml:space="preserve">Checklist C2: Adjudication checklist, one page per stage (SCN, hearing, order, after the order)</w:t>
      </w:r>
    </w:p>
    <w:p>
      <w:pPr>
        <w:pStyle w:val="BlockText"/>
        <w:shd w:val="clear" w:color="auto" w:fill="E7E6E6"/>
      </w:pPr>
      <w:r>
        <w:rPr>
          <w:bCs/>
          <w:b/>
          <w:sz w:val="21"/>
        </w:rPr>
        <w:t xml:space="preserve">How to use this checklist.</w:t>
      </w:r>
      <w:r>
        <w:rPr>
          <w:sz w:val="21"/>
        </w:rPr>
        <w:t xml:space="preserve"> </w:t>
      </w:r>
      <w:r>
        <w:rPr>
          <w:sz w:val="21"/>
        </w:rPr>
        <w:t xml:space="preserve">Print one copy for each SCN and keep it on the file. Tick each box only when the step is done and the proof is on the file; if a line does not apply, write</w:t>
      </w:r>
      <w:r>
        <w:rPr>
          <w:sz w:val="21"/>
        </w:rPr>
        <w:t xml:space="preserve"> </w:t>
      </w:r>
      <w:r>
        <w:rPr>
          <w:sz w:val="21"/>
        </w:rPr>
        <w:t xml:space="preserve">“</w:t>
      </w:r>
      <w:r>
        <w:rPr>
          <w:sz w:val="21"/>
        </w:rPr>
        <w:t xml:space="preserve">NA</w:t>
      </w:r>
      <w:r>
        <w:rPr>
          <w:sz w:val="21"/>
        </w:rPr>
        <w:t xml:space="preserve">”</w:t>
      </w:r>
      <w:r>
        <w:rPr>
          <w:sz w:val="21"/>
        </w:rPr>
        <w:t xml:space="preserve"> </w:t>
      </w:r>
      <w:r>
        <w:rPr>
          <w:sz w:val="21"/>
        </w:rPr>
        <w:t xml:space="preserve">beside the box. Any unticked line points to the provision or case that explains the risk: fix it before moving to the next stage. Built from the court-proof checklist (gst-law/adjudication/03-court-proof-checklist.md). Cases are marked SC (binding on all), TG (Telangana High Court, binding here) or P (persuasive). Case entries in the project files are secondary; read the judgment before quoting it.</w:t>
      </w:r>
    </w:p>
    <w:tbl>
      <w:tblPr>
        <w:tblW w:type="auto" w:w="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103"/>
        <w:gridCol w:w="4467"/>
      </w:tblGrid>
      <w:tr>
        <w:trPr>
          <w:tblHeader w:val="true"/>
          <w:tblHeader/>
        </w:trPr>
        <w:tc>
          <w:tcPr>
            <w:tcW w:type="dxa" w:w="10103"/>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4467"/>
            <w:shd w:val="clear" w:color="auto" w:fill="DCE6F1"/>
          </w:tcPr>
          <w:p>
            <w:pPr>
              <w:pStyle w:val="Compact"/>
              <w:spacing w:before="0" w:after="0" w:line="240" w:lineRule="auto"/>
              <w:jc w:val="left"/>
            </w:pPr>
            <w:r>
              <w:rPr>
                <w:b/>
                <w:color w:val="1F3864"/>
                <w:sz w:val="21"/>
              </w:rPr>
              <w:t xml:space="preserve">Details</w:t>
            </w:r>
          </w:p>
        </w:tc>
      </w:tr>
      <w:tr>
        <w:tc>
          <w:tcPr>
            <w:tcW w:type="dxa" w:w="10103"/>
            <w:shd w:val="clear" w:color="auto" w:fill="F5F8FC"/>
          </w:tcPr>
          <w:p>
            <w:pPr>
              <w:pStyle w:val="Compact"/>
              <w:spacing w:before="0" w:after="0" w:line="240" w:lineRule="auto"/>
              <w:jc w:val="left"/>
            </w:pPr>
            <w:r>
              <w:rPr>
                <w:b/>
                <w:sz w:val="21"/>
              </w:rPr>
              <w:t xml:space="preserve">Noticee and GSTIN</w:t>
            </w:r>
          </w:p>
        </w:tc>
        <w:tc>
          <w:tcPr>
            <w:tcW w:type="dxa" w:w="4467"/>
          </w:tcPr>
          <w:p>
            <w:pPr>
              <w:pStyle w:val="Compact"/>
              <w:spacing w:before="0" w:after="0" w:line="240" w:lineRule="auto"/>
              <w:jc w:val="left"/>
            </w:pPr>
            <w:r>
              <w:rPr>
                <w:sz w:val="21"/>
              </w:rPr>
              <w:t xml:space="preserve">[ ]</w:t>
            </w:r>
          </w:p>
        </w:tc>
      </w:tr>
      <w:tr>
        <w:tc>
          <w:tcPr>
            <w:tcW w:type="dxa" w:w="10103"/>
            <w:shd w:val="clear" w:color="auto" w:fill="F5F8FC"/>
          </w:tcPr>
          <w:p>
            <w:pPr>
              <w:pStyle w:val="Compact"/>
              <w:spacing w:before="0" w:after="0" w:line="240" w:lineRule="auto"/>
              <w:jc w:val="left"/>
            </w:pPr>
            <w:r>
              <w:rPr>
                <w:b/>
                <w:sz w:val="21"/>
              </w:rPr>
              <w:t xml:space="preserve">SCN No. and date; section</w:t>
            </w:r>
          </w:p>
        </w:tc>
        <w:tc>
          <w:tcPr>
            <w:tcW w:type="dxa" w:w="4467"/>
          </w:tcPr>
          <w:p>
            <w:pPr>
              <w:pStyle w:val="Compact"/>
              <w:spacing w:before="0" w:after="0" w:line="240" w:lineRule="auto"/>
              <w:jc w:val="left"/>
            </w:pPr>
            <w:r>
              <w:rPr>
                <w:sz w:val="21"/>
              </w:rPr>
              <w:t xml:space="preserve">[ ] under section [73 / 74 / 74A]</w:t>
            </w:r>
          </w:p>
        </w:tc>
      </w:tr>
      <w:tr>
        <w:tc>
          <w:tcPr>
            <w:tcW w:type="dxa" w:w="10103"/>
            <w:shd w:val="clear" w:color="auto" w:fill="F5F8FC"/>
          </w:tcPr>
          <w:p>
            <w:pPr>
              <w:pStyle w:val="Compact"/>
              <w:spacing w:before="0" w:after="0" w:line="240" w:lineRule="auto"/>
              <w:jc w:val="left"/>
            </w:pPr>
            <w:r>
              <w:rPr>
                <w:b/>
                <w:sz w:val="21"/>
              </w:rPr>
              <w:t xml:space="preserve">Financial year (one per SCN)</w:t>
            </w:r>
          </w:p>
        </w:tc>
        <w:tc>
          <w:tcPr>
            <w:tcW w:type="dxa" w:w="4467"/>
          </w:tcPr>
          <w:p>
            <w:pPr>
              <w:pStyle w:val="Compact"/>
              <w:spacing w:before="0" w:after="0" w:line="240" w:lineRule="auto"/>
              <w:jc w:val="left"/>
            </w:pPr>
            <w:r>
              <w:rPr>
                <w:sz w:val="21"/>
              </w:rPr>
              <w:t xml:space="preserve">[ ]</w:t>
            </w:r>
          </w:p>
        </w:tc>
      </w:tr>
      <w:tr>
        <w:tc>
          <w:tcPr>
            <w:tcW w:type="dxa" w:w="10103"/>
            <w:shd w:val="clear" w:color="auto" w:fill="F5F8FC"/>
          </w:tcPr>
          <w:p>
            <w:pPr>
              <w:pStyle w:val="Compact"/>
              <w:spacing w:before="0" w:after="0" w:line="240" w:lineRule="auto"/>
              <w:jc w:val="left"/>
            </w:pPr>
            <w:r>
              <w:rPr>
                <w:b/>
                <w:sz w:val="21"/>
              </w:rPr>
              <w:t xml:space="preserve">Tax proposed (CGST / SGST / IGST / Cess)</w:t>
            </w:r>
          </w:p>
        </w:tc>
        <w:tc>
          <w:tcPr>
            <w:tcW w:type="dxa" w:w="4467"/>
          </w:tcPr>
          <w:p>
            <w:pPr>
              <w:pStyle w:val="Compact"/>
              <w:spacing w:before="0" w:after="0" w:line="240" w:lineRule="auto"/>
              <w:jc w:val="left"/>
            </w:pPr>
            <w:r>
              <w:rPr>
                <w:sz w:val="21"/>
              </w:rPr>
              <w:t xml:space="preserve">[ ]</w:t>
            </w:r>
          </w:p>
        </w:tc>
      </w:tr>
      <w:tr>
        <w:tc>
          <w:tcPr>
            <w:tcW w:type="dxa" w:w="10103"/>
            <w:shd w:val="clear" w:color="auto" w:fill="F5F8FC"/>
          </w:tcPr>
          <w:p>
            <w:pPr>
              <w:pStyle w:val="Compact"/>
              <w:spacing w:before="0" w:after="0" w:line="240" w:lineRule="auto"/>
              <w:jc w:val="left"/>
            </w:pPr>
            <w:r>
              <w:rPr>
                <w:b/>
                <w:sz w:val="21"/>
              </w:rPr>
              <w:t xml:space="preserve">Last date for the SCN / for the order</w:t>
            </w:r>
          </w:p>
        </w:tc>
        <w:tc>
          <w:tcPr>
            <w:tcW w:type="dxa" w:w="4467"/>
          </w:tcPr>
          <w:p>
            <w:pPr>
              <w:pStyle w:val="Compact"/>
              <w:spacing w:before="0" w:after="0" w:line="240" w:lineRule="auto"/>
              <w:jc w:val="left"/>
            </w:pPr>
            <w:r>
              <w:rPr>
                <w:sz w:val="21"/>
              </w:rPr>
              <w:t xml:space="preserve">[ ] / [ ]</w:t>
            </w:r>
          </w:p>
        </w:tc>
      </w:tr>
      <w:tr>
        <w:tc>
          <w:tcPr>
            <w:tcW w:type="dxa" w:w="10103"/>
            <w:shd w:val="clear" w:color="auto" w:fill="F5F8FC"/>
          </w:tcPr>
          <w:p>
            <w:pPr>
              <w:pStyle w:val="Compact"/>
              <w:spacing w:before="0" w:after="0" w:line="240" w:lineRule="auto"/>
              <w:jc w:val="left"/>
            </w:pPr>
            <w:r>
              <w:rPr>
                <w:b/>
                <w:sz w:val="21"/>
              </w:rPr>
              <w:t xml:space="preserve">Dealing officer / Superintendent</w:t>
            </w:r>
          </w:p>
        </w:tc>
        <w:tc>
          <w:tcPr>
            <w:tcW w:type="dxa" w:w="4467"/>
          </w:tcPr>
          <w:p>
            <w:pPr>
              <w:pStyle w:val="Compact"/>
              <w:spacing w:before="0" w:after="0" w:line="240" w:lineRule="auto"/>
              <w:jc w:val="left"/>
            </w:pPr>
            <w:r>
              <w:rPr>
                <w:sz w:val="21"/>
              </w:rPr>
              <w:t xml:space="preserve">[ ]</w:t>
            </w:r>
          </w:p>
        </w:tc>
      </w:tr>
    </w:tbl>
    <w:p>
      <w:pPr>
        <w:pStyle w:val="BodyText"/>
        <w:spacing w:before="0" w:after="120" w:line="269" w:lineRule="auto"/>
      </w:pPr>
      <w:r>
        <w:rPr>
          <w:bCs/>
          <w:b/>
        </w:rPr>
        <w:t xml:space="preserve">Reference: time limits for SCNs and orders pending on 14.10.2026 (verify each date before relying on it)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394"/>
        <w:gridCol w:w="1998"/>
        <w:gridCol w:w="4067"/>
        <w:gridCol w:w="3834"/>
        <w:gridCol w:w="3277"/>
      </w:tblGrid>
      <w:tr>
        <w:trPr>
          <w:tblHeader w:val="true"/>
          <w:tblHeader/>
        </w:trPr>
        <w:tc>
          <w:tcPr>
            <w:tcW w:type="dxa" w:w="1394"/>
            <w:shd w:val="clear" w:color="auto" w:fill="DCE6F1"/>
          </w:tcPr>
          <w:p>
            <w:pPr>
              <w:pStyle w:val="Compact"/>
              <w:spacing w:before="0" w:after="0" w:line="240" w:lineRule="auto"/>
              <w:jc w:val="left"/>
            </w:pPr>
            <w:r>
              <w:rPr>
                <w:b/>
                <w:color w:val="1F3864"/>
                <w:sz w:val="21"/>
              </w:rPr>
              <w:t xml:space="preserve">FY</w:t>
            </w:r>
          </w:p>
        </w:tc>
        <w:tc>
          <w:tcPr>
            <w:tcW w:type="dxa" w:w="1998"/>
            <w:shd w:val="clear" w:color="auto" w:fill="DCE6F1"/>
          </w:tcPr>
          <w:p>
            <w:pPr>
              <w:pStyle w:val="Compact"/>
              <w:spacing w:before="0" w:after="0" w:line="240" w:lineRule="auto"/>
              <w:jc w:val="left"/>
            </w:pPr>
            <w:r>
              <w:rPr>
                <w:b/>
                <w:color w:val="1F3864"/>
                <w:sz w:val="21"/>
              </w:rPr>
              <w:t xml:space="preserve">Annual return due date</w:t>
            </w:r>
          </w:p>
        </w:tc>
        <w:tc>
          <w:tcPr>
            <w:tcW w:type="dxa" w:w="4067"/>
            <w:shd w:val="clear" w:color="auto" w:fill="DCE6F1"/>
          </w:tcPr>
          <w:p>
            <w:pPr>
              <w:pStyle w:val="Compact"/>
              <w:spacing w:before="0" w:after="0" w:line="240" w:lineRule="auto"/>
              <w:jc w:val="left"/>
            </w:pPr>
            <w:r>
              <w:rPr>
                <w:b/>
                <w:color w:val="1F3864"/>
                <w:sz w:val="21"/>
              </w:rPr>
              <w:t xml:space="preserve">Section 73: last date for SCN / order</w:t>
            </w:r>
          </w:p>
        </w:tc>
        <w:tc>
          <w:tcPr>
            <w:tcW w:type="dxa" w:w="3834"/>
            <w:shd w:val="clear" w:color="auto" w:fill="DCE6F1"/>
          </w:tcPr>
          <w:p>
            <w:pPr>
              <w:pStyle w:val="Compact"/>
              <w:spacing w:before="0" w:after="0" w:line="240" w:lineRule="auto"/>
              <w:jc w:val="left"/>
            </w:pPr>
            <w:r>
              <w:rPr>
                <w:b/>
                <w:color w:val="1F3864"/>
                <w:sz w:val="21"/>
              </w:rPr>
              <w:t xml:space="preserve">Section 74: last date for SCN / order</w:t>
            </w:r>
          </w:p>
        </w:tc>
        <w:tc>
          <w:tcPr>
            <w:tcW w:type="dxa" w:w="3277"/>
            <w:shd w:val="clear" w:color="auto" w:fill="DCE6F1"/>
          </w:tcPr>
          <w:p>
            <w:pPr>
              <w:pStyle w:val="Compact"/>
              <w:spacing w:before="0" w:after="0" w:line="240" w:lineRule="auto"/>
              <w:jc w:val="left"/>
            </w:pPr>
            <w:r>
              <w:rPr>
                <w:b/>
                <w:color w:val="1F3864"/>
                <w:sz w:val="21"/>
              </w:rPr>
              <w:t xml:space="preserve">Section 74A</w:t>
            </w:r>
          </w:p>
        </w:tc>
      </w:tr>
      <w:tr>
        <w:tc>
          <w:tcPr>
            <w:tcW w:type="dxa" w:w="1394"/>
          </w:tcPr>
          <w:p>
            <w:pPr>
              <w:pStyle w:val="Compact"/>
              <w:spacing w:before="0" w:after="0" w:line="240" w:lineRule="auto"/>
              <w:jc w:val="left"/>
            </w:pPr>
            <w:r>
              <w:rPr>
                <w:sz w:val="21"/>
              </w:rPr>
              <w:t xml:space="preserve">2020-21</w:t>
            </w:r>
          </w:p>
        </w:tc>
        <w:tc>
          <w:tcPr>
            <w:tcW w:type="dxa" w:w="1998"/>
          </w:tcPr>
          <w:p>
            <w:pPr>
              <w:pStyle w:val="Compact"/>
              <w:spacing w:before="0" w:after="0" w:line="240" w:lineRule="auto"/>
              <w:jc w:val="left"/>
            </w:pPr>
            <w:r>
              <w:rPr>
                <w:sz w:val="21"/>
              </w:rPr>
              <w:t xml:space="preserve">28.02.2022 (rule 80(1A))</w:t>
            </w:r>
          </w:p>
        </w:tc>
        <w:tc>
          <w:tcPr>
            <w:tcW w:type="dxa" w:w="4067"/>
          </w:tcPr>
          <w:p>
            <w:pPr>
              <w:pStyle w:val="Compact"/>
              <w:spacing w:before="0" w:after="0" w:line="240" w:lineRule="auto"/>
              <w:jc w:val="left"/>
            </w:pPr>
            <w:r>
              <w:rPr>
                <w:sz w:val="21"/>
              </w:rPr>
              <w:t xml:space="preserve">Closed (order by 28.02.2025)</w:t>
            </w:r>
          </w:p>
        </w:tc>
        <w:tc>
          <w:tcPr>
            <w:tcW w:type="dxa" w:w="3834"/>
          </w:tcPr>
          <w:p>
            <w:pPr>
              <w:pStyle w:val="Compact"/>
              <w:spacing w:before="0" w:after="0" w:line="240" w:lineRule="auto"/>
              <w:jc w:val="left"/>
            </w:pPr>
            <w:r>
              <w:rPr>
                <w:sz w:val="21"/>
              </w:rPr>
              <w:t xml:space="preserve">SCN closed (31.08.2026) / order by</w:t>
            </w:r>
            <w:r>
              <w:rPr>
                <w:sz w:val="21"/>
              </w:rPr>
              <w:t xml:space="preserve"> </w:t>
            </w:r>
            <w:r>
              <w:rPr>
                <w:bCs/>
                <w:b/>
                <w:sz w:val="21"/>
              </w:rPr>
              <w:t xml:space="preserve">28.02.2027</w:t>
            </w:r>
          </w:p>
        </w:tc>
        <w:tc>
          <w:tcPr>
            <w:tcW w:type="dxa" w:w="3277"/>
          </w:tcPr>
          <w:p>
            <w:pPr>
              <w:pStyle w:val="Compact"/>
              <w:spacing w:before="0" w:after="0" w:line="240" w:lineRule="auto"/>
              <w:jc w:val="left"/>
            </w:pPr>
            <w:r>
              <w:rPr>
                <w:sz w:val="21"/>
              </w:rPr>
              <w:t xml:space="preserve">Not applicable</w:t>
            </w:r>
          </w:p>
        </w:tc>
      </w:tr>
      <w:tr>
        <w:tc>
          <w:tcPr>
            <w:tcW w:type="dxa" w:w="1394"/>
          </w:tcPr>
          <w:p>
            <w:pPr>
              <w:pStyle w:val="Compact"/>
              <w:spacing w:before="0" w:after="0" w:line="240" w:lineRule="auto"/>
              <w:jc w:val="left"/>
            </w:pPr>
            <w:r>
              <w:rPr>
                <w:sz w:val="21"/>
              </w:rPr>
              <w:t xml:space="preserve">2021-22</w:t>
            </w:r>
          </w:p>
        </w:tc>
        <w:tc>
          <w:tcPr>
            <w:tcW w:type="dxa" w:w="1998"/>
          </w:tcPr>
          <w:p>
            <w:pPr>
              <w:pStyle w:val="Compact"/>
              <w:spacing w:before="0" w:after="0" w:line="240" w:lineRule="auto"/>
              <w:jc w:val="left"/>
            </w:pPr>
            <w:r>
              <w:rPr>
                <w:sz w:val="21"/>
              </w:rPr>
              <w:t xml:space="preserve">31.12.2022</w:t>
            </w:r>
          </w:p>
        </w:tc>
        <w:tc>
          <w:tcPr>
            <w:tcW w:type="dxa" w:w="4067"/>
          </w:tcPr>
          <w:p>
            <w:pPr>
              <w:pStyle w:val="Compact"/>
              <w:spacing w:before="0" w:after="0" w:line="240" w:lineRule="auto"/>
              <w:jc w:val="left"/>
            </w:pPr>
            <w:r>
              <w:rPr>
                <w:sz w:val="21"/>
              </w:rPr>
              <w:t xml:space="preserve">Closed (order by 31.12.2025)</w:t>
            </w:r>
          </w:p>
        </w:tc>
        <w:tc>
          <w:tcPr>
            <w:tcW w:type="dxa" w:w="3834"/>
          </w:tcPr>
          <w:p>
            <w:pPr>
              <w:pStyle w:val="Compact"/>
              <w:spacing w:before="0" w:after="0" w:line="240" w:lineRule="auto"/>
              <w:jc w:val="left"/>
            </w:pPr>
            <w:r>
              <w:rPr>
                <w:sz w:val="21"/>
              </w:rPr>
              <w:t xml:space="preserve">30.06.2027 / 31.12.2027</w:t>
            </w:r>
          </w:p>
        </w:tc>
        <w:tc>
          <w:tcPr>
            <w:tcW w:type="dxa" w:w="3277"/>
          </w:tcPr>
          <w:p>
            <w:pPr>
              <w:pStyle w:val="Compact"/>
              <w:spacing w:before="0" w:after="0" w:line="240" w:lineRule="auto"/>
              <w:jc w:val="left"/>
            </w:pPr>
            <w:r>
              <w:rPr>
                <w:sz w:val="21"/>
              </w:rPr>
              <w:t xml:space="preserve">Not applicable</w:t>
            </w:r>
          </w:p>
        </w:tc>
      </w:tr>
      <w:tr>
        <w:tc>
          <w:tcPr>
            <w:tcW w:type="dxa" w:w="1394"/>
          </w:tcPr>
          <w:p>
            <w:pPr>
              <w:pStyle w:val="Compact"/>
              <w:spacing w:before="0" w:after="0" w:line="240" w:lineRule="auto"/>
              <w:jc w:val="left"/>
            </w:pPr>
            <w:r>
              <w:rPr>
                <w:sz w:val="21"/>
              </w:rPr>
              <w:t xml:space="preserve">2022-23</w:t>
            </w:r>
          </w:p>
        </w:tc>
        <w:tc>
          <w:tcPr>
            <w:tcW w:type="dxa" w:w="1998"/>
          </w:tcPr>
          <w:p>
            <w:pPr>
              <w:pStyle w:val="Compact"/>
              <w:spacing w:before="0" w:after="0" w:line="240" w:lineRule="auto"/>
              <w:jc w:val="left"/>
            </w:pPr>
            <w:r>
              <w:rPr>
                <w:sz w:val="21"/>
              </w:rPr>
              <w:t xml:space="preserve">31.12.2023</w:t>
            </w:r>
          </w:p>
        </w:tc>
        <w:tc>
          <w:tcPr>
            <w:tcW w:type="dxa" w:w="4067"/>
          </w:tcPr>
          <w:p>
            <w:pPr>
              <w:pStyle w:val="Compact"/>
              <w:spacing w:before="0" w:after="0" w:line="240" w:lineRule="auto"/>
              <w:jc w:val="left"/>
            </w:pPr>
            <w:r>
              <w:rPr>
                <w:sz w:val="21"/>
              </w:rPr>
              <w:t xml:space="preserve">SCN closed (30.09.2026) / order by</w:t>
            </w:r>
            <w:r>
              <w:rPr>
                <w:sz w:val="21"/>
              </w:rPr>
              <w:t xml:space="preserve"> </w:t>
            </w:r>
            <w:r>
              <w:rPr>
                <w:bCs/>
                <w:b/>
                <w:sz w:val="21"/>
              </w:rPr>
              <w:t xml:space="preserve">31.12.2026</w:t>
            </w:r>
          </w:p>
        </w:tc>
        <w:tc>
          <w:tcPr>
            <w:tcW w:type="dxa" w:w="3834"/>
          </w:tcPr>
          <w:p>
            <w:pPr>
              <w:pStyle w:val="Compact"/>
              <w:spacing w:before="0" w:after="0" w:line="240" w:lineRule="auto"/>
              <w:jc w:val="left"/>
            </w:pPr>
            <w:r>
              <w:rPr>
                <w:sz w:val="21"/>
              </w:rPr>
              <w:t xml:space="preserve">30.06.2028 / 31.12.2028</w:t>
            </w:r>
          </w:p>
        </w:tc>
        <w:tc>
          <w:tcPr>
            <w:tcW w:type="dxa" w:w="3277"/>
          </w:tcPr>
          <w:p>
            <w:pPr>
              <w:pStyle w:val="Compact"/>
              <w:spacing w:before="0" w:after="0" w:line="240" w:lineRule="auto"/>
              <w:jc w:val="left"/>
            </w:pPr>
            <w:r>
              <w:rPr>
                <w:sz w:val="21"/>
              </w:rPr>
              <w:t xml:space="preserve">Not applicable</w:t>
            </w:r>
          </w:p>
        </w:tc>
      </w:tr>
      <w:tr>
        <w:tc>
          <w:tcPr>
            <w:tcW w:type="dxa" w:w="1394"/>
          </w:tcPr>
          <w:p>
            <w:pPr>
              <w:pStyle w:val="Compact"/>
              <w:spacing w:before="0" w:after="0" w:line="240" w:lineRule="auto"/>
              <w:jc w:val="left"/>
            </w:pPr>
            <w:r>
              <w:rPr>
                <w:sz w:val="21"/>
              </w:rPr>
              <w:t xml:space="preserve">2023-24</w:t>
            </w:r>
          </w:p>
        </w:tc>
        <w:tc>
          <w:tcPr>
            <w:tcW w:type="dxa" w:w="1998"/>
          </w:tcPr>
          <w:p>
            <w:pPr>
              <w:pStyle w:val="Compact"/>
              <w:spacing w:before="0" w:after="0" w:line="240" w:lineRule="auto"/>
              <w:jc w:val="left"/>
            </w:pPr>
            <w:r>
              <w:rPr>
                <w:sz w:val="21"/>
              </w:rPr>
              <w:t xml:space="preserve">31.12.2024</w:t>
            </w:r>
          </w:p>
        </w:tc>
        <w:tc>
          <w:tcPr>
            <w:tcW w:type="dxa" w:w="4067"/>
          </w:tcPr>
          <w:p>
            <w:pPr>
              <w:pStyle w:val="Compact"/>
              <w:spacing w:before="0" w:after="0" w:line="240" w:lineRule="auto"/>
              <w:jc w:val="left"/>
            </w:pPr>
            <w:r>
              <w:rPr>
                <w:sz w:val="21"/>
              </w:rPr>
              <w:t xml:space="preserve">30.09.2027 / 31.12.2027</w:t>
            </w:r>
          </w:p>
        </w:tc>
        <w:tc>
          <w:tcPr>
            <w:tcW w:type="dxa" w:w="3834"/>
          </w:tcPr>
          <w:p>
            <w:pPr>
              <w:pStyle w:val="Compact"/>
              <w:spacing w:before="0" w:after="0" w:line="240" w:lineRule="auto"/>
              <w:jc w:val="left"/>
            </w:pPr>
            <w:r>
              <w:rPr>
                <w:sz w:val="21"/>
              </w:rPr>
              <w:t xml:space="preserve">30.06.2029 / 31.12.2029</w:t>
            </w:r>
          </w:p>
        </w:tc>
        <w:tc>
          <w:tcPr>
            <w:tcW w:type="dxa" w:w="3277"/>
          </w:tcPr>
          <w:p>
            <w:pPr>
              <w:pStyle w:val="Compact"/>
              <w:spacing w:before="0" w:after="0" w:line="240" w:lineRule="auto"/>
              <w:jc w:val="left"/>
            </w:pPr>
            <w:r>
              <w:rPr>
                <w:sz w:val="21"/>
              </w:rPr>
              <w:t xml:space="preserve">Not applicable</w:t>
            </w:r>
          </w:p>
        </w:tc>
      </w:tr>
      <w:tr>
        <w:tc>
          <w:tcPr>
            <w:tcW w:type="dxa" w:w="1394"/>
          </w:tcPr>
          <w:p>
            <w:pPr>
              <w:pStyle w:val="Compact"/>
              <w:spacing w:before="0" w:after="0" w:line="240" w:lineRule="auto"/>
              <w:jc w:val="left"/>
            </w:pPr>
            <w:r>
              <w:rPr>
                <w:sz w:val="21"/>
              </w:rPr>
              <w:t xml:space="preserve">2024-25</w:t>
            </w:r>
          </w:p>
        </w:tc>
        <w:tc>
          <w:tcPr>
            <w:tcW w:type="dxa" w:w="1998"/>
          </w:tcPr>
          <w:p>
            <w:pPr>
              <w:pStyle w:val="Compact"/>
              <w:spacing w:before="0" w:after="0" w:line="240" w:lineRule="auto"/>
              <w:jc w:val="left"/>
            </w:pPr>
            <w:r>
              <w:rPr>
                <w:sz w:val="21"/>
              </w:rPr>
              <w:t xml:space="preserve">31.12.2025</w:t>
            </w:r>
          </w:p>
        </w:tc>
        <w:tc>
          <w:tcPr>
            <w:tcW w:type="dxa" w:w="4067"/>
          </w:tcPr>
          <w:p>
            <w:pPr>
              <w:pStyle w:val="Compact"/>
              <w:spacing w:before="0" w:after="0" w:line="240" w:lineRule="auto"/>
              <w:jc w:val="left"/>
            </w:pPr>
            <w:r>
              <w:rPr>
                <w:sz w:val="21"/>
              </w:rPr>
              <w:t xml:space="preserve">Not applicable</w:t>
            </w:r>
          </w:p>
        </w:tc>
        <w:tc>
          <w:tcPr>
            <w:tcW w:type="dxa" w:w="3834"/>
          </w:tcPr>
          <w:p>
            <w:pPr>
              <w:pStyle w:val="Compact"/>
              <w:spacing w:before="0" w:after="0" w:line="240" w:lineRule="auto"/>
              <w:jc w:val="left"/>
            </w:pPr>
            <w:r>
              <w:rPr>
                <w:sz w:val="21"/>
              </w:rPr>
              <w:t xml:space="preserve">Not applicable</w:t>
            </w:r>
          </w:p>
        </w:tc>
        <w:tc>
          <w:tcPr>
            <w:tcW w:type="dxa" w:w="3277"/>
          </w:tcPr>
          <w:p>
            <w:pPr>
              <w:pStyle w:val="Compact"/>
              <w:spacing w:before="0" w:after="0" w:line="240" w:lineRule="auto"/>
              <w:jc w:val="left"/>
            </w:pPr>
            <w:r>
              <w:rPr>
                <w:sz w:val="21"/>
              </w:rPr>
              <w:t xml:space="preserve">SCN by 30.06.2029; order within 12 months of the SCN (plus up to 6 months)</w:t>
            </w:r>
          </w:p>
        </w:tc>
      </w:tr>
    </w:tbl>
    <w:p>
      <w:pPr>
        <w:pageBreakBefore/>
        <w:spacing w:after="80"/>
      </w:pPr>
      <w:r>
        <w:rPr>
          <w:b/>
          <w:sz w:val="24"/>
        </w:rPr>
        <w:t>Stage A. The SCN, before it is issued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97"/>
        <w:gridCol w:w="6980"/>
        <w:gridCol w:w="5596"/>
        <w:gridCol w:w="997"/>
      </w:tblGrid>
      <w:tr>
        <w:trPr>
          <w:tblHeader w:val="true"/>
          <w:tblHeader/>
        </w:trPr>
        <w:tc>
          <w:tcPr>
            <w:tcW w:type="dxa" w:w="997"/>
            <w:shd w:val="clear" w:color="auto" w:fill="DCE6F1"/>
          </w:tcPr>
          <w:p>
            <w:pPr>
              <w:pStyle w:val="Compact"/>
              <w:spacing w:before="0" w:after="0" w:line="240" w:lineRule="auto"/>
              <w:jc w:val="left"/>
            </w:pPr>
            <w:r>
              <w:rPr>
                <w:b/>
                <w:color w:val="1F3864"/>
                <w:sz w:val="21"/>
              </w:rPr>
              <w:t xml:space="preserve">No.</w:t>
            </w:r>
          </w:p>
        </w:tc>
        <w:tc>
          <w:tcPr>
            <w:tcW w:type="dxa" w:w="6980"/>
            <w:shd w:val="clear" w:color="auto" w:fill="DCE6F1"/>
          </w:tcPr>
          <w:p>
            <w:pPr>
              <w:pStyle w:val="Compact"/>
              <w:spacing w:before="0" w:after="0" w:line="240" w:lineRule="auto"/>
              <w:jc w:val="left"/>
            </w:pPr>
            <w:r>
              <w:rPr>
                <w:b/>
                <w:color w:val="1F3864"/>
                <w:sz w:val="21"/>
              </w:rPr>
              <w:t xml:space="preserve">Check</w:t>
            </w:r>
          </w:p>
        </w:tc>
        <w:tc>
          <w:tcPr>
            <w:tcW w:type="dxa" w:w="5596"/>
            <w:shd w:val="clear" w:color="auto" w:fill="DCE6F1"/>
          </w:tcPr>
          <w:p>
            <w:pPr>
              <w:pStyle w:val="Compact"/>
              <w:spacing w:before="0" w:after="0" w:line="240" w:lineRule="auto"/>
              <w:jc w:val="left"/>
            </w:pPr>
            <w:r>
              <w:rPr>
                <w:b/>
                <w:color w:val="1F3864"/>
                <w:sz w:val="21"/>
              </w:rPr>
              <w:t xml:space="preserve">Provision or case</w:t>
            </w:r>
          </w:p>
        </w:tc>
        <w:tc>
          <w:tcPr>
            <w:tcW w:type="dxa" w:w="997"/>
            <w:shd w:val="clear" w:color="auto" w:fill="DCE6F1"/>
          </w:tcPr>
          <w:p>
            <w:pPr>
              <w:pStyle w:val="Compact"/>
              <w:spacing w:before="0" w:after="0" w:line="240" w:lineRule="auto"/>
              <w:jc w:val="left"/>
            </w:pPr>
            <w:r>
              <w:rPr>
                <w:b/>
                <w:color w:val="1F3864"/>
                <w:sz w:val="21"/>
              </w:rPr>
              <w:t xml:space="preserve">Tick</w:t>
            </w:r>
          </w:p>
        </w:tc>
      </w:tr>
      <w:tr>
        <w:tc>
          <w:tcPr>
            <w:tcW w:type="dxa" w:w="997"/>
          </w:tcPr>
          <w:p>
            <w:pPr>
              <w:pStyle w:val="Compact"/>
              <w:spacing w:before="0" w:after="0" w:line="240" w:lineRule="auto"/>
              <w:jc w:val="left"/>
            </w:pPr>
            <w:r>
              <w:rPr>
                <w:sz w:val="21"/>
              </w:rPr>
              <w:t xml:space="preserve">A1</w:t>
            </w:r>
          </w:p>
        </w:tc>
        <w:tc>
          <w:tcPr>
            <w:tcW w:type="dxa" w:w="6980"/>
          </w:tcPr>
          <w:p>
            <w:pPr>
              <w:pStyle w:val="Compact"/>
              <w:spacing w:before="0" w:after="0" w:line="240" w:lineRule="auto"/>
              <w:jc w:val="left"/>
            </w:pPr>
            <w:r>
              <w:rPr>
                <w:sz w:val="21"/>
              </w:rPr>
              <w:t xml:space="preserve">Right section: 73 or 74 up to FY 2023-24; 74A from FY 2024-25. One financial year (recommended; a composite s.74 SCN is lawful in Telangana if each year is within its limit and shown year-wise); never 73/74 with 74A.</w:t>
            </w:r>
          </w:p>
        </w:tc>
        <w:tc>
          <w:tcPr>
            <w:tcW w:type="dxa" w:w="5596"/>
          </w:tcPr>
          <w:p>
            <w:pPr>
              <w:pStyle w:val="Compact"/>
              <w:spacing w:before="0" w:after="0" w:line="240" w:lineRule="auto"/>
              <w:jc w:val="left"/>
            </w:pPr>
            <w:r>
              <w:rPr>
                <w:sz w:val="21"/>
              </w:rPr>
              <w:t xml:space="preserve">Sections 73(12), 74(12), 74A(12);</w:t>
            </w:r>
            <w:r>
              <w:rPr>
                <w:sz w:val="21"/>
              </w:rPr>
              <w:t xml:space="preserve"> </w:t>
            </w:r>
            <w:r>
              <w:rPr>
                <w:iCs/>
                <w:i/>
                <w:sz w:val="21"/>
              </w:rPr>
              <w:t xml:space="preserve">Goldstone Infra</w:t>
            </w:r>
            <w:r>
              <w:rPr>
                <w:sz w:val="21"/>
              </w:rPr>
              <w:t xml:space="preserve"> </w:t>
            </w:r>
            <w:r>
              <w:rPr>
                <w:sz w:val="21"/>
              </w:rPr>
              <w:t xml:space="preserve">(TG DB, 27.01.2026)</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A2</w:t>
            </w:r>
          </w:p>
        </w:tc>
        <w:tc>
          <w:tcPr>
            <w:tcW w:type="dxa" w:w="6980"/>
          </w:tcPr>
          <w:p>
            <w:pPr>
              <w:pStyle w:val="Compact"/>
              <w:spacing w:before="0" w:after="0" w:line="240" w:lineRule="auto"/>
              <w:jc w:val="left"/>
            </w:pPr>
            <w:r>
              <w:rPr>
                <w:sz w:val="21"/>
              </w:rPr>
              <w:t xml:space="preserve">Limitation box in the SCN (annual return due date, order deadline, last SCN date, this SCN’s date; margin one month). Section 168A extension noted with SLP (C) 4240/2025. Section 74A: tax ₹1,000 or more.</w:t>
            </w:r>
          </w:p>
        </w:tc>
        <w:tc>
          <w:tcPr>
            <w:tcW w:type="dxa" w:w="5596"/>
          </w:tcPr>
          <w:p>
            <w:pPr>
              <w:pStyle w:val="Compact"/>
              <w:spacing w:before="0" w:after="0" w:line="240" w:lineRule="auto"/>
              <w:jc w:val="left"/>
            </w:pPr>
            <w:r>
              <w:rPr>
                <w:sz w:val="21"/>
              </w:rPr>
              <w:t xml:space="preserve">Sections 73(2), (10); 74(2), (10); 74A(2), proviso to 74A(1); 168A;</w:t>
            </w:r>
            <w:r>
              <w:rPr>
                <w:sz w:val="21"/>
              </w:rPr>
              <w:t xml:space="preserve"> </w:t>
            </w:r>
            <w:r>
              <w:rPr>
                <w:iCs/>
                <w:i/>
                <w:sz w:val="21"/>
              </w:rPr>
              <w:t xml:space="preserve">Brunda Infra</w:t>
            </w:r>
            <w:r>
              <w:rPr>
                <w:sz w:val="21"/>
              </w:rPr>
              <w:t xml:space="preserve"> </w:t>
            </w:r>
            <w:r>
              <w:rPr>
                <w:sz w:val="21"/>
              </w:rPr>
              <w:t xml:space="preserve">(TG)</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A3</w:t>
            </w:r>
          </w:p>
        </w:tc>
        <w:tc>
          <w:tcPr>
            <w:tcW w:type="dxa" w:w="6980"/>
          </w:tcPr>
          <w:p>
            <w:pPr>
              <w:pStyle w:val="Compact"/>
              <w:spacing w:before="0" w:after="0" w:line="240" w:lineRule="auto"/>
              <w:jc w:val="left"/>
            </w:pPr>
            <w:r>
              <w:rPr>
                <w:sz w:val="21"/>
              </w:rPr>
              <w:t xml:space="preserve">I am the proper officer: monetary band (tax only; CGST and IGST combined), Audit/DGGI allocation. The SCN names the adjudicating authority.</w:t>
            </w:r>
          </w:p>
        </w:tc>
        <w:tc>
          <w:tcPr>
            <w:tcW w:type="dxa" w:w="5596"/>
          </w:tcPr>
          <w:p>
            <w:pPr>
              <w:pStyle w:val="Compact"/>
              <w:spacing w:before="0" w:after="0" w:line="240" w:lineRule="auto"/>
              <w:jc w:val="left"/>
            </w:pPr>
            <w:r>
              <w:rPr>
                <w:sz w:val="21"/>
              </w:rPr>
              <w:t xml:space="preserve">Circular 31/05/2018-GST as amended (169/01/2022, 239/33/2024); Circular 254/11/2025-GST</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A4</w:t>
            </w:r>
          </w:p>
        </w:tc>
        <w:tc>
          <w:tcPr>
            <w:tcW w:type="dxa" w:w="6980"/>
          </w:tcPr>
          <w:p>
            <w:pPr>
              <w:pStyle w:val="Compact"/>
              <w:spacing w:before="0" w:after="0" w:line="240" w:lineRule="auto"/>
              <w:jc w:val="left"/>
            </w:pPr>
            <w:r>
              <w:rPr>
                <w:sz w:val="21"/>
              </w:rPr>
              <w:t xml:space="preserve">No SCN by the State on the same subject matter and period; no duplicate by this office. The check is recorded in the SCN.</w:t>
            </w:r>
          </w:p>
        </w:tc>
        <w:tc>
          <w:tcPr>
            <w:tcW w:type="dxa" w:w="5596"/>
          </w:tcPr>
          <w:p>
            <w:pPr>
              <w:pStyle w:val="Compact"/>
              <w:spacing w:before="0" w:after="0" w:line="240" w:lineRule="auto"/>
              <w:jc w:val="left"/>
            </w:pPr>
            <w:r>
              <w:rPr>
                <w:sz w:val="21"/>
              </w:rPr>
              <w:t xml:space="preserve">Section 6(2)(b);</w:t>
            </w:r>
            <w:r>
              <w:rPr>
                <w:sz w:val="21"/>
              </w:rPr>
              <w:t xml:space="preserve"> </w:t>
            </w:r>
            <w:r>
              <w:rPr>
                <w:iCs/>
                <w:i/>
                <w:sz w:val="21"/>
              </w:rPr>
              <w:t xml:space="preserve">Armour Security</w:t>
            </w:r>
            <w:r>
              <w:rPr>
                <w:sz w:val="21"/>
              </w:rPr>
              <w:t xml:space="preserve"> </w:t>
            </w:r>
            <w:r>
              <w:rPr>
                <w:sz w:val="21"/>
              </w:rPr>
              <w:t xml:space="preserve">(SC)</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A5</w:t>
            </w:r>
          </w:p>
        </w:tc>
        <w:tc>
          <w:tcPr>
            <w:tcW w:type="dxa" w:w="6980"/>
          </w:tcPr>
          <w:p>
            <w:pPr>
              <w:pStyle w:val="Compact"/>
              <w:spacing w:before="0" w:after="0" w:line="240" w:lineRule="auto"/>
              <w:jc w:val="left"/>
            </w:pPr>
            <w:r>
              <w:rPr>
                <w:sz w:val="21"/>
              </w:rPr>
              <w:t xml:space="preserve">DRC-01A or audit observations: the reply period has run out and the reply is answered in the SCN.</w:t>
            </w:r>
          </w:p>
        </w:tc>
        <w:tc>
          <w:tcPr>
            <w:tcW w:type="dxa" w:w="5596"/>
          </w:tcPr>
          <w:p>
            <w:pPr>
              <w:pStyle w:val="Compact"/>
              <w:spacing w:before="0" w:after="0" w:line="240" w:lineRule="auto"/>
              <w:jc w:val="left"/>
            </w:pPr>
            <w:r>
              <w:rPr>
                <w:sz w:val="21"/>
              </w:rPr>
              <w:t xml:space="preserve">Rule 142(1A), (2A);</w:t>
            </w:r>
            <w:r>
              <w:rPr>
                <w:sz w:val="21"/>
              </w:rPr>
              <w:t xml:space="preserve"> </w:t>
            </w:r>
            <w:r>
              <w:rPr>
                <w:iCs/>
                <w:i/>
                <w:sz w:val="21"/>
              </w:rPr>
              <w:t xml:space="preserve">Varian Medical</w:t>
            </w:r>
            <w:r>
              <w:rPr>
                <w:sz w:val="21"/>
              </w:rPr>
              <w:t xml:space="preserve"> </w:t>
            </w:r>
            <w:r>
              <w:rPr>
                <w:sz w:val="21"/>
              </w:rPr>
              <w:t xml:space="preserve">(P)</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A6</w:t>
            </w:r>
          </w:p>
        </w:tc>
        <w:tc>
          <w:tcPr>
            <w:tcW w:type="dxa" w:w="6980"/>
          </w:tcPr>
          <w:p>
            <w:pPr>
              <w:pStyle w:val="Compact"/>
              <w:spacing w:before="0" w:after="0" w:line="240" w:lineRule="auto"/>
              <w:jc w:val="left"/>
            </w:pPr>
            <w:r>
              <w:rPr>
                <w:sz w:val="21"/>
              </w:rPr>
              <w:t xml:space="preserve">The issue is not settled against the department by an SC or TG ruling or a binding circular.</w:t>
            </w:r>
          </w:p>
        </w:tc>
        <w:tc>
          <w:tcPr>
            <w:tcW w:type="dxa" w:w="5596"/>
          </w:tcPr>
          <w:p>
            <w:pPr>
              <w:pStyle w:val="Compact"/>
              <w:spacing w:before="0" w:after="0" w:line="240" w:lineRule="auto"/>
              <w:jc w:val="left"/>
            </w:pPr>
            <w:r>
              <w:rPr>
                <w:iCs/>
                <w:i/>
                <w:sz w:val="21"/>
              </w:rPr>
              <w:t xml:space="preserve">Kamlakshi Finance</w:t>
            </w:r>
            <w:r>
              <w:rPr>
                <w:sz w:val="21"/>
              </w:rPr>
              <w:t xml:space="preserve"> </w:t>
            </w:r>
            <w:r>
              <w:rPr>
                <w:sz w:val="21"/>
              </w:rPr>
              <w:t xml:space="preserve">(SC);</w:t>
            </w:r>
            <w:r>
              <w:rPr>
                <w:sz w:val="21"/>
              </w:rPr>
              <w:t xml:space="preserve"> </w:t>
            </w:r>
            <w:r>
              <w:rPr>
                <w:iCs/>
                <w:i/>
                <w:sz w:val="21"/>
              </w:rPr>
              <w:t xml:space="preserve">Ratan Melting</w:t>
            </w:r>
            <w:r>
              <w:rPr>
                <w:sz w:val="21"/>
              </w:rPr>
              <w:t xml:space="preserve"> </w:t>
            </w:r>
            <w:r>
              <w:rPr>
                <w:sz w:val="21"/>
              </w:rPr>
              <w:t xml:space="preserve">(SC)</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A7</w:t>
            </w:r>
          </w:p>
        </w:tc>
        <w:tc>
          <w:tcPr>
            <w:tcW w:type="dxa" w:w="6980"/>
          </w:tcPr>
          <w:p>
            <w:pPr>
              <w:pStyle w:val="Compact"/>
              <w:spacing w:before="0" w:after="0" w:line="240" w:lineRule="auto"/>
              <w:jc w:val="left"/>
            </w:pPr>
            <w:r>
              <w:rPr>
                <w:sz w:val="21"/>
              </w:rPr>
              <w:t xml:space="preserve">Each issue states facts, period, invoices or figures, the provision breached (to the clause), and the evidence, in the body of the SCN (not only in an annexed letter or report). A reader could reply without asking anything.</w:t>
            </w:r>
          </w:p>
        </w:tc>
        <w:tc>
          <w:tcPr>
            <w:tcW w:type="dxa" w:w="5596"/>
          </w:tcPr>
          <w:p>
            <w:pPr>
              <w:pStyle w:val="Compact"/>
              <w:spacing w:before="0" w:after="0" w:line="240" w:lineRule="auto"/>
              <w:jc w:val="left"/>
            </w:pPr>
            <w:r>
              <w:rPr>
                <w:sz w:val="21"/>
              </w:rPr>
              <w:t xml:space="preserve">Section 73(1)/74(1)/74A(1);</w:t>
            </w:r>
            <w:r>
              <w:rPr>
                <w:sz w:val="21"/>
              </w:rPr>
              <w:t xml:space="preserve"> </w:t>
            </w:r>
            <w:r>
              <w:rPr>
                <w:iCs/>
                <w:i/>
                <w:sz w:val="21"/>
              </w:rPr>
              <w:t xml:space="preserve">Brindavan Beverages</w:t>
            </w:r>
            <w:r>
              <w:rPr>
                <w:sz w:val="21"/>
              </w:rPr>
              <w:t xml:space="preserve"> </w:t>
            </w:r>
            <w:r>
              <w:rPr>
                <w:sz w:val="21"/>
              </w:rPr>
              <w:t xml:space="preserve">(SC);</w:t>
            </w:r>
            <w:r>
              <w:rPr>
                <w:sz w:val="21"/>
              </w:rPr>
              <w:t xml:space="preserve"> </w:t>
            </w:r>
            <w:r>
              <w:rPr>
                <w:iCs/>
                <w:i/>
                <w:sz w:val="21"/>
              </w:rPr>
              <w:t xml:space="preserve">A1 Adil Traders</w:t>
            </w:r>
            <w:r>
              <w:rPr>
                <w:sz w:val="21"/>
              </w:rPr>
              <w:t xml:space="preserve"> </w:t>
            </w:r>
            <w:r>
              <w:rPr>
                <w:sz w:val="21"/>
              </w:rPr>
              <w:t xml:space="preserve">(TG)</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A8</w:t>
            </w:r>
          </w:p>
        </w:tc>
        <w:tc>
          <w:tcPr>
            <w:tcW w:type="dxa" w:w="6980"/>
          </w:tcPr>
          <w:p>
            <w:pPr>
              <w:pStyle w:val="Compact"/>
              <w:spacing w:before="0" w:after="0" w:line="240" w:lineRule="auto"/>
              <w:jc w:val="left"/>
            </w:pPr>
            <w:r>
              <w:rPr>
                <w:sz w:val="21"/>
              </w:rPr>
              <w:t xml:space="preserve">Section 74 or 74A(5)(ii): a separate heading with the one ground relied on, the specific facts, the evidence and the intent. No</w:t>
            </w:r>
            <w:r>
              <w:rPr>
                <w:sz w:val="21"/>
              </w:rPr>
              <w:t xml:space="preserve"> </w:t>
            </w:r>
            <w:r>
              <w:rPr>
                <w:sz w:val="21"/>
              </w:rPr>
              <w:t xml:space="preserve">“</w:t>
            </w:r>
            <w:r>
              <w:rPr>
                <w:sz w:val="21"/>
              </w:rPr>
              <w:t xml:space="preserve">fraud or wilful misstatement or suppression</w:t>
            </w:r>
            <w:r>
              <w:rPr>
                <w:sz w:val="21"/>
              </w:rPr>
              <w:t xml:space="preserve">”</w:t>
            </w:r>
            <w:r>
              <w:rPr>
                <w:sz w:val="21"/>
              </w:rPr>
              <w:t xml:space="preserve"> </w:t>
            </w:r>
            <w:r>
              <w:rPr>
                <w:sz w:val="21"/>
              </w:rPr>
              <w:t xml:space="preserve">list. Not for a mismatch or a disclosed rate dispute.</w:t>
            </w:r>
          </w:p>
        </w:tc>
        <w:tc>
          <w:tcPr>
            <w:tcW w:type="dxa" w:w="5596"/>
          </w:tcPr>
          <w:p>
            <w:pPr>
              <w:pStyle w:val="Compact"/>
              <w:spacing w:before="0" w:after="0" w:line="240" w:lineRule="auto"/>
              <w:jc w:val="left"/>
            </w:pPr>
            <w:r>
              <w:rPr>
                <w:iCs/>
                <w:i/>
                <w:sz w:val="21"/>
              </w:rPr>
              <w:t xml:space="preserve">G.R. Infra Projects</w:t>
            </w:r>
            <w:r>
              <w:rPr>
                <w:sz w:val="21"/>
              </w:rPr>
              <w:t xml:space="preserve"> </w:t>
            </w:r>
            <w:r>
              <w:rPr>
                <w:sz w:val="21"/>
              </w:rPr>
              <w:t xml:space="preserve">(SC, 19.08.2026); Explanation 2 to section 74</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A9</w:t>
            </w:r>
          </w:p>
        </w:tc>
        <w:tc>
          <w:tcPr>
            <w:tcW w:type="dxa" w:w="6980"/>
          </w:tcPr>
          <w:p>
            <w:pPr>
              <w:pStyle w:val="Compact"/>
              <w:spacing w:before="0" w:after="0" w:line="240" w:lineRule="auto"/>
              <w:jc w:val="left"/>
            </w:pPr>
            <w:r>
              <w:rPr>
                <w:sz w:val="21"/>
              </w:rPr>
              <w:t xml:space="preserve">Quantified in the DRC-01 13-column layout, issue by issue and head by head; credit for DRC-03 and reversals; only the shortfall proposed.</w:t>
            </w:r>
          </w:p>
        </w:tc>
        <w:tc>
          <w:tcPr>
            <w:tcW w:type="dxa" w:w="5596"/>
          </w:tcPr>
          <w:p>
            <w:pPr>
              <w:pStyle w:val="Compact"/>
              <w:spacing w:before="0" w:after="0" w:line="240" w:lineRule="auto"/>
              <w:jc w:val="left"/>
            </w:pPr>
            <w:r>
              <w:rPr>
                <w:sz w:val="21"/>
              </w:rPr>
              <w:t xml:space="preserve">Rule 142(1)(a); sections 73(5)-(7), 74(5)-(7), 74A(10)</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A10</w:t>
            </w:r>
          </w:p>
        </w:tc>
        <w:tc>
          <w:tcPr>
            <w:tcW w:type="dxa" w:w="6980"/>
          </w:tcPr>
          <w:p>
            <w:pPr>
              <w:pStyle w:val="Compact"/>
              <w:spacing w:before="0" w:after="0" w:line="240" w:lineRule="auto"/>
              <w:jc w:val="left"/>
            </w:pPr>
            <w:r>
              <w:rPr>
                <w:sz w:val="21"/>
              </w:rPr>
              <w:t xml:space="preserve">Interest proposed with its sub-section and start date (50(1) with the cash-portion proviso; 50(3) with a utilisation table).</w:t>
            </w:r>
          </w:p>
        </w:tc>
        <w:tc>
          <w:tcPr>
            <w:tcW w:type="dxa" w:w="5596"/>
          </w:tcPr>
          <w:p>
            <w:pPr>
              <w:pStyle w:val="Compact"/>
              <w:spacing w:before="0" w:after="0" w:line="240" w:lineRule="auto"/>
              <w:jc w:val="left"/>
            </w:pPr>
            <w:r>
              <w:rPr>
                <w:sz w:val="21"/>
              </w:rPr>
              <w:t xml:space="preserve">Section 50; rule 88B;</w:t>
            </w:r>
            <w:r>
              <w:rPr>
                <w:sz w:val="21"/>
              </w:rPr>
              <w:t xml:space="preserve"> </w:t>
            </w:r>
            <w:r>
              <w:rPr>
                <w:iCs/>
                <w:i/>
                <w:sz w:val="21"/>
              </w:rPr>
              <w:t xml:space="preserve">Sanjay Construction</w:t>
            </w:r>
            <w:r>
              <w:rPr>
                <w:sz w:val="21"/>
              </w:rPr>
              <w:t xml:space="preserve"> </w:t>
            </w:r>
            <w:r>
              <w:rPr>
                <w:sz w:val="21"/>
              </w:rPr>
              <w:t xml:space="preserve">(P)</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A11</w:t>
            </w:r>
          </w:p>
        </w:tc>
        <w:tc>
          <w:tcPr>
            <w:tcW w:type="dxa" w:w="6980"/>
          </w:tcPr>
          <w:p>
            <w:pPr>
              <w:pStyle w:val="Compact"/>
              <w:spacing w:before="0" w:after="0" w:line="240" w:lineRule="auto"/>
              <w:jc w:val="left"/>
            </w:pPr>
            <w:r>
              <w:rPr>
                <w:sz w:val="21"/>
              </w:rPr>
              <w:t xml:space="preserve">Penalty proposed under one exact clause per act: 73(9), 74(1), 74A(5)(i) or (ii); section 122 only for a different act.</w:t>
            </w:r>
          </w:p>
        </w:tc>
        <w:tc>
          <w:tcPr>
            <w:tcW w:type="dxa" w:w="5596"/>
          </w:tcPr>
          <w:p>
            <w:pPr>
              <w:pStyle w:val="Compact"/>
              <w:spacing w:before="0" w:after="0" w:line="240" w:lineRule="auto"/>
              <w:jc w:val="left"/>
            </w:pPr>
            <w:r>
              <w:rPr>
                <w:sz w:val="21"/>
              </w:rPr>
              <w:t xml:space="preserve">Sections 75(13), 126(4)</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A12</w:t>
            </w:r>
          </w:p>
        </w:tc>
        <w:tc>
          <w:tcPr>
            <w:tcW w:type="dxa" w:w="6980"/>
          </w:tcPr>
          <w:p>
            <w:pPr>
              <w:pStyle w:val="Compact"/>
              <w:spacing w:before="0" w:after="0" w:line="240" w:lineRule="auto"/>
              <w:jc w:val="left"/>
            </w:pPr>
            <w:r>
              <w:rPr>
                <w:sz w:val="21"/>
              </w:rPr>
              <w:t xml:space="preserve">Payment option stated correctly: 30 days under 73(8) (subject to 73(11)) or 74(8) with 25%; 60 days under 74A(8)(ii) or 74A(9)(ii).</w:t>
            </w:r>
          </w:p>
        </w:tc>
        <w:tc>
          <w:tcPr>
            <w:tcW w:type="dxa" w:w="5596"/>
          </w:tcPr>
          <w:p>
            <w:pPr>
              <w:pStyle w:val="Compact"/>
              <w:spacing w:before="0" w:after="0" w:line="240" w:lineRule="auto"/>
              <w:jc w:val="left"/>
            </w:pPr>
            <w:r>
              <w:rPr>
                <w:sz w:val="21"/>
              </w:rPr>
              <w:t xml:space="preserve">Sections 73(8), (11); 74(8); 74A(8), (9), (11)</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A13</w:t>
            </w:r>
          </w:p>
        </w:tc>
        <w:tc>
          <w:tcPr>
            <w:tcW w:type="dxa" w:w="6980"/>
          </w:tcPr>
          <w:p>
            <w:pPr>
              <w:pStyle w:val="Compact"/>
              <w:spacing w:before="0" w:after="0" w:line="240" w:lineRule="auto"/>
              <w:jc w:val="left"/>
            </w:pPr>
            <w:r>
              <w:rPr>
                <w:sz w:val="21"/>
              </w:rPr>
              <w:t xml:space="preserve">Relied-upon documents numbered in an annexure, stated to be enclosed (or inspection on a fixed date); non-relied documents clause.</w:t>
            </w:r>
          </w:p>
        </w:tc>
        <w:tc>
          <w:tcPr>
            <w:tcW w:type="dxa" w:w="5596"/>
          </w:tcPr>
          <w:p>
            <w:pPr>
              <w:pStyle w:val="Compact"/>
              <w:spacing w:before="0" w:after="0" w:line="240" w:lineRule="auto"/>
              <w:jc w:val="left"/>
            </w:pPr>
            <w:r>
              <w:rPr>
                <w:sz w:val="21"/>
              </w:rPr>
              <w:t xml:space="preserve">Natural justice;</w:t>
            </w:r>
            <w:r>
              <w:rPr>
                <w:sz w:val="21"/>
              </w:rPr>
              <w:t xml:space="preserve"> </w:t>
            </w:r>
            <w:r>
              <w:rPr>
                <w:iCs/>
                <w:i/>
                <w:sz w:val="21"/>
              </w:rPr>
              <w:t xml:space="preserve">S.S. Metals</w:t>
            </w:r>
            <w:r>
              <w:rPr>
                <w:sz w:val="21"/>
              </w:rPr>
              <w:t xml:space="preserve"> </w:t>
            </w:r>
            <w:r>
              <w:rPr>
                <w:sz w:val="21"/>
              </w:rPr>
              <w:t xml:space="preserve">(P); Master Circular 1053/02/2017-CX para 13.0</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A14</w:t>
            </w:r>
          </w:p>
        </w:tc>
        <w:tc>
          <w:tcPr>
            <w:tcW w:type="dxa" w:w="6980"/>
          </w:tcPr>
          <w:p>
            <w:pPr>
              <w:pStyle w:val="Compact"/>
              <w:spacing w:before="0" w:after="0" w:line="240" w:lineRule="auto"/>
              <w:jc w:val="left"/>
            </w:pPr>
            <w:r>
              <w:rPr>
                <w:sz w:val="21"/>
              </w:rPr>
              <w:t xml:space="preserve">Hearing date, time and venue fixed in the SCN (or a separate notice to follow). No</w:t>
            </w:r>
            <w:r>
              <w:rPr>
                <w:sz w:val="21"/>
              </w:rPr>
              <w:t xml:space="preserve"> </w:t>
            </w:r>
            <w:r>
              <w:rPr>
                <w:sz w:val="21"/>
              </w:rPr>
              <w:t xml:space="preserve">“</w:t>
            </w:r>
            <w:r>
              <w:rPr>
                <w:sz w:val="21"/>
              </w:rPr>
              <w:t xml:space="preserve">deemed waived</w:t>
            </w:r>
            <w:r>
              <w:rPr>
                <w:sz w:val="21"/>
              </w:rPr>
              <w:t xml:space="preserve">”</w:t>
            </w:r>
            <w:r>
              <w:rPr>
                <w:sz w:val="21"/>
              </w:rPr>
              <w:t xml:space="preserve"> </w:t>
            </w:r>
            <w:r>
              <w:rPr>
                <w:sz w:val="21"/>
              </w:rPr>
              <w:t xml:space="preserve">wording.</w:t>
            </w:r>
          </w:p>
        </w:tc>
        <w:tc>
          <w:tcPr>
            <w:tcW w:type="dxa" w:w="5596"/>
          </w:tcPr>
          <w:p>
            <w:pPr>
              <w:pStyle w:val="Compact"/>
              <w:spacing w:before="0" w:after="0" w:line="240" w:lineRule="auto"/>
              <w:jc w:val="left"/>
            </w:pPr>
            <w:r>
              <w:rPr>
                <w:sz w:val="21"/>
              </w:rPr>
              <w:t xml:space="preserve">Section 75(4);</w:t>
            </w:r>
            <w:r>
              <w:rPr>
                <w:sz w:val="21"/>
              </w:rPr>
              <w:t xml:space="preserve"> </w:t>
            </w:r>
            <w:r>
              <w:rPr>
                <w:iCs/>
                <w:i/>
                <w:sz w:val="21"/>
              </w:rPr>
              <w:t xml:space="preserve">B.K. Steels</w:t>
            </w:r>
            <w:r>
              <w:rPr>
                <w:sz w:val="21"/>
              </w:rPr>
              <w:t xml:space="preserve"> </w:t>
            </w:r>
            <w:r>
              <w:rPr>
                <w:sz w:val="21"/>
              </w:rPr>
              <w:t xml:space="preserve">(TG, consent order)</w:t>
            </w:r>
          </w:p>
        </w:tc>
        <w:tc>
          <w:tcPr>
            <w:tcW w:type="dxa" w:w="997"/>
          </w:tcPr>
          <w:p>
            <w:pPr>
              <w:pStyle w:val="Compact"/>
              <w:spacing w:before="0" w:after="0" w:line="240" w:lineRule="auto"/>
              <w:jc w:val="left"/>
            </w:pPr>
            <w:r>
              <w:rPr>
                <w:sz w:val="21"/>
              </w:rPr>
              <w:t xml:space="preserve">☐</w:t>
            </w:r>
          </w:p>
        </w:tc>
      </w:tr>
      <w:tr>
        <w:tc>
          <w:tcPr>
            <w:tcW w:type="dxa" w:w="997"/>
          </w:tcPr>
          <w:p>
            <w:pPr>
              <w:pStyle w:val="Compact"/>
              <w:spacing w:before="0" w:after="0" w:line="240" w:lineRule="auto"/>
              <w:jc w:val="left"/>
            </w:pPr>
            <w:r>
              <w:rPr>
                <w:sz w:val="21"/>
              </w:rPr>
              <w:t xml:space="preserve">A15</w:t>
            </w:r>
          </w:p>
        </w:tc>
        <w:tc>
          <w:tcPr>
            <w:tcW w:type="dxa" w:w="6980"/>
          </w:tcPr>
          <w:p>
            <w:pPr>
              <w:pStyle w:val="Compact"/>
              <w:spacing w:before="0" w:after="0" w:line="240" w:lineRule="auto"/>
              <w:jc w:val="left"/>
            </w:pPr>
            <w:r>
              <w:rPr>
                <w:sz w:val="21"/>
              </w:rPr>
              <w:t xml:space="preserve">Full SCN uploaded with DRC-01 and carrying a DIN/RFN (mandatory); SCN and annexures digitally signed (good practice); served by portal and e-mail/post; DIN off-portal.</w:t>
            </w:r>
          </w:p>
        </w:tc>
        <w:tc>
          <w:tcPr>
            <w:tcW w:type="dxa" w:w="5596"/>
          </w:tcPr>
          <w:p>
            <w:pPr>
              <w:pStyle w:val="Compact"/>
              <w:spacing w:before="0" w:after="0" w:line="240" w:lineRule="auto"/>
              <w:jc w:val="left"/>
            </w:pPr>
            <w:r>
              <w:rPr>
                <w:sz w:val="21"/>
              </w:rPr>
              <w:t xml:space="preserve">Rule 142(1)(a);</w:t>
            </w:r>
            <w:r>
              <w:rPr>
                <w:sz w:val="21"/>
              </w:rPr>
              <w:t xml:space="preserve"> </w:t>
            </w:r>
            <w:r>
              <w:rPr>
                <w:iCs/>
                <w:i/>
                <w:sz w:val="21"/>
              </w:rPr>
              <w:t xml:space="preserve">Gudla Vanaja</w:t>
            </w:r>
            <w:r>
              <w:rPr>
                <w:sz w:val="21"/>
              </w:rPr>
              <w:t xml:space="preserve"> </w:t>
            </w:r>
            <w:r>
              <w:rPr>
                <w:sz w:val="21"/>
              </w:rPr>
              <w:t xml:space="preserve">(TG Full Bench, 30.09.2026); section 169; Circular 249/06/2025-GST</w:t>
            </w:r>
          </w:p>
        </w:tc>
        <w:tc>
          <w:tcPr>
            <w:tcW w:type="dxa" w:w="997"/>
          </w:tcPr>
          <w:p>
            <w:pPr>
              <w:pStyle w:val="Compact"/>
              <w:spacing w:before="0" w:after="0" w:line="240" w:lineRule="auto"/>
              <w:jc w:val="left"/>
            </w:pPr>
            <w:r>
              <w:rPr>
                <w:sz w:val="21"/>
              </w:rPr>
              <w:t xml:space="preserve">☐</w:t>
            </w:r>
          </w:p>
        </w:tc>
      </w:tr>
    </w:tbl>
    <w:p>
      <w:pPr>
        <w:pageBreakBefore/>
        <w:spacing w:after="80"/>
      </w:pPr>
      <w:r>
        <w:rPr>
          <w:b/>
          <w:sz w:val="24"/>
        </w:rPr>
        <w:t>Stage B. Reply and personal hearing</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86"/>
        <w:gridCol w:w="8302"/>
        <w:gridCol w:w="3896"/>
        <w:gridCol w:w="1186"/>
      </w:tblGrid>
      <w:tr>
        <w:trPr>
          <w:tblHeader w:val="true"/>
          <w:tblHeader/>
        </w:trPr>
        <w:tc>
          <w:tcPr>
            <w:tcW w:type="dxa" w:w="1186"/>
            <w:shd w:val="clear" w:color="auto" w:fill="DCE6F1"/>
          </w:tcPr>
          <w:p>
            <w:pPr>
              <w:pStyle w:val="Compact"/>
              <w:spacing w:before="0" w:after="0" w:line="240" w:lineRule="auto"/>
              <w:jc w:val="left"/>
            </w:pPr>
            <w:r>
              <w:rPr>
                <w:b/>
                <w:color w:val="1F3864"/>
                <w:sz w:val="21"/>
              </w:rPr>
              <w:t xml:space="preserve">No.</w:t>
            </w:r>
          </w:p>
        </w:tc>
        <w:tc>
          <w:tcPr>
            <w:tcW w:type="dxa" w:w="8302"/>
            <w:shd w:val="clear" w:color="auto" w:fill="DCE6F1"/>
          </w:tcPr>
          <w:p>
            <w:pPr>
              <w:pStyle w:val="Compact"/>
              <w:spacing w:before="0" w:after="0" w:line="240" w:lineRule="auto"/>
              <w:jc w:val="left"/>
            </w:pPr>
            <w:r>
              <w:rPr>
                <w:b/>
                <w:color w:val="1F3864"/>
                <w:sz w:val="21"/>
              </w:rPr>
              <w:t xml:space="preserve">Check</w:t>
            </w:r>
          </w:p>
        </w:tc>
        <w:tc>
          <w:tcPr>
            <w:tcW w:type="dxa" w:w="3896"/>
            <w:shd w:val="clear" w:color="auto" w:fill="DCE6F1"/>
          </w:tcPr>
          <w:p>
            <w:pPr>
              <w:pStyle w:val="Compact"/>
              <w:spacing w:before="0" w:after="0" w:line="240" w:lineRule="auto"/>
              <w:jc w:val="left"/>
            </w:pPr>
            <w:r>
              <w:rPr>
                <w:b/>
                <w:color w:val="1F3864"/>
                <w:sz w:val="21"/>
              </w:rPr>
              <w:t xml:space="preserve">Provision or case</w:t>
            </w:r>
          </w:p>
        </w:tc>
        <w:tc>
          <w:tcPr>
            <w:tcW w:type="dxa" w:w="1186"/>
            <w:shd w:val="clear" w:color="auto" w:fill="DCE6F1"/>
          </w:tcPr>
          <w:p>
            <w:pPr>
              <w:pStyle w:val="Compact"/>
              <w:spacing w:before="0" w:after="0" w:line="240" w:lineRule="auto"/>
              <w:jc w:val="left"/>
            </w:pPr>
            <w:r>
              <w:rPr>
                <w:b/>
                <w:color w:val="1F3864"/>
                <w:sz w:val="21"/>
              </w:rPr>
              <w:t xml:space="preserve">Tick</w:t>
            </w:r>
          </w:p>
        </w:tc>
      </w:tr>
      <w:tr>
        <w:tc>
          <w:tcPr>
            <w:tcW w:type="dxa" w:w="1186"/>
          </w:tcPr>
          <w:p>
            <w:pPr>
              <w:pStyle w:val="Compact"/>
              <w:spacing w:before="0" w:after="0" w:line="240" w:lineRule="auto"/>
              <w:jc w:val="left"/>
            </w:pPr>
            <w:r>
              <w:rPr>
                <w:sz w:val="21"/>
              </w:rPr>
              <w:t xml:space="preserve">B1</w:t>
            </w:r>
          </w:p>
        </w:tc>
        <w:tc>
          <w:tcPr>
            <w:tcW w:type="dxa" w:w="8302"/>
          </w:tcPr>
          <w:p>
            <w:pPr>
              <w:pStyle w:val="Compact"/>
              <w:spacing w:before="0" w:after="0" w:line="240" w:lineRule="auto"/>
              <w:jc w:val="left"/>
            </w:pPr>
            <w:r>
              <w:rPr>
                <w:sz w:val="21"/>
              </w:rPr>
              <w:t xml:space="preserve">Proof of service of the SCN on file: portal RFN, e-mail log, postal tracking. If no response, served again by e-mail and speed post.</w:t>
            </w:r>
          </w:p>
        </w:tc>
        <w:tc>
          <w:tcPr>
            <w:tcW w:type="dxa" w:w="3896"/>
          </w:tcPr>
          <w:p>
            <w:pPr>
              <w:pStyle w:val="Compact"/>
              <w:spacing w:before="0" w:after="0" w:line="240" w:lineRule="auto"/>
              <w:jc w:val="left"/>
            </w:pPr>
            <w:r>
              <w:rPr>
                <w:sz w:val="21"/>
              </w:rPr>
              <w:t xml:space="preserve">Section 169;</w:t>
            </w:r>
            <w:r>
              <w:rPr>
                <w:sz w:val="21"/>
              </w:rPr>
              <w:t xml:space="preserve"> </w:t>
            </w:r>
            <w:r>
              <w:rPr>
                <w:iCs/>
                <w:i/>
                <w:sz w:val="21"/>
              </w:rPr>
              <w:t xml:space="preserve">ACE Cardiopathy</w:t>
            </w:r>
            <w:r>
              <w:rPr>
                <w:sz w:val="21"/>
              </w:rPr>
              <w:t xml:space="preserve"> </w:t>
            </w:r>
            <w:r>
              <w:rPr>
                <w:sz w:val="21"/>
              </w:rPr>
              <w:t xml:space="preserve">(P);</w:t>
            </w:r>
            <w:r>
              <w:rPr>
                <w:sz w:val="21"/>
              </w:rPr>
              <w:t xml:space="preserve"> </w:t>
            </w:r>
            <w:r>
              <w:rPr>
                <w:iCs/>
                <w:i/>
                <w:sz w:val="21"/>
              </w:rPr>
              <w:t xml:space="preserve">Bollant Industries</w:t>
            </w:r>
            <w:r>
              <w:rPr>
                <w:sz w:val="21"/>
              </w:rPr>
              <w:t xml:space="preserve"> </w:t>
            </w:r>
            <w:r>
              <w:rPr>
                <w:sz w:val="21"/>
              </w:rPr>
              <w:t xml:space="preserve">(TG)</w:t>
            </w:r>
          </w:p>
        </w:tc>
        <w:tc>
          <w:tcPr>
            <w:tcW w:type="dxa" w:w="1186"/>
          </w:tcPr>
          <w:p>
            <w:pPr>
              <w:pStyle w:val="Compact"/>
              <w:spacing w:before="0" w:after="0" w:line="240" w:lineRule="auto"/>
              <w:jc w:val="left"/>
            </w:pPr>
            <w:r>
              <w:rPr>
                <w:sz w:val="21"/>
              </w:rPr>
              <w:t xml:space="preserve">☐</w:t>
            </w:r>
          </w:p>
        </w:tc>
      </w:tr>
      <w:tr>
        <w:tc>
          <w:tcPr>
            <w:tcW w:type="dxa" w:w="1186"/>
          </w:tcPr>
          <w:p>
            <w:pPr>
              <w:pStyle w:val="Compact"/>
              <w:spacing w:before="0" w:after="0" w:line="240" w:lineRule="auto"/>
              <w:jc w:val="left"/>
            </w:pPr>
            <w:r>
              <w:rPr>
                <w:sz w:val="21"/>
              </w:rPr>
              <w:t xml:space="preserve">B2</w:t>
            </w:r>
          </w:p>
        </w:tc>
        <w:tc>
          <w:tcPr>
            <w:tcW w:type="dxa" w:w="8302"/>
          </w:tcPr>
          <w:p>
            <w:pPr>
              <w:pStyle w:val="Compact"/>
              <w:spacing w:before="0" w:after="0" w:line="240" w:lineRule="auto"/>
              <w:jc w:val="left"/>
            </w:pPr>
            <w:r>
              <w:rPr>
                <w:sz w:val="21"/>
              </w:rPr>
              <w:t xml:space="preserve">Hearing offered by a separate signed notice with date, time, venue or video link, even if no hearing was asked for or</w:t>
            </w:r>
            <w:r>
              <w:rPr>
                <w:sz w:val="21"/>
              </w:rPr>
              <w:t xml:space="preserve"> </w:t>
            </w:r>
            <w:r>
              <w:rPr>
                <w:sz w:val="21"/>
              </w:rPr>
              <w:t xml:space="preserve">“</w:t>
            </w:r>
            <w:r>
              <w:rPr>
                <w:sz w:val="21"/>
              </w:rPr>
              <w:t xml:space="preserve">No</w:t>
            </w:r>
            <w:r>
              <w:rPr>
                <w:sz w:val="21"/>
              </w:rPr>
              <w:t xml:space="preserve">”</w:t>
            </w:r>
            <w:r>
              <w:rPr>
                <w:sz w:val="21"/>
              </w:rPr>
              <w:t xml:space="preserve"> </w:t>
            </w:r>
            <w:r>
              <w:rPr>
                <w:sz w:val="21"/>
              </w:rPr>
              <w:t xml:space="preserve">was ticked in DRC-06.</w:t>
            </w:r>
          </w:p>
        </w:tc>
        <w:tc>
          <w:tcPr>
            <w:tcW w:type="dxa" w:w="3896"/>
          </w:tcPr>
          <w:p>
            <w:pPr>
              <w:pStyle w:val="Compact"/>
              <w:spacing w:before="0" w:after="0" w:line="240" w:lineRule="auto"/>
              <w:jc w:val="left"/>
            </w:pPr>
            <w:r>
              <w:rPr>
                <w:sz w:val="21"/>
              </w:rPr>
              <w:t xml:space="preserve">Section 75(4);</w:t>
            </w:r>
            <w:r>
              <w:rPr>
                <w:sz w:val="21"/>
              </w:rPr>
              <w:t xml:space="preserve"> </w:t>
            </w:r>
            <w:r>
              <w:rPr>
                <w:iCs/>
                <w:i/>
                <w:sz w:val="21"/>
              </w:rPr>
              <w:t xml:space="preserve">B.K. Steels</w:t>
            </w:r>
            <w:r>
              <w:rPr>
                <w:sz w:val="21"/>
              </w:rPr>
              <w:t xml:space="preserve"> </w:t>
            </w:r>
            <w:r>
              <w:rPr>
                <w:sz w:val="21"/>
              </w:rPr>
              <w:t xml:space="preserve">(TG, consent order)</w:t>
            </w:r>
          </w:p>
        </w:tc>
        <w:tc>
          <w:tcPr>
            <w:tcW w:type="dxa" w:w="1186"/>
          </w:tcPr>
          <w:p>
            <w:pPr>
              <w:pStyle w:val="Compact"/>
              <w:spacing w:before="0" w:after="0" w:line="240" w:lineRule="auto"/>
              <w:jc w:val="left"/>
            </w:pPr>
            <w:r>
              <w:rPr>
                <w:sz w:val="21"/>
              </w:rPr>
              <w:t xml:space="preserve">☐</w:t>
            </w:r>
          </w:p>
        </w:tc>
      </w:tr>
      <w:tr>
        <w:tc>
          <w:tcPr>
            <w:tcW w:type="dxa" w:w="1186"/>
          </w:tcPr>
          <w:p>
            <w:pPr>
              <w:pStyle w:val="Compact"/>
              <w:spacing w:before="0" w:after="0" w:line="240" w:lineRule="auto"/>
              <w:jc w:val="left"/>
            </w:pPr>
            <w:r>
              <w:rPr>
                <w:sz w:val="21"/>
              </w:rPr>
              <w:t xml:space="preserve">B3</w:t>
            </w:r>
          </w:p>
        </w:tc>
        <w:tc>
          <w:tcPr>
            <w:tcW w:type="dxa" w:w="8302"/>
          </w:tcPr>
          <w:p>
            <w:pPr>
              <w:pStyle w:val="Compact"/>
              <w:spacing w:before="0" w:after="0" w:line="240" w:lineRule="auto"/>
              <w:jc w:val="left"/>
            </w:pPr>
            <w:r>
              <w:rPr>
                <w:sz w:val="21"/>
              </w:rPr>
              <w:t xml:space="preserve">Every hearing notice served on the portal and by e-mail or post; DIN on non-portal copies.</w:t>
            </w:r>
          </w:p>
        </w:tc>
        <w:tc>
          <w:tcPr>
            <w:tcW w:type="dxa" w:w="3896"/>
          </w:tcPr>
          <w:p>
            <w:pPr>
              <w:pStyle w:val="Compact"/>
              <w:spacing w:before="0" w:after="0" w:line="240" w:lineRule="auto"/>
              <w:jc w:val="left"/>
            </w:pPr>
            <w:r>
              <w:rPr>
                <w:sz w:val="21"/>
              </w:rPr>
              <w:t xml:space="preserve">Section 169; Circular 249/06/2025-GST</w:t>
            </w:r>
          </w:p>
        </w:tc>
        <w:tc>
          <w:tcPr>
            <w:tcW w:type="dxa" w:w="1186"/>
          </w:tcPr>
          <w:p>
            <w:pPr>
              <w:pStyle w:val="Compact"/>
              <w:spacing w:before="0" w:after="0" w:line="240" w:lineRule="auto"/>
              <w:jc w:val="left"/>
            </w:pPr>
            <w:r>
              <w:rPr>
                <w:sz w:val="21"/>
              </w:rPr>
              <w:t xml:space="preserve">☐</w:t>
            </w:r>
          </w:p>
        </w:tc>
      </w:tr>
      <w:tr>
        <w:tc>
          <w:tcPr>
            <w:tcW w:type="dxa" w:w="1186"/>
          </w:tcPr>
          <w:p>
            <w:pPr>
              <w:pStyle w:val="Compact"/>
              <w:spacing w:before="0" w:after="0" w:line="240" w:lineRule="auto"/>
              <w:jc w:val="left"/>
            </w:pPr>
            <w:r>
              <w:rPr>
                <w:sz w:val="21"/>
              </w:rPr>
              <w:t xml:space="preserve">B4</w:t>
            </w:r>
          </w:p>
        </w:tc>
        <w:tc>
          <w:tcPr>
            <w:tcW w:type="dxa" w:w="8302"/>
          </w:tcPr>
          <w:p>
            <w:pPr>
              <w:pStyle w:val="Compact"/>
              <w:spacing w:before="0" w:after="0" w:line="240" w:lineRule="auto"/>
              <w:jc w:val="left"/>
            </w:pPr>
            <w:r>
              <w:rPr>
                <w:sz w:val="21"/>
              </w:rPr>
              <w:t xml:space="preserve">Adjournments only for sufficient cause, with reasons recorded; not more than three.</w:t>
            </w:r>
          </w:p>
        </w:tc>
        <w:tc>
          <w:tcPr>
            <w:tcW w:type="dxa" w:w="3896"/>
          </w:tcPr>
          <w:p>
            <w:pPr>
              <w:pStyle w:val="Compact"/>
              <w:spacing w:before="0" w:after="0" w:line="240" w:lineRule="auto"/>
              <w:jc w:val="left"/>
            </w:pPr>
            <w:r>
              <w:rPr>
                <w:sz w:val="21"/>
              </w:rPr>
              <w:t xml:space="preserve">Section 75(5)</w:t>
            </w:r>
          </w:p>
        </w:tc>
        <w:tc>
          <w:tcPr>
            <w:tcW w:type="dxa" w:w="1186"/>
          </w:tcPr>
          <w:p>
            <w:pPr>
              <w:pStyle w:val="Compact"/>
              <w:spacing w:before="0" w:after="0" w:line="240" w:lineRule="auto"/>
              <w:jc w:val="left"/>
            </w:pPr>
            <w:r>
              <w:rPr>
                <w:sz w:val="21"/>
              </w:rPr>
              <w:t xml:space="preserve">☐</w:t>
            </w:r>
          </w:p>
        </w:tc>
      </w:tr>
      <w:tr>
        <w:tc>
          <w:tcPr>
            <w:tcW w:type="dxa" w:w="1186"/>
          </w:tcPr>
          <w:p>
            <w:pPr>
              <w:pStyle w:val="Compact"/>
              <w:spacing w:before="0" w:after="0" w:line="240" w:lineRule="auto"/>
              <w:jc w:val="left"/>
            </w:pPr>
            <w:r>
              <w:rPr>
                <w:sz w:val="21"/>
              </w:rPr>
              <w:t xml:space="preserve">B5</w:t>
            </w:r>
          </w:p>
        </w:tc>
        <w:tc>
          <w:tcPr>
            <w:tcW w:type="dxa" w:w="8302"/>
          </w:tcPr>
          <w:p>
            <w:pPr>
              <w:pStyle w:val="Compact"/>
              <w:spacing w:before="0" w:after="0" w:line="240" w:lineRule="auto"/>
              <w:jc w:val="left"/>
            </w:pPr>
            <w:r>
              <w:rPr>
                <w:sz w:val="21"/>
              </w:rPr>
              <w:t xml:space="preserve">Where there is no reply or appearance: three separate hearing opportunities at reasonable intervals before deciding ex parte (template B3).</w:t>
            </w:r>
          </w:p>
        </w:tc>
        <w:tc>
          <w:tcPr>
            <w:tcW w:type="dxa" w:w="3896"/>
          </w:tcPr>
          <w:p>
            <w:pPr>
              <w:pStyle w:val="Compact"/>
              <w:spacing w:before="0" w:after="0" w:line="240" w:lineRule="auto"/>
              <w:jc w:val="left"/>
            </w:pPr>
            <w:r>
              <w:rPr>
                <w:sz w:val="21"/>
              </w:rPr>
              <w:t xml:space="preserve">Master Circular 1053/02/2017-CX para 14.3; section 75(5)</w:t>
            </w:r>
          </w:p>
        </w:tc>
        <w:tc>
          <w:tcPr>
            <w:tcW w:type="dxa" w:w="1186"/>
          </w:tcPr>
          <w:p>
            <w:pPr>
              <w:pStyle w:val="Compact"/>
              <w:spacing w:before="0" w:after="0" w:line="240" w:lineRule="auto"/>
              <w:jc w:val="left"/>
            </w:pPr>
            <w:r>
              <w:rPr>
                <w:sz w:val="21"/>
              </w:rPr>
              <w:t xml:space="preserve">☐</w:t>
            </w:r>
          </w:p>
        </w:tc>
      </w:tr>
      <w:tr>
        <w:tc>
          <w:tcPr>
            <w:tcW w:type="dxa" w:w="1186"/>
          </w:tcPr>
          <w:p>
            <w:pPr>
              <w:pStyle w:val="Compact"/>
              <w:spacing w:before="0" w:after="0" w:line="240" w:lineRule="auto"/>
              <w:jc w:val="left"/>
            </w:pPr>
            <w:r>
              <w:rPr>
                <w:sz w:val="21"/>
              </w:rPr>
              <w:t xml:space="preserve">B6</w:t>
            </w:r>
          </w:p>
        </w:tc>
        <w:tc>
          <w:tcPr>
            <w:tcW w:type="dxa" w:w="8302"/>
          </w:tcPr>
          <w:p>
            <w:pPr>
              <w:pStyle w:val="Compact"/>
              <w:spacing w:before="0" w:after="0" w:line="240" w:lineRule="auto"/>
              <w:jc w:val="left"/>
            </w:pPr>
            <w:r>
              <w:rPr>
                <w:sz w:val="21"/>
              </w:rPr>
              <w:t xml:space="preserve">Any request for relied-upon documents met, with time to respond, before the hearing.</w:t>
            </w:r>
          </w:p>
        </w:tc>
        <w:tc>
          <w:tcPr>
            <w:tcW w:type="dxa" w:w="3896"/>
          </w:tcPr>
          <w:p>
            <w:pPr>
              <w:pStyle w:val="Compact"/>
              <w:spacing w:before="0" w:after="0" w:line="240" w:lineRule="auto"/>
              <w:jc w:val="left"/>
            </w:pPr>
            <w:r>
              <w:rPr>
                <w:sz w:val="21"/>
              </w:rPr>
              <w:t xml:space="preserve">Natural justice;</w:t>
            </w:r>
            <w:r>
              <w:rPr>
                <w:sz w:val="21"/>
              </w:rPr>
              <w:t xml:space="preserve"> </w:t>
            </w:r>
            <w:r>
              <w:rPr>
                <w:iCs/>
                <w:i/>
                <w:sz w:val="21"/>
              </w:rPr>
              <w:t xml:space="preserve">S.S. Metals</w:t>
            </w:r>
            <w:r>
              <w:rPr>
                <w:sz w:val="21"/>
              </w:rPr>
              <w:t xml:space="preserve"> </w:t>
            </w:r>
            <w:r>
              <w:rPr>
                <w:sz w:val="21"/>
              </w:rPr>
              <w:t xml:space="preserve">(P)</w:t>
            </w:r>
          </w:p>
        </w:tc>
        <w:tc>
          <w:tcPr>
            <w:tcW w:type="dxa" w:w="1186"/>
          </w:tcPr>
          <w:p>
            <w:pPr>
              <w:pStyle w:val="Compact"/>
              <w:spacing w:before="0" w:after="0" w:line="240" w:lineRule="auto"/>
              <w:jc w:val="left"/>
            </w:pPr>
            <w:r>
              <w:rPr>
                <w:sz w:val="21"/>
              </w:rPr>
              <w:t xml:space="preserve">☐</w:t>
            </w:r>
          </w:p>
        </w:tc>
      </w:tr>
      <w:tr>
        <w:tc>
          <w:tcPr>
            <w:tcW w:type="dxa" w:w="1186"/>
          </w:tcPr>
          <w:p>
            <w:pPr>
              <w:pStyle w:val="Compact"/>
              <w:spacing w:before="0" w:after="0" w:line="240" w:lineRule="auto"/>
              <w:jc w:val="left"/>
            </w:pPr>
            <w:r>
              <w:rPr>
                <w:sz w:val="21"/>
              </w:rPr>
              <w:t xml:space="preserve">B7</w:t>
            </w:r>
          </w:p>
        </w:tc>
        <w:tc>
          <w:tcPr>
            <w:tcW w:type="dxa" w:w="8302"/>
          </w:tcPr>
          <w:p>
            <w:pPr>
              <w:pStyle w:val="Compact"/>
              <w:spacing w:before="0" w:after="0" w:line="240" w:lineRule="auto"/>
              <w:jc w:val="left"/>
            </w:pPr>
            <w:r>
              <w:rPr>
                <w:sz w:val="21"/>
              </w:rPr>
              <w:t xml:space="preserve">Any request to cross-examine a person whose statement is relied on decided by a separate reasoned letter before the order.</w:t>
            </w:r>
          </w:p>
        </w:tc>
        <w:tc>
          <w:tcPr>
            <w:tcW w:type="dxa" w:w="3896"/>
          </w:tcPr>
          <w:p>
            <w:pPr>
              <w:pStyle w:val="Compact"/>
              <w:spacing w:before="0" w:after="0" w:line="240" w:lineRule="auto"/>
              <w:jc w:val="left"/>
            </w:pPr>
            <w:r>
              <w:rPr>
                <w:sz w:val="21"/>
              </w:rPr>
              <w:t xml:space="preserve">Kerala HC rulings (P); template B1 para 5.5</w:t>
            </w:r>
          </w:p>
        </w:tc>
        <w:tc>
          <w:tcPr>
            <w:tcW w:type="dxa" w:w="1186"/>
          </w:tcPr>
          <w:p>
            <w:pPr>
              <w:pStyle w:val="Compact"/>
              <w:spacing w:before="0" w:after="0" w:line="240" w:lineRule="auto"/>
              <w:jc w:val="left"/>
            </w:pPr>
            <w:r>
              <w:rPr>
                <w:sz w:val="21"/>
              </w:rPr>
              <w:t xml:space="preserve">☐</w:t>
            </w:r>
          </w:p>
        </w:tc>
      </w:tr>
      <w:tr>
        <w:tc>
          <w:tcPr>
            <w:tcW w:type="dxa" w:w="1186"/>
          </w:tcPr>
          <w:p>
            <w:pPr>
              <w:pStyle w:val="Compact"/>
              <w:spacing w:before="0" w:after="0" w:line="240" w:lineRule="auto"/>
              <w:jc w:val="left"/>
            </w:pPr>
            <w:r>
              <w:rPr>
                <w:sz w:val="21"/>
              </w:rPr>
              <w:t xml:space="preserve">B8</w:t>
            </w:r>
          </w:p>
        </w:tc>
        <w:tc>
          <w:tcPr>
            <w:tcW w:type="dxa" w:w="8302"/>
          </w:tcPr>
          <w:p>
            <w:pPr>
              <w:pStyle w:val="Compact"/>
              <w:spacing w:before="0" w:after="0" w:line="240" w:lineRule="auto"/>
              <w:jc w:val="left"/>
            </w:pPr>
            <w:r>
              <w:rPr>
                <w:sz w:val="21"/>
              </w:rPr>
              <w:t xml:space="preserve">New material obtained after the SCN sent to the noticee for comments before use. A new ground or larger amount means a fresh SCN, not the order.</w:t>
            </w:r>
          </w:p>
        </w:tc>
        <w:tc>
          <w:tcPr>
            <w:tcW w:type="dxa" w:w="3896"/>
          </w:tcPr>
          <w:p>
            <w:pPr>
              <w:pStyle w:val="Compact"/>
              <w:spacing w:before="0" w:after="0" w:line="240" w:lineRule="auto"/>
              <w:jc w:val="left"/>
            </w:pPr>
            <w:r>
              <w:rPr>
                <w:sz w:val="21"/>
              </w:rPr>
              <w:t xml:space="preserve">Section 75(7);</w:t>
            </w:r>
            <w:r>
              <w:rPr>
                <w:sz w:val="21"/>
              </w:rPr>
              <w:t xml:space="preserve"> </w:t>
            </w:r>
            <w:r>
              <w:rPr>
                <w:iCs/>
                <w:i/>
                <w:sz w:val="21"/>
              </w:rPr>
              <w:t xml:space="preserve">Om Impex</w:t>
            </w:r>
            <w:r>
              <w:rPr>
                <w:sz w:val="21"/>
              </w:rPr>
              <w:t xml:space="preserve"> </w:t>
            </w:r>
            <w:r>
              <w:rPr>
                <w:sz w:val="21"/>
              </w:rPr>
              <w:t xml:space="preserve">(P)</w:t>
            </w:r>
          </w:p>
        </w:tc>
        <w:tc>
          <w:tcPr>
            <w:tcW w:type="dxa" w:w="1186"/>
          </w:tcPr>
          <w:p>
            <w:pPr>
              <w:pStyle w:val="Compact"/>
              <w:spacing w:before="0" w:after="0" w:line="240" w:lineRule="auto"/>
              <w:jc w:val="left"/>
            </w:pPr>
            <w:r>
              <w:rPr>
                <w:sz w:val="21"/>
              </w:rPr>
              <w:t xml:space="preserve">☐</w:t>
            </w:r>
          </w:p>
        </w:tc>
      </w:tr>
      <w:tr>
        <w:tc>
          <w:tcPr>
            <w:tcW w:type="dxa" w:w="1186"/>
          </w:tcPr>
          <w:p>
            <w:pPr>
              <w:pStyle w:val="Compact"/>
              <w:spacing w:before="0" w:after="0" w:line="240" w:lineRule="auto"/>
              <w:jc w:val="left"/>
            </w:pPr>
            <w:r>
              <w:rPr>
                <w:sz w:val="21"/>
              </w:rPr>
              <w:t xml:space="preserve">B9</w:t>
            </w:r>
          </w:p>
        </w:tc>
        <w:tc>
          <w:tcPr>
            <w:tcW w:type="dxa" w:w="8302"/>
          </w:tcPr>
          <w:p>
            <w:pPr>
              <w:pStyle w:val="Compact"/>
              <w:spacing w:before="0" w:after="0" w:line="240" w:lineRule="auto"/>
              <w:jc w:val="left"/>
            </w:pPr>
            <w:r>
              <w:rPr>
                <w:sz w:val="21"/>
              </w:rPr>
              <w:t xml:space="preserve">Record of personal hearing signed: who appeared (with authorisation), submissions H-1, H-2 …, documents filed, time allowed.</w:t>
            </w:r>
          </w:p>
        </w:tc>
        <w:tc>
          <w:tcPr>
            <w:tcW w:type="dxa" w:w="3896"/>
          </w:tcPr>
          <w:p>
            <w:pPr>
              <w:pStyle w:val="Compact"/>
              <w:spacing w:before="0" w:after="0" w:line="240" w:lineRule="auto"/>
              <w:jc w:val="left"/>
            </w:pPr>
            <w:r>
              <w:rPr>
                <w:sz w:val="21"/>
              </w:rPr>
              <w:t xml:space="preserve">Section 116; Master Circular para 14.4</w:t>
            </w:r>
          </w:p>
        </w:tc>
        <w:tc>
          <w:tcPr>
            <w:tcW w:type="dxa" w:w="1186"/>
          </w:tcPr>
          <w:p>
            <w:pPr>
              <w:pStyle w:val="Compact"/>
              <w:spacing w:before="0" w:after="0" w:line="240" w:lineRule="auto"/>
              <w:jc w:val="left"/>
            </w:pPr>
            <w:r>
              <w:rPr>
                <w:sz w:val="21"/>
              </w:rPr>
              <w:t xml:space="preserve">☐</w:t>
            </w:r>
          </w:p>
        </w:tc>
      </w:tr>
      <w:tr>
        <w:tc>
          <w:tcPr>
            <w:tcW w:type="dxa" w:w="1186"/>
          </w:tcPr>
          <w:p>
            <w:pPr>
              <w:pStyle w:val="Compact"/>
              <w:spacing w:before="0" w:after="0" w:line="240" w:lineRule="auto"/>
              <w:jc w:val="left"/>
            </w:pPr>
            <w:r>
              <w:rPr>
                <w:sz w:val="21"/>
              </w:rPr>
              <w:t xml:space="preserve">B10</w:t>
            </w:r>
          </w:p>
        </w:tc>
        <w:tc>
          <w:tcPr>
            <w:tcW w:type="dxa" w:w="8302"/>
          </w:tcPr>
          <w:p>
            <w:pPr>
              <w:pStyle w:val="Compact"/>
              <w:spacing w:before="0" w:after="0" w:line="240" w:lineRule="auto"/>
              <w:jc w:val="left"/>
            </w:pPr>
            <w:r>
              <w:rPr>
                <w:sz w:val="21"/>
              </w:rPr>
              <w:t xml:space="preserve">Reply points numbered R-1, R-2 … and documents D-1, D-2 … for answering in the order.</w:t>
            </w:r>
          </w:p>
        </w:tc>
        <w:tc>
          <w:tcPr>
            <w:tcW w:type="dxa" w:w="3896"/>
          </w:tcPr>
          <w:p>
            <w:pPr>
              <w:pStyle w:val="Compact"/>
              <w:spacing w:before="0" w:after="0" w:line="240" w:lineRule="auto"/>
              <w:jc w:val="left"/>
            </w:pPr>
            <w:r>
              <w:rPr>
                <w:sz w:val="21"/>
              </w:rPr>
              <w:t xml:space="preserve">Section 75(6)</w:t>
            </w:r>
          </w:p>
        </w:tc>
        <w:tc>
          <w:tcPr>
            <w:tcW w:type="dxa" w:w="1186"/>
          </w:tcPr>
          <w:p>
            <w:pPr>
              <w:pStyle w:val="Compact"/>
              <w:spacing w:before="0" w:after="0" w:line="240" w:lineRule="auto"/>
              <w:jc w:val="left"/>
            </w:pPr>
            <w:r>
              <w:rPr>
                <w:sz w:val="21"/>
              </w:rPr>
              <w:t xml:space="preserve">☐</w:t>
            </w:r>
          </w:p>
        </w:tc>
      </w:tr>
      <w:tr>
        <w:tc>
          <w:tcPr>
            <w:tcW w:type="dxa" w:w="1186"/>
          </w:tcPr>
          <w:p>
            <w:pPr>
              <w:pStyle w:val="Compact"/>
              <w:spacing w:before="0" w:after="0" w:line="240" w:lineRule="auto"/>
              <w:jc w:val="left"/>
            </w:pPr>
            <w:r>
              <w:rPr>
                <w:sz w:val="21"/>
              </w:rPr>
              <w:t xml:space="preserve">B11</w:t>
            </w:r>
          </w:p>
        </w:tc>
        <w:tc>
          <w:tcPr>
            <w:tcW w:type="dxa" w:w="8302"/>
          </w:tcPr>
          <w:p>
            <w:pPr>
              <w:pStyle w:val="Compact"/>
              <w:spacing w:before="0" w:after="0" w:line="240" w:lineRule="auto"/>
              <w:jc w:val="left"/>
            </w:pPr>
            <w:r>
              <w:rPr>
                <w:sz w:val="21"/>
              </w:rPr>
              <w:t xml:space="preserve">Section 74A: twelve-month date diarised; any extension sought from the Commissioner or Joint Commissioner with reasons well before expiry.</w:t>
            </w:r>
          </w:p>
        </w:tc>
        <w:tc>
          <w:tcPr>
            <w:tcW w:type="dxa" w:w="3896"/>
          </w:tcPr>
          <w:p>
            <w:pPr>
              <w:pStyle w:val="Compact"/>
              <w:spacing w:before="0" w:after="0" w:line="240" w:lineRule="auto"/>
              <w:jc w:val="left"/>
            </w:pPr>
            <w:r>
              <w:rPr>
                <w:sz w:val="21"/>
              </w:rPr>
              <w:t xml:space="preserve">Proviso to section 74A(7)</w:t>
            </w:r>
          </w:p>
        </w:tc>
        <w:tc>
          <w:tcPr>
            <w:tcW w:type="dxa" w:w="1186"/>
          </w:tcPr>
          <w:p>
            <w:pPr>
              <w:pStyle w:val="Compact"/>
              <w:spacing w:before="0" w:after="0" w:line="240" w:lineRule="auto"/>
              <w:jc w:val="left"/>
            </w:pPr>
            <w:r>
              <w:rPr>
                <w:sz w:val="21"/>
              </w:rPr>
              <w:t xml:space="preserve">☐</w:t>
            </w:r>
          </w:p>
        </w:tc>
      </w:tr>
      <w:tr>
        <w:tc>
          <w:tcPr>
            <w:tcW w:type="dxa" w:w="1186"/>
          </w:tcPr>
          <w:p>
            <w:pPr>
              <w:pStyle w:val="Compact"/>
              <w:spacing w:before="0" w:after="0" w:line="240" w:lineRule="auto"/>
              <w:jc w:val="left"/>
            </w:pPr>
            <w:r>
              <w:rPr>
                <w:sz w:val="21"/>
              </w:rPr>
              <w:t xml:space="preserve">B12</w:t>
            </w:r>
          </w:p>
        </w:tc>
        <w:tc>
          <w:tcPr>
            <w:tcW w:type="dxa" w:w="8302"/>
          </w:tcPr>
          <w:p>
            <w:pPr>
              <w:pStyle w:val="Compact"/>
              <w:spacing w:before="0" w:after="0" w:line="240" w:lineRule="auto"/>
              <w:jc w:val="left"/>
            </w:pPr>
            <w:r>
              <w:rPr>
                <w:sz w:val="21"/>
              </w:rPr>
              <w:t xml:space="preserve">If I took over the case after the hearing, a fresh hearing is given before deciding.</w:t>
            </w:r>
          </w:p>
        </w:tc>
        <w:tc>
          <w:tcPr>
            <w:tcW w:type="dxa" w:w="3896"/>
          </w:tcPr>
          <w:p>
            <w:pPr>
              <w:pStyle w:val="Compact"/>
              <w:spacing w:before="0" w:after="0" w:line="240" w:lineRule="auto"/>
              <w:jc w:val="left"/>
            </w:pPr>
            <w:r>
              <w:rPr>
                <w:sz w:val="21"/>
              </w:rPr>
              <w:t xml:space="preserve">Master Circular para 16</w:t>
            </w:r>
          </w:p>
        </w:tc>
        <w:tc>
          <w:tcPr>
            <w:tcW w:type="dxa" w:w="1186"/>
          </w:tcPr>
          <w:p>
            <w:pPr>
              <w:pStyle w:val="Compact"/>
              <w:spacing w:before="0" w:after="0" w:line="240" w:lineRule="auto"/>
              <w:jc w:val="left"/>
            </w:pPr>
            <w:r>
              <w:rPr>
                <w:sz w:val="21"/>
              </w:rPr>
              <w:t xml:space="preserve">☐</w:t>
            </w:r>
          </w:p>
        </w:tc>
      </w:tr>
    </w:tbl>
    <w:p>
      <w:pPr>
        <w:pageBreakBefore/>
        <w:spacing w:after="80"/>
      </w:pPr>
      <w:r>
        <w:rPr>
          <w:b/>
          <w:sz w:val="24"/>
        </w:rPr>
        <w:t>Stage C. The order, before it is signed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72"/>
        <w:gridCol w:w="8204"/>
        <w:gridCol w:w="4022"/>
        <w:gridCol w:w="1172"/>
      </w:tblGrid>
      <w:tr>
        <w:trPr>
          <w:tblHeader w:val="true"/>
          <w:tblHeader/>
        </w:trPr>
        <w:tc>
          <w:tcPr>
            <w:tcW w:type="dxa" w:w="1172"/>
            <w:shd w:val="clear" w:color="auto" w:fill="DCE6F1"/>
          </w:tcPr>
          <w:p>
            <w:pPr>
              <w:pStyle w:val="Compact"/>
              <w:spacing w:before="0" w:after="0" w:line="240" w:lineRule="auto"/>
              <w:jc w:val="left"/>
            </w:pPr>
            <w:r>
              <w:rPr>
                <w:b/>
                <w:color w:val="1F3864"/>
                <w:sz w:val="21"/>
              </w:rPr>
              <w:t xml:space="preserve">No.</w:t>
            </w:r>
          </w:p>
        </w:tc>
        <w:tc>
          <w:tcPr>
            <w:tcW w:type="dxa" w:w="8204"/>
            <w:shd w:val="clear" w:color="auto" w:fill="DCE6F1"/>
          </w:tcPr>
          <w:p>
            <w:pPr>
              <w:pStyle w:val="Compact"/>
              <w:spacing w:before="0" w:after="0" w:line="240" w:lineRule="auto"/>
              <w:jc w:val="left"/>
            </w:pPr>
            <w:r>
              <w:rPr>
                <w:b/>
                <w:color w:val="1F3864"/>
                <w:sz w:val="21"/>
              </w:rPr>
              <w:t xml:space="preserve">Check</w:t>
            </w:r>
          </w:p>
        </w:tc>
        <w:tc>
          <w:tcPr>
            <w:tcW w:type="dxa" w:w="4022"/>
            <w:shd w:val="clear" w:color="auto" w:fill="DCE6F1"/>
          </w:tcPr>
          <w:p>
            <w:pPr>
              <w:pStyle w:val="Compact"/>
              <w:spacing w:before="0" w:after="0" w:line="240" w:lineRule="auto"/>
              <w:jc w:val="left"/>
            </w:pPr>
            <w:r>
              <w:rPr>
                <w:b/>
                <w:color w:val="1F3864"/>
                <w:sz w:val="21"/>
              </w:rPr>
              <w:t xml:space="preserve">Provision or case</w:t>
            </w:r>
          </w:p>
        </w:tc>
        <w:tc>
          <w:tcPr>
            <w:tcW w:type="dxa" w:w="1172"/>
            <w:shd w:val="clear" w:color="auto" w:fill="DCE6F1"/>
          </w:tcPr>
          <w:p>
            <w:pPr>
              <w:pStyle w:val="Compact"/>
              <w:spacing w:before="0" w:after="0" w:line="240" w:lineRule="auto"/>
              <w:jc w:val="left"/>
            </w:pPr>
            <w:r>
              <w:rPr>
                <w:b/>
                <w:color w:val="1F3864"/>
                <w:sz w:val="21"/>
              </w:rPr>
              <w:t xml:space="preserve">Tick</w:t>
            </w:r>
          </w:p>
        </w:tc>
      </w:tr>
      <w:tr>
        <w:tc>
          <w:tcPr>
            <w:tcW w:type="dxa" w:w="1172"/>
          </w:tcPr>
          <w:p>
            <w:pPr>
              <w:pStyle w:val="Compact"/>
              <w:spacing w:before="0" w:after="0" w:line="240" w:lineRule="auto"/>
              <w:jc w:val="left"/>
            </w:pPr>
            <w:r>
              <w:rPr>
                <w:sz w:val="21"/>
              </w:rPr>
              <w:t xml:space="preserve">C1</w:t>
            </w:r>
          </w:p>
        </w:tc>
        <w:tc>
          <w:tcPr>
            <w:tcW w:type="dxa" w:w="8204"/>
          </w:tcPr>
          <w:p>
            <w:pPr>
              <w:pStyle w:val="Compact"/>
              <w:spacing w:before="0" w:after="0" w:line="240" w:lineRule="auto"/>
              <w:jc w:val="left"/>
            </w:pPr>
            <w:r>
              <w:rPr>
                <w:sz w:val="21"/>
              </w:rPr>
              <w:t xml:space="preserve">The order is issued before the section 73(10) / 74(10) date or within 74A(7) (with any extension made before expiry). Otherwise the proceedings are deemed concluded.</w:t>
            </w:r>
          </w:p>
        </w:tc>
        <w:tc>
          <w:tcPr>
            <w:tcW w:type="dxa" w:w="4022"/>
          </w:tcPr>
          <w:p>
            <w:pPr>
              <w:pStyle w:val="Compact"/>
              <w:spacing w:before="0" w:after="0" w:line="240" w:lineRule="auto"/>
              <w:jc w:val="left"/>
            </w:pPr>
            <w:r>
              <w:rPr>
                <w:sz w:val="21"/>
              </w:rPr>
              <w:t xml:space="preserve">Sections 73(10), 74(10), 74A(7), 75(10)</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C2</w:t>
            </w:r>
          </w:p>
        </w:tc>
        <w:tc>
          <w:tcPr>
            <w:tcW w:type="dxa" w:w="8204"/>
          </w:tcPr>
          <w:p>
            <w:pPr>
              <w:pStyle w:val="Compact"/>
              <w:spacing w:before="0" w:after="0" w:line="240" w:lineRule="auto"/>
              <w:jc w:val="left"/>
            </w:pPr>
            <w:r>
              <w:rPr>
                <w:sz w:val="21"/>
              </w:rPr>
              <w:t xml:space="preserve">Limitation table in the order; any time-barred year or item dropped even if not raised; section 168A note with SLP (C) 4240/2025 (the TG HC did not uphold 9/2023 or 56/2023; it decided on the Covid exclusion).</w:t>
            </w:r>
          </w:p>
        </w:tc>
        <w:tc>
          <w:tcPr>
            <w:tcW w:type="dxa" w:w="4022"/>
          </w:tcPr>
          <w:p>
            <w:pPr>
              <w:pStyle w:val="Compact"/>
              <w:spacing w:before="0" w:after="0" w:line="240" w:lineRule="auto"/>
              <w:jc w:val="left"/>
            </w:pPr>
            <w:r>
              <w:rPr>
                <w:sz w:val="21"/>
              </w:rPr>
              <w:t xml:space="preserve">Section 75(1), (11);</w:t>
            </w:r>
            <w:r>
              <w:rPr>
                <w:sz w:val="21"/>
              </w:rPr>
              <w:t xml:space="preserve"> </w:t>
            </w:r>
            <w:r>
              <w:rPr>
                <w:iCs/>
                <w:i/>
                <w:sz w:val="21"/>
              </w:rPr>
              <w:t xml:space="preserve">Brunda Infra</w:t>
            </w:r>
            <w:r>
              <w:rPr>
                <w:sz w:val="21"/>
              </w:rPr>
              <w:t xml:space="preserve"> </w:t>
            </w:r>
            <w:r>
              <w:rPr>
                <w:sz w:val="21"/>
              </w:rPr>
              <w:t xml:space="preserve">(TG)</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C3</w:t>
            </w:r>
          </w:p>
        </w:tc>
        <w:tc>
          <w:tcPr>
            <w:tcW w:type="dxa" w:w="8204"/>
          </w:tcPr>
          <w:p>
            <w:pPr>
              <w:pStyle w:val="Compact"/>
              <w:spacing w:before="0" w:after="0" w:line="240" w:lineRule="auto"/>
              <w:jc w:val="left"/>
            </w:pPr>
            <w:r>
              <w:rPr>
                <w:sz w:val="21"/>
              </w:rPr>
              <w:t xml:space="preserve">Facts, the SCN proposals, the reply and each hearing are recorded, in my own words; no SCN paragraphs pasted.</w:t>
            </w:r>
          </w:p>
        </w:tc>
        <w:tc>
          <w:tcPr>
            <w:tcW w:type="dxa" w:w="4022"/>
          </w:tcPr>
          <w:p>
            <w:pPr>
              <w:pStyle w:val="Compact"/>
              <w:spacing w:before="0" w:after="0" w:line="240" w:lineRule="auto"/>
              <w:jc w:val="left"/>
            </w:pPr>
            <w:r>
              <w:rPr>
                <w:sz w:val="21"/>
              </w:rPr>
              <w:t xml:space="preserve">Section 75(6); Master Circular para 14.7</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C4</w:t>
            </w:r>
          </w:p>
        </w:tc>
        <w:tc>
          <w:tcPr>
            <w:tcW w:type="dxa" w:w="8204"/>
          </w:tcPr>
          <w:p>
            <w:pPr>
              <w:pStyle w:val="Compact"/>
              <w:spacing w:before="0" w:after="0" w:line="240" w:lineRule="auto"/>
              <w:jc w:val="left"/>
            </w:pPr>
            <w:r>
              <w:rPr>
                <w:sz w:val="21"/>
              </w:rPr>
              <w:t xml:space="preserve">Every reply point (R-) and hearing submission (H-), every document, circular and ruling cited, is answered with reasons.</w:t>
            </w:r>
          </w:p>
        </w:tc>
        <w:tc>
          <w:tcPr>
            <w:tcW w:type="dxa" w:w="4022"/>
          </w:tcPr>
          <w:p>
            <w:pPr>
              <w:pStyle w:val="Compact"/>
              <w:spacing w:before="0" w:after="0" w:line="240" w:lineRule="auto"/>
              <w:jc w:val="left"/>
            </w:pPr>
            <w:r>
              <w:rPr>
                <w:sz w:val="21"/>
              </w:rPr>
              <w:t xml:space="preserve">Section 75(6);</w:t>
            </w:r>
            <w:r>
              <w:rPr>
                <w:sz w:val="21"/>
              </w:rPr>
              <w:t xml:space="preserve"> </w:t>
            </w:r>
            <w:r>
              <w:rPr>
                <w:iCs/>
                <w:i/>
                <w:sz w:val="21"/>
              </w:rPr>
              <w:t xml:space="preserve">Ratan Melting</w:t>
            </w:r>
            <w:r>
              <w:rPr>
                <w:sz w:val="21"/>
              </w:rPr>
              <w:t xml:space="preserve"> </w:t>
            </w:r>
            <w:r>
              <w:rPr>
                <w:sz w:val="21"/>
              </w:rPr>
              <w:t xml:space="preserve">(SC)</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C5</w:t>
            </w:r>
          </w:p>
        </w:tc>
        <w:tc>
          <w:tcPr>
            <w:tcW w:type="dxa" w:w="8204"/>
          </w:tcPr>
          <w:p>
            <w:pPr>
              <w:pStyle w:val="Compact"/>
              <w:spacing w:before="0" w:after="0" w:line="240" w:lineRule="auto"/>
              <w:jc w:val="left"/>
            </w:pPr>
            <w:r>
              <w:rPr>
                <w:sz w:val="21"/>
              </w:rPr>
              <w:t xml:space="preserve">Each finding cites the evidence it rests on; no finding rests on an unserved document or on the noticee’s silence.</w:t>
            </w:r>
          </w:p>
        </w:tc>
        <w:tc>
          <w:tcPr>
            <w:tcW w:type="dxa" w:w="4022"/>
          </w:tcPr>
          <w:p>
            <w:pPr>
              <w:pStyle w:val="Compact"/>
              <w:spacing w:before="0" w:after="0" w:line="240" w:lineRule="auto"/>
              <w:jc w:val="left"/>
            </w:pPr>
            <w:r>
              <w:rPr>
                <w:sz w:val="21"/>
              </w:rPr>
              <w:t xml:space="preserve">Section 75(6);</w:t>
            </w:r>
            <w:r>
              <w:rPr>
                <w:sz w:val="21"/>
              </w:rPr>
              <w:t xml:space="preserve"> </w:t>
            </w:r>
            <w:r>
              <w:rPr>
                <w:iCs/>
                <w:i/>
                <w:sz w:val="21"/>
              </w:rPr>
              <w:t xml:space="preserve">Safecon</w:t>
            </w:r>
            <w:r>
              <w:rPr>
                <w:sz w:val="21"/>
              </w:rPr>
              <w:t xml:space="preserve"> </w:t>
            </w:r>
            <w:r>
              <w:rPr>
                <w:sz w:val="21"/>
              </w:rPr>
              <w:t xml:space="preserve">(P)</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C6</w:t>
            </w:r>
          </w:p>
        </w:tc>
        <w:tc>
          <w:tcPr>
            <w:tcW w:type="dxa" w:w="8204"/>
          </w:tcPr>
          <w:p>
            <w:pPr>
              <w:pStyle w:val="Compact"/>
              <w:spacing w:before="0" w:after="0" w:line="240" w:lineRule="auto"/>
              <w:jc w:val="left"/>
            </w:pPr>
            <w:r>
              <w:rPr>
                <w:sz w:val="21"/>
              </w:rPr>
              <w:t xml:space="preserve">Nothing confirmed beyond the SCN: amount per issue and head, ground, section, clause, interest sub-section.</w:t>
            </w:r>
          </w:p>
        </w:tc>
        <w:tc>
          <w:tcPr>
            <w:tcW w:type="dxa" w:w="4022"/>
          </w:tcPr>
          <w:p>
            <w:pPr>
              <w:pStyle w:val="Compact"/>
              <w:spacing w:before="0" w:after="0" w:line="240" w:lineRule="auto"/>
              <w:jc w:val="left"/>
            </w:pPr>
            <w:r>
              <w:rPr>
                <w:sz w:val="21"/>
              </w:rPr>
              <w:t xml:space="preserve">Section 75(7);</w:t>
            </w:r>
            <w:r>
              <w:rPr>
                <w:sz w:val="21"/>
              </w:rPr>
              <w:t xml:space="preserve"> </w:t>
            </w:r>
            <w:r>
              <w:rPr>
                <w:iCs/>
                <w:i/>
                <w:sz w:val="21"/>
              </w:rPr>
              <w:t xml:space="preserve">Vrinda Automation</w:t>
            </w:r>
            <w:r>
              <w:rPr>
                <w:sz w:val="21"/>
              </w:rPr>
              <w:t xml:space="preserve"> </w:t>
            </w:r>
            <w:r>
              <w:rPr>
                <w:sz w:val="21"/>
              </w:rPr>
              <w:t xml:space="preserve">(P)</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C7</w:t>
            </w:r>
          </w:p>
        </w:tc>
        <w:tc>
          <w:tcPr>
            <w:tcW w:type="dxa" w:w="8204"/>
          </w:tcPr>
          <w:p>
            <w:pPr>
              <w:pStyle w:val="Compact"/>
              <w:spacing w:before="0" w:after="0" w:line="240" w:lineRule="auto"/>
              <w:jc w:val="left"/>
            </w:pPr>
            <w:r>
              <w:rPr>
                <w:sz w:val="21"/>
              </w:rPr>
              <w:t xml:space="preserve">Section 74 or 74A(5)(ii): separate finding on each ingredient on the facts pleaded in the SCN. If not proved: section 73 only within its time limits, or 74A(5)(i).</w:t>
            </w:r>
          </w:p>
        </w:tc>
        <w:tc>
          <w:tcPr>
            <w:tcW w:type="dxa" w:w="4022"/>
          </w:tcPr>
          <w:p>
            <w:pPr>
              <w:pStyle w:val="Compact"/>
              <w:spacing w:before="0" w:after="0" w:line="240" w:lineRule="auto"/>
              <w:jc w:val="left"/>
            </w:pPr>
            <w:r>
              <w:rPr>
                <w:iCs/>
                <w:i/>
                <w:sz w:val="21"/>
              </w:rPr>
              <w:t xml:space="preserve">G.R. Infra Projects</w:t>
            </w:r>
            <w:r>
              <w:rPr>
                <w:sz w:val="21"/>
              </w:rPr>
              <w:t xml:space="preserve"> </w:t>
            </w:r>
            <w:r>
              <w:rPr>
                <w:sz w:val="21"/>
              </w:rPr>
              <w:t xml:space="preserve">(SC); section 75(2), (2A)</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C8</w:t>
            </w:r>
          </w:p>
        </w:tc>
        <w:tc>
          <w:tcPr>
            <w:tcW w:type="dxa" w:w="8204"/>
          </w:tcPr>
          <w:p>
            <w:pPr>
              <w:pStyle w:val="Compact"/>
              <w:spacing w:before="0" w:after="0" w:line="240" w:lineRule="auto"/>
              <w:jc w:val="left"/>
            </w:pPr>
            <w:r>
              <w:rPr>
                <w:sz w:val="21"/>
              </w:rPr>
              <w:t xml:space="preserve">Issue-specific tests applied: 16(2)(c) verified non-payment; 16(5)/(6) considered; Circulars 183/193 for pre-2022; supplier-wise findings on fake invoices.</w:t>
            </w:r>
          </w:p>
        </w:tc>
        <w:tc>
          <w:tcPr>
            <w:tcW w:type="dxa" w:w="4022"/>
          </w:tcPr>
          <w:p>
            <w:pPr>
              <w:pStyle w:val="Compact"/>
              <w:spacing w:before="0" w:after="0" w:line="240" w:lineRule="auto"/>
              <w:jc w:val="left"/>
            </w:pPr>
            <w:r>
              <w:rPr>
                <w:iCs/>
                <w:i/>
                <w:sz w:val="21"/>
              </w:rPr>
              <w:t xml:space="preserve">Bhandari Scrap Traders</w:t>
            </w:r>
            <w:r>
              <w:rPr>
                <w:sz w:val="21"/>
              </w:rPr>
              <w:t xml:space="preserve"> </w:t>
            </w:r>
            <w:r>
              <w:rPr>
                <w:sz w:val="21"/>
              </w:rPr>
              <w:t xml:space="preserve">(SC);</w:t>
            </w:r>
            <w:r>
              <w:rPr>
                <w:sz w:val="21"/>
              </w:rPr>
              <w:t xml:space="preserve"> </w:t>
            </w:r>
            <w:r>
              <w:rPr>
                <w:iCs/>
                <w:i/>
                <w:sz w:val="21"/>
              </w:rPr>
              <w:t xml:space="preserve">Ecom Gill</w:t>
            </w:r>
            <w:r>
              <w:rPr>
                <w:sz w:val="21"/>
              </w:rPr>
              <w:t xml:space="preserve"> </w:t>
            </w:r>
            <w:r>
              <w:rPr>
                <w:sz w:val="21"/>
              </w:rPr>
              <w:t xml:space="preserve">(SC); template B2</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C9</w:t>
            </w:r>
          </w:p>
        </w:tc>
        <w:tc>
          <w:tcPr>
            <w:tcW w:type="dxa" w:w="8204"/>
          </w:tcPr>
          <w:p>
            <w:pPr>
              <w:pStyle w:val="Compact"/>
              <w:spacing w:before="0" w:after="0" w:line="240" w:lineRule="auto"/>
              <w:jc w:val="left"/>
            </w:pPr>
            <w:r>
              <w:rPr>
                <w:sz w:val="21"/>
              </w:rPr>
              <w:t xml:space="preserve">Interest: 50(1) on the cash portion where the proviso applies; 50(3) only from utilisation to reversal, with the ledger table.</w:t>
            </w:r>
          </w:p>
        </w:tc>
        <w:tc>
          <w:tcPr>
            <w:tcW w:type="dxa" w:w="4022"/>
          </w:tcPr>
          <w:p>
            <w:pPr>
              <w:pStyle w:val="Compact"/>
              <w:spacing w:before="0" w:after="0" w:line="240" w:lineRule="auto"/>
              <w:jc w:val="left"/>
            </w:pPr>
            <w:r>
              <w:rPr>
                <w:sz w:val="21"/>
              </w:rPr>
              <w:t xml:space="preserve">Section 50; rule 88B</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C10</w:t>
            </w:r>
          </w:p>
        </w:tc>
        <w:tc>
          <w:tcPr>
            <w:tcW w:type="dxa" w:w="8204"/>
          </w:tcPr>
          <w:p>
            <w:pPr>
              <w:pStyle w:val="Compact"/>
              <w:spacing w:before="0" w:after="0" w:line="240" w:lineRule="auto"/>
              <w:jc w:val="left"/>
            </w:pPr>
            <w:r>
              <w:rPr>
                <w:sz w:val="21"/>
              </w:rPr>
              <w:t xml:space="preserve">Penalty under the clause proposed; no second penalty for the same act; 73(11) recorded where relied on; 126(1) considered for discretionary penalties.</w:t>
            </w:r>
          </w:p>
        </w:tc>
        <w:tc>
          <w:tcPr>
            <w:tcW w:type="dxa" w:w="4022"/>
          </w:tcPr>
          <w:p>
            <w:pPr>
              <w:pStyle w:val="Compact"/>
              <w:spacing w:before="0" w:after="0" w:line="240" w:lineRule="auto"/>
              <w:jc w:val="left"/>
            </w:pPr>
            <w:r>
              <w:rPr>
                <w:sz w:val="21"/>
              </w:rPr>
              <w:t xml:space="preserve">Sections 73(9), (11); 74(1); 74A(5); 75(13); 126</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C11</w:t>
            </w:r>
          </w:p>
        </w:tc>
        <w:tc>
          <w:tcPr>
            <w:tcW w:type="dxa" w:w="8204"/>
          </w:tcPr>
          <w:p>
            <w:pPr>
              <w:pStyle w:val="Compact"/>
              <w:spacing w:before="0" w:after="0" w:line="240" w:lineRule="auto"/>
              <w:jc w:val="left"/>
            </w:pPr>
            <w:r>
              <w:rPr>
                <w:sz w:val="21"/>
              </w:rPr>
              <w:t xml:space="preserve">DRC-03 payments and reversals credited and appropriated head by head.</w:t>
            </w:r>
          </w:p>
        </w:tc>
        <w:tc>
          <w:tcPr>
            <w:tcW w:type="dxa" w:w="4022"/>
          </w:tcPr>
          <w:p>
            <w:pPr>
              <w:pStyle w:val="Compact"/>
              <w:spacing w:before="0" w:after="0" w:line="240" w:lineRule="auto"/>
              <w:jc w:val="left"/>
            </w:pPr>
            <w:r>
              <w:rPr>
                <w:sz w:val="21"/>
              </w:rPr>
              <w:t xml:space="preserve">Rule 142(2), (2B)</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C12</w:t>
            </w:r>
          </w:p>
        </w:tc>
        <w:tc>
          <w:tcPr>
            <w:tcW w:type="dxa" w:w="8204"/>
          </w:tcPr>
          <w:p>
            <w:pPr>
              <w:pStyle w:val="Compact"/>
              <w:spacing w:before="0" w:after="0" w:line="240" w:lineRule="auto"/>
              <w:jc w:val="left"/>
            </w:pPr>
            <w:r>
              <w:rPr>
                <w:sz w:val="21"/>
              </w:rPr>
              <w:t xml:space="preserve">Proposed / confirmed / dropped table and the DRC-07 13-column table agree with the operative order and the amount in words.</w:t>
            </w:r>
          </w:p>
        </w:tc>
        <w:tc>
          <w:tcPr>
            <w:tcW w:type="dxa" w:w="4022"/>
          </w:tcPr>
          <w:p>
            <w:pPr>
              <w:pStyle w:val="Compact"/>
              <w:spacing w:before="0" w:after="0" w:line="240" w:lineRule="auto"/>
              <w:jc w:val="left"/>
            </w:pPr>
            <w:r>
              <w:rPr>
                <w:sz w:val="21"/>
              </w:rPr>
              <w:t xml:space="preserve">Rule 142(5)</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C13</w:t>
            </w:r>
          </w:p>
        </w:tc>
        <w:tc>
          <w:tcPr>
            <w:tcW w:type="dxa" w:w="8204"/>
          </w:tcPr>
          <w:p>
            <w:pPr>
              <w:pStyle w:val="Compact"/>
              <w:spacing w:before="0" w:after="0" w:line="240" w:lineRule="auto"/>
              <w:jc w:val="left"/>
            </w:pPr>
            <w:r>
              <w:rPr>
                <w:sz w:val="21"/>
              </w:rPr>
              <w:t xml:space="preserve">Operative order: numbered, one demand per item, provision named; options under 74(11) or 74A(9)(iii) stated where they apply; appeal clause with APL-01, three months and the 107(6) pre-deposit.</w:t>
            </w:r>
          </w:p>
        </w:tc>
        <w:tc>
          <w:tcPr>
            <w:tcW w:type="dxa" w:w="4022"/>
          </w:tcPr>
          <w:p>
            <w:pPr>
              <w:pStyle w:val="Compact"/>
              <w:spacing w:before="0" w:after="0" w:line="240" w:lineRule="auto"/>
              <w:jc w:val="left"/>
            </w:pPr>
            <w:r>
              <w:rPr>
                <w:sz w:val="21"/>
              </w:rPr>
              <w:t xml:space="preserve">Sections 74(11), 74A(9)(iii), 107(1), (6)</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C14</w:t>
            </w:r>
          </w:p>
        </w:tc>
        <w:tc>
          <w:tcPr>
            <w:tcW w:type="dxa" w:w="8204"/>
          </w:tcPr>
          <w:p>
            <w:pPr>
              <w:pStyle w:val="Compact"/>
              <w:spacing w:before="0" w:after="0" w:line="240" w:lineRule="auto"/>
              <w:jc w:val="left"/>
            </w:pPr>
            <w:r>
              <w:rPr>
                <w:sz w:val="21"/>
              </w:rPr>
              <w:t xml:space="preserve">No bracket, drafting note, blank date or another case’s facts. Figures rounded to the rupee.</w:t>
            </w:r>
          </w:p>
        </w:tc>
        <w:tc>
          <w:tcPr>
            <w:tcW w:type="dxa" w:w="4022"/>
          </w:tcPr>
          <w:p>
            <w:pPr>
              <w:pStyle w:val="Compact"/>
              <w:spacing w:before="0" w:after="0" w:line="240" w:lineRule="auto"/>
              <w:jc w:val="left"/>
            </w:pPr>
            <w:r>
              <w:rPr>
                <w:sz w:val="21"/>
              </w:rPr>
              <w:t xml:space="preserve">Section 170</w:t>
            </w:r>
          </w:p>
        </w:tc>
        <w:tc>
          <w:tcPr>
            <w:tcW w:type="dxa" w:w="1172"/>
          </w:tcPr>
          <w:p>
            <w:pPr>
              <w:pStyle w:val="Compact"/>
              <w:spacing w:before="0" w:after="0" w:line="240" w:lineRule="auto"/>
              <w:jc w:val="left"/>
            </w:pPr>
            <w:r>
              <w:rPr>
                <w:sz w:val="21"/>
              </w:rPr>
              <w:t xml:space="preserve">☐</w:t>
            </w:r>
          </w:p>
        </w:tc>
      </w:tr>
      <w:tr>
        <w:tc>
          <w:tcPr>
            <w:tcW w:type="dxa" w:w="1172"/>
          </w:tcPr>
          <w:p>
            <w:pPr>
              <w:pStyle w:val="Compact"/>
              <w:spacing w:before="0" w:after="0" w:line="240" w:lineRule="auto"/>
              <w:jc w:val="left"/>
            </w:pPr>
            <w:r>
              <w:rPr>
                <w:sz w:val="21"/>
              </w:rPr>
              <w:t xml:space="preserve">C15</w:t>
            </w:r>
          </w:p>
        </w:tc>
        <w:tc>
          <w:tcPr>
            <w:tcW w:type="dxa" w:w="8204"/>
          </w:tcPr>
          <w:p>
            <w:pPr>
              <w:pStyle w:val="Compact"/>
              <w:spacing w:before="0" w:after="0" w:line="240" w:lineRule="auto"/>
              <w:jc w:val="left"/>
            </w:pPr>
            <w:r>
              <w:rPr>
                <w:sz w:val="21"/>
              </w:rPr>
              <w:t xml:space="preserve">Order and DRC-07 carry a DIN/RFN (mandatory) and are digitally signed on the printed date (good practice); uploaded copy opened and checked.</w:t>
            </w:r>
          </w:p>
        </w:tc>
        <w:tc>
          <w:tcPr>
            <w:tcW w:type="dxa" w:w="4022"/>
          </w:tcPr>
          <w:p>
            <w:pPr>
              <w:pStyle w:val="Compact"/>
              <w:spacing w:before="0" w:after="0" w:line="240" w:lineRule="auto"/>
              <w:jc w:val="left"/>
            </w:pPr>
            <w:r>
              <w:rPr>
                <w:iCs/>
                <w:i/>
                <w:sz w:val="21"/>
              </w:rPr>
              <w:t xml:space="preserve">Gudla Vanaja</w:t>
            </w:r>
            <w:r>
              <w:rPr>
                <w:sz w:val="21"/>
              </w:rPr>
              <w:t xml:space="preserve"> </w:t>
            </w:r>
            <w:r>
              <w:rPr>
                <w:sz w:val="21"/>
              </w:rPr>
              <w:t xml:space="preserve">(TG Full Bench, 30.09.2026; overruled</w:t>
            </w:r>
            <w:r>
              <w:rPr>
                <w:sz w:val="21"/>
              </w:rPr>
              <w:t xml:space="preserve"> </w:t>
            </w:r>
            <w:r>
              <w:rPr>
                <w:iCs/>
                <w:i/>
                <w:sz w:val="21"/>
              </w:rPr>
              <w:t xml:space="preserve">Bigleap</w:t>
            </w:r>
            <w:r>
              <w:rPr>
                <w:sz w:val="21"/>
              </w:rPr>
              <w:t xml:space="preserve">); rule 26(3)</w:t>
            </w:r>
          </w:p>
        </w:tc>
        <w:tc>
          <w:tcPr>
            <w:tcW w:type="dxa" w:w="1172"/>
          </w:tcPr>
          <w:p>
            <w:pPr>
              <w:pStyle w:val="Compact"/>
              <w:spacing w:before="0" w:after="0" w:line="240" w:lineRule="auto"/>
              <w:jc w:val="left"/>
            </w:pPr>
            <w:r>
              <w:rPr>
                <w:sz w:val="21"/>
              </w:rPr>
              <w:t xml:space="preserve">☐</w:t>
            </w:r>
          </w:p>
        </w:tc>
      </w:tr>
    </w:tbl>
    <w:p>
      <w:pPr>
        <w:pageBreakBefore/>
        <w:spacing w:after="80"/>
      </w:pPr>
      <w:r>
        <w:rPr>
          <w:b/>
          <w:sz w:val="24"/>
        </w:rPr>
        <w:t>Stage D. After the order</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91"/>
        <w:gridCol w:w="8337"/>
        <w:gridCol w:w="3851"/>
        <w:gridCol w:w="1191"/>
      </w:tblGrid>
      <w:tr>
        <w:trPr>
          <w:tblHeader w:val="true"/>
          <w:tblHeader/>
        </w:trPr>
        <w:tc>
          <w:tcPr>
            <w:tcW w:type="dxa" w:w="1191"/>
            <w:shd w:val="clear" w:color="auto" w:fill="DCE6F1"/>
          </w:tcPr>
          <w:p>
            <w:pPr>
              <w:pStyle w:val="Compact"/>
              <w:spacing w:before="0" w:after="0" w:line="240" w:lineRule="auto"/>
              <w:jc w:val="left"/>
            </w:pPr>
            <w:r>
              <w:rPr>
                <w:b/>
                <w:color w:val="1F3864"/>
                <w:sz w:val="21"/>
              </w:rPr>
              <w:t xml:space="preserve">No.</w:t>
            </w:r>
          </w:p>
        </w:tc>
        <w:tc>
          <w:tcPr>
            <w:tcW w:type="dxa" w:w="8337"/>
            <w:shd w:val="clear" w:color="auto" w:fill="DCE6F1"/>
          </w:tcPr>
          <w:p>
            <w:pPr>
              <w:pStyle w:val="Compact"/>
              <w:spacing w:before="0" w:after="0" w:line="240" w:lineRule="auto"/>
              <w:jc w:val="left"/>
            </w:pPr>
            <w:r>
              <w:rPr>
                <w:b/>
                <w:color w:val="1F3864"/>
                <w:sz w:val="21"/>
              </w:rPr>
              <w:t xml:space="preserve">Check</w:t>
            </w:r>
          </w:p>
        </w:tc>
        <w:tc>
          <w:tcPr>
            <w:tcW w:type="dxa" w:w="3851"/>
            <w:shd w:val="clear" w:color="auto" w:fill="DCE6F1"/>
          </w:tcPr>
          <w:p>
            <w:pPr>
              <w:pStyle w:val="Compact"/>
              <w:spacing w:before="0" w:after="0" w:line="240" w:lineRule="auto"/>
              <w:jc w:val="left"/>
            </w:pPr>
            <w:r>
              <w:rPr>
                <w:b/>
                <w:color w:val="1F3864"/>
                <w:sz w:val="21"/>
              </w:rPr>
              <w:t xml:space="preserve">Provision or case</w:t>
            </w:r>
          </w:p>
        </w:tc>
        <w:tc>
          <w:tcPr>
            <w:tcW w:type="dxa" w:w="1191"/>
            <w:shd w:val="clear" w:color="auto" w:fill="DCE6F1"/>
          </w:tcPr>
          <w:p>
            <w:pPr>
              <w:pStyle w:val="Compact"/>
              <w:spacing w:before="0" w:after="0" w:line="240" w:lineRule="auto"/>
              <w:jc w:val="left"/>
            </w:pPr>
            <w:r>
              <w:rPr>
                <w:b/>
                <w:color w:val="1F3864"/>
                <w:sz w:val="21"/>
              </w:rPr>
              <w:t xml:space="preserve">Tick</w:t>
            </w:r>
          </w:p>
        </w:tc>
      </w:tr>
      <w:tr>
        <w:tc>
          <w:tcPr>
            <w:tcW w:type="dxa" w:w="1191"/>
          </w:tcPr>
          <w:p>
            <w:pPr>
              <w:pStyle w:val="Compact"/>
              <w:spacing w:before="0" w:after="0" w:line="240" w:lineRule="auto"/>
              <w:jc w:val="left"/>
            </w:pPr>
            <w:r>
              <w:rPr>
                <w:sz w:val="21"/>
              </w:rPr>
              <w:t xml:space="preserve">D1</w:t>
            </w:r>
          </w:p>
        </w:tc>
        <w:tc>
          <w:tcPr>
            <w:tcW w:type="dxa" w:w="8337"/>
          </w:tcPr>
          <w:p>
            <w:pPr>
              <w:pStyle w:val="Compact"/>
              <w:spacing w:before="0" w:after="0" w:line="240" w:lineRule="auto"/>
              <w:jc w:val="left"/>
            </w:pPr>
            <w:r>
              <w:rPr>
                <w:sz w:val="21"/>
              </w:rPr>
              <w:t xml:space="preserve">Order served on the portal and by e-mail (and speed post where there was no response); proof of service on file.</w:t>
            </w:r>
          </w:p>
        </w:tc>
        <w:tc>
          <w:tcPr>
            <w:tcW w:type="dxa" w:w="3851"/>
          </w:tcPr>
          <w:p>
            <w:pPr>
              <w:pStyle w:val="Compact"/>
              <w:spacing w:before="0" w:after="0" w:line="240" w:lineRule="auto"/>
              <w:jc w:val="left"/>
            </w:pPr>
            <w:r>
              <w:rPr>
                <w:sz w:val="21"/>
              </w:rPr>
              <w:t xml:space="preserve">Section 169;</w:t>
            </w:r>
            <w:r>
              <w:rPr>
                <w:sz w:val="21"/>
              </w:rPr>
              <w:t xml:space="preserve"> </w:t>
            </w:r>
            <w:r>
              <w:rPr>
                <w:iCs/>
                <w:i/>
                <w:sz w:val="21"/>
              </w:rPr>
              <w:t xml:space="preserve">Bollant Industries</w:t>
            </w:r>
            <w:r>
              <w:rPr>
                <w:sz w:val="21"/>
              </w:rPr>
              <w:t xml:space="preserve"> </w:t>
            </w:r>
            <w:r>
              <w:rPr>
                <w:sz w:val="21"/>
              </w:rPr>
              <w:t xml:space="preserve">(TG)</w:t>
            </w:r>
          </w:p>
        </w:tc>
        <w:tc>
          <w:tcPr>
            <w:tcW w:type="dxa" w:w="1191"/>
          </w:tcPr>
          <w:p>
            <w:pPr>
              <w:pStyle w:val="Compact"/>
              <w:spacing w:before="0" w:after="0" w:line="240" w:lineRule="auto"/>
              <w:jc w:val="left"/>
            </w:pPr>
            <w:r>
              <w:rPr>
                <w:sz w:val="21"/>
              </w:rPr>
              <w:t xml:space="preserve">☐</w:t>
            </w:r>
          </w:p>
        </w:tc>
      </w:tr>
      <w:tr>
        <w:tc>
          <w:tcPr>
            <w:tcW w:type="dxa" w:w="1191"/>
          </w:tcPr>
          <w:p>
            <w:pPr>
              <w:pStyle w:val="Compact"/>
              <w:spacing w:before="0" w:after="0" w:line="240" w:lineRule="auto"/>
              <w:jc w:val="left"/>
            </w:pPr>
            <w:r>
              <w:rPr>
                <w:sz w:val="21"/>
              </w:rPr>
              <w:t xml:space="preserve">D2</w:t>
            </w:r>
          </w:p>
        </w:tc>
        <w:tc>
          <w:tcPr>
            <w:tcW w:type="dxa" w:w="8337"/>
          </w:tcPr>
          <w:p>
            <w:pPr>
              <w:pStyle w:val="Compact"/>
              <w:spacing w:before="0" w:after="0" w:line="240" w:lineRule="auto"/>
              <w:jc w:val="left"/>
            </w:pPr>
            <w:r>
              <w:rPr>
                <w:sz w:val="21"/>
              </w:rPr>
              <w:t xml:space="preserve">DRC-07 figures match the order; the demand ID shows correctly in the electronic liability register.</w:t>
            </w:r>
          </w:p>
        </w:tc>
        <w:tc>
          <w:tcPr>
            <w:tcW w:type="dxa" w:w="3851"/>
          </w:tcPr>
          <w:p>
            <w:pPr>
              <w:pStyle w:val="Compact"/>
              <w:spacing w:before="0" w:after="0" w:line="240" w:lineRule="auto"/>
              <w:jc w:val="left"/>
            </w:pPr>
            <w:r>
              <w:rPr>
                <w:sz w:val="21"/>
              </w:rPr>
              <w:t xml:space="preserve">Rule 142(5), (6); Instruction 04/2023-GST</w:t>
            </w:r>
          </w:p>
        </w:tc>
        <w:tc>
          <w:tcPr>
            <w:tcW w:type="dxa" w:w="1191"/>
          </w:tcPr>
          <w:p>
            <w:pPr>
              <w:pStyle w:val="Compact"/>
              <w:spacing w:before="0" w:after="0" w:line="240" w:lineRule="auto"/>
              <w:jc w:val="left"/>
            </w:pPr>
            <w:r>
              <w:rPr>
                <w:sz w:val="21"/>
              </w:rPr>
              <w:t xml:space="preserve">☐</w:t>
            </w:r>
          </w:p>
        </w:tc>
      </w:tr>
      <w:tr>
        <w:tc>
          <w:tcPr>
            <w:tcW w:type="dxa" w:w="1191"/>
          </w:tcPr>
          <w:p>
            <w:pPr>
              <w:pStyle w:val="Compact"/>
              <w:spacing w:before="0" w:after="0" w:line="240" w:lineRule="auto"/>
              <w:jc w:val="left"/>
            </w:pPr>
            <w:r>
              <w:rPr>
                <w:sz w:val="21"/>
              </w:rPr>
              <w:t xml:space="preserve">D3</w:t>
            </w:r>
          </w:p>
        </w:tc>
        <w:tc>
          <w:tcPr>
            <w:tcW w:type="dxa" w:w="8337"/>
          </w:tcPr>
          <w:p>
            <w:pPr>
              <w:pStyle w:val="Compact"/>
              <w:spacing w:before="0" w:after="0" w:line="240" w:lineRule="auto"/>
              <w:jc w:val="left"/>
            </w:pPr>
            <w:r>
              <w:rPr>
                <w:sz w:val="21"/>
              </w:rPr>
              <w:t xml:space="preserve">Copy sent to the Commissioner (Review) for review within the six-month window.</w:t>
            </w:r>
          </w:p>
        </w:tc>
        <w:tc>
          <w:tcPr>
            <w:tcW w:type="dxa" w:w="3851"/>
          </w:tcPr>
          <w:p>
            <w:pPr>
              <w:pStyle w:val="Compact"/>
              <w:spacing w:before="0" w:after="0" w:line="240" w:lineRule="auto"/>
              <w:jc w:val="left"/>
            </w:pPr>
            <w:r>
              <w:rPr>
                <w:sz w:val="21"/>
              </w:rPr>
              <w:t xml:space="preserve">Section 107(2)</w:t>
            </w:r>
          </w:p>
        </w:tc>
        <w:tc>
          <w:tcPr>
            <w:tcW w:type="dxa" w:w="1191"/>
          </w:tcPr>
          <w:p>
            <w:pPr>
              <w:pStyle w:val="Compact"/>
              <w:spacing w:before="0" w:after="0" w:line="240" w:lineRule="auto"/>
              <w:jc w:val="left"/>
            </w:pPr>
            <w:r>
              <w:rPr>
                <w:sz w:val="21"/>
              </w:rPr>
              <w:t xml:space="preserve">☐</w:t>
            </w:r>
          </w:p>
        </w:tc>
      </w:tr>
      <w:tr>
        <w:tc>
          <w:tcPr>
            <w:tcW w:type="dxa" w:w="1191"/>
          </w:tcPr>
          <w:p>
            <w:pPr>
              <w:pStyle w:val="Compact"/>
              <w:spacing w:before="0" w:after="0" w:line="240" w:lineRule="auto"/>
              <w:jc w:val="left"/>
            </w:pPr>
            <w:r>
              <w:rPr>
                <w:sz w:val="21"/>
              </w:rPr>
              <w:t xml:space="preserve">D4</w:t>
            </w:r>
          </w:p>
        </w:tc>
        <w:tc>
          <w:tcPr>
            <w:tcW w:type="dxa" w:w="8337"/>
          </w:tcPr>
          <w:p>
            <w:pPr>
              <w:pStyle w:val="Compact"/>
              <w:spacing w:before="0" w:after="0" w:line="240" w:lineRule="auto"/>
              <w:jc w:val="left"/>
            </w:pPr>
            <w:r>
              <w:rPr>
                <w:sz w:val="21"/>
              </w:rPr>
              <w:t xml:space="preserve">No recovery step within three months of service, unless the Commissioner has recorded reasons under the proviso to section 78.</w:t>
            </w:r>
          </w:p>
        </w:tc>
        <w:tc>
          <w:tcPr>
            <w:tcW w:type="dxa" w:w="3851"/>
          </w:tcPr>
          <w:p>
            <w:pPr>
              <w:pStyle w:val="Compact"/>
              <w:spacing w:before="0" w:after="0" w:line="240" w:lineRule="auto"/>
              <w:jc w:val="left"/>
            </w:pPr>
            <w:r>
              <w:rPr>
                <w:sz w:val="21"/>
              </w:rPr>
              <w:t xml:space="preserve">Section 78; Instruction 01/2024-GST</w:t>
            </w:r>
          </w:p>
        </w:tc>
        <w:tc>
          <w:tcPr>
            <w:tcW w:type="dxa" w:w="1191"/>
          </w:tcPr>
          <w:p>
            <w:pPr>
              <w:pStyle w:val="Compact"/>
              <w:spacing w:before="0" w:after="0" w:line="240" w:lineRule="auto"/>
              <w:jc w:val="left"/>
            </w:pPr>
            <w:r>
              <w:rPr>
                <w:sz w:val="21"/>
              </w:rPr>
              <w:t xml:space="preserve">☐</w:t>
            </w:r>
          </w:p>
        </w:tc>
      </w:tr>
      <w:tr>
        <w:tc>
          <w:tcPr>
            <w:tcW w:type="dxa" w:w="1191"/>
          </w:tcPr>
          <w:p>
            <w:pPr>
              <w:pStyle w:val="Compact"/>
              <w:spacing w:before="0" w:after="0" w:line="240" w:lineRule="auto"/>
              <w:jc w:val="left"/>
            </w:pPr>
            <w:r>
              <w:rPr>
                <w:sz w:val="21"/>
              </w:rPr>
              <w:t xml:space="preserve">D5</w:t>
            </w:r>
          </w:p>
        </w:tc>
        <w:tc>
          <w:tcPr>
            <w:tcW w:type="dxa" w:w="8337"/>
          </w:tcPr>
          <w:p>
            <w:pPr>
              <w:pStyle w:val="Compact"/>
              <w:spacing w:before="0" w:after="0" w:line="240" w:lineRule="auto"/>
              <w:jc w:val="left"/>
            </w:pPr>
            <w:r>
              <w:rPr>
                <w:sz w:val="21"/>
              </w:rPr>
              <w:t xml:space="preserve">Before any recovery step, the portal checked for an appeal (APL-01) with the pre-deposit, or a Circular 224 undertaking; if found, recovery stopped and attachments lifted.</w:t>
            </w:r>
          </w:p>
        </w:tc>
        <w:tc>
          <w:tcPr>
            <w:tcW w:type="dxa" w:w="3851"/>
          </w:tcPr>
          <w:p>
            <w:pPr>
              <w:pStyle w:val="Compact"/>
              <w:spacing w:before="0" w:after="0" w:line="240" w:lineRule="auto"/>
              <w:jc w:val="left"/>
            </w:pPr>
            <w:r>
              <w:rPr>
                <w:sz w:val="21"/>
              </w:rPr>
              <w:t xml:space="preserve">Sections 107(7), 112(9); Circular 224/18/2024-GST</w:t>
            </w:r>
          </w:p>
        </w:tc>
        <w:tc>
          <w:tcPr>
            <w:tcW w:type="dxa" w:w="1191"/>
          </w:tcPr>
          <w:p>
            <w:pPr>
              <w:pStyle w:val="Compact"/>
              <w:spacing w:before="0" w:after="0" w:line="240" w:lineRule="auto"/>
              <w:jc w:val="left"/>
            </w:pPr>
            <w:r>
              <w:rPr>
                <w:sz w:val="21"/>
              </w:rPr>
              <w:t xml:space="preserve">☐</w:t>
            </w:r>
          </w:p>
        </w:tc>
      </w:tr>
      <w:tr>
        <w:tc>
          <w:tcPr>
            <w:tcW w:type="dxa" w:w="1191"/>
          </w:tcPr>
          <w:p>
            <w:pPr>
              <w:pStyle w:val="Compact"/>
              <w:spacing w:before="0" w:after="0" w:line="240" w:lineRule="auto"/>
              <w:jc w:val="left"/>
            </w:pPr>
            <w:r>
              <w:rPr>
                <w:sz w:val="21"/>
              </w:rPr>
              <w:t xml:space="preserve">D6</w:t>
            </w:r>
          </w:p>
        </w:tc>
        <w:tc>
          <w:tcPr>
            <w:tcW w:type="dxa" w:w="8337"/>
          </w:tcPr>
          <w:p>
            <w:pPr>
              <w:pStyle w:val="Compact"/>
              <w:spacing w:before="0" w:after="0" w:line="240" w:lineRule="auto"/>
              <w:jc w:val="left"/>
            </w:pPr>
            <w:r>
              <w:rPr>
                <w:sz w:val="21"/>
              </w:rPr>
              <w:t xml:space="preserve">Payment under section 74(11) (30 days) or 74A(9)(iii) (60 days) received in time: proceedings recorded as concluded.</w:t>
            </w:r>
          </w:p>
        </w:tc>
        <w:tc>
          <w:tcPr>
            <w:tcW w:type="dxa" w:w="3851"/>
          </w:tcPr>
          <w:p>
            <w:pPr>
              <w:pStyle w:val="Compact"/>
              <w:spacing w:before="0" w:after="0" w:line="240" w:lineRule="auto"/>
              <w:jc w:val="left"/>
            </w:pPr>
            <w:r>
              <w:rPr>
                <w:sz w:val="21"/>
              </w:rPr>
              <w:t xml:space="preserve">Sections 74(11), 74A(9)(iii)</w:t>
            </w:r>
          </w:p>
        </w:tc>
        <w:tc>
          <w:tcPr>
            <w:tcW w:type="dxa" w:w="1191"/>
          </w:tcPr>
          <w:p>
            <w:pPr>
              <w:pStyle w:val="Compact"/>
              <w:spacing w:before="0" w:after="0" w:line="240" w:lineRule="auto"/>
              <w:jc w:val="left"/>
            </w:pPr>
            <w:r>
              <w:rPr>
                <w:sz w:val="21"/>
              </w:rPr>
              <w:t xml:space="preserve">☐</w:t>
            </w:r>
          </w:p>
        </w:tc>
      </w:tr>
      <w:tr>
        <w:tc>
          <w:tcPr>
            <w:tcW w:type="dxa" w:w="1191"/>
          </w:tcPr>
          <w:p>
            <w:pPr>
              <w:pStyle w:val="Compact"/>
              <w:spacing w:before="0" w:after="0" w:line="240" w:lineRule="auto"/>
              <w:jc w:val="left"/>
            </w:pPr>
            <w:r>
              <w:rPr>
                <w:sz w:val="21"/>
              </w:rPr>
              <w:t xml:space="preserve">D7</w:t>
            </w:r>
          </w:p>
        </w:tc>
        <w:tc>
          <w:tcPr>
            <w:tcW w:type="dxa" w:w="8337"/>
          </w:tcPr>
          <w:p>
            <w:pPr>
              <w:pStyle w:val="Compact"/>
              <w:spacing w:before="0" w:after="0" w:line="240" w:lineRule="auto"/>
              <w:jc w:val="left"/>
            </w:pPr>
            <w:r>
              <w:rPr>
                <w:sz w:val="21"/>
              </w:rPr>
              <w:t xml:space="preserve">Any error noticed in the order: rectification under section 161 within three / six months, with hearing if adverse, and DRC-08 (template B4).</w:t>
            </w:r>
          </w:p>
        </w:tc>
        <w:tc>
          <w:tcPr>
            <w:tcW w:type="dxa" w:w="3851"/>
          </w:tcPr>
          <w:p>
            <w:pPr>
              <w:pStyle w:val="Compact"/>
              <w:spacing w:before="0" w:after="0" w:line="240" w:lineRule="auto"/>
              <w:jc w:val="left"/>
            </w:pPr>
            <w:r>
              <w:rPr>
                <w:sz w:val="21"/>
              </w:rPr>
              <w:t xml:space="preserve">Section 161; rule 142(7)</w:t>
            </w:r>
          </w:p>
        </w:tc>
        <w:tc>
          <w:tcPr>
            <w:tcW w:type="dxa" w:w="1191"/>
          </w:tcPr>
          <w:p>
            <w:pPr>
              <w:pStyle w:val="Compact"/>
              <w:spacing w:before="0" w:after="0" w:line="240" w:lineRule="auto"/>
              <w:jc w:val="left"/>
            </w:pPr>
            <w:r>
              <w:rPr>
                <w:sz w:val="21"/>
              </w:rPr>
              <w:t xml:space="preserve">☐</w:t>
            </w:r>
          </w:p>
        </w:tc>
      </w:tr>
      <w:tr>
        <w:tc>
          <w:tcPr>
            <w:tcW w:type="dxa" w:w="1191"/>
          </w:tcPr>
          <w:p>
            <w:pPr>
              <w:pStyle w:val="Compact"/>
              <w:spacing w:before="0" w:after="0" w:line="240" w:lineRule="auto"/>
              <w:jc w:val="left"/>
            </w:pPr>
            <w:r>
              <w:rPr>
                <w:sz w:val="21"/>
              </w:rPr>
              <w:t xml:space="preserve">D8</w:t>
            </w:r>
          </w:p>
        </w:tc>
        <w:tc>
          <w:tcPr>
            <w:tcW w:type="dxa" w:w="8337"/>
          </w:tcPr>
          <w:p>
            <w:pPr>
              <w:pStyle w:val="Compact"/>
              <w:spacing w:before="0" w:after="0" w:line="240" w:lineRule="auto"/>
              <w:jc w:val="left"/>
            </w:pPr>
            <w:r>
              <w:rPr>
                <w:sz w:val="21"/>
              </w:rPr>
              <w:t xml:space="preserve">Appeal filed by the noticee: file, RUDs, proof of service, hearing record and parawise comments sent; no new grounds in comments.</w:t>
            </w:r>
          </w:p>
        </w:tc>
        <w:tc>
          <w:tcPr>
            <w:tcW w:type="dxa" w:w="3851"/>
          </w:tcPr>
          <w:p>
            <w:pPr>
              <w:pStyle w:val="Compact"/>
              <w:spacing w:before="0" w:after="0" w:line="240" w:lineRule="auto"/>
              <w:jc w:val="left"/>
            </w:pPr>
            <w:r>
              <w:rPr>
                <w:sz w:val="21"/>
              </w:rPr>
              <w:t xml:space="preserve">Section 107; rule 112(3);</w:t>
            </w:r>
            <w:r>
              <w:rPr>
                <w:sz w:val="21"/>
              </w:rPr>
              <w:t xml:space="preserve"> </w:t>
            </w:r>
            <w:r>
              <w:rPr>
                <w:iCs/>
                <w:i/>
                <w:sz w:val="21"/>
              </w:rPr>
              <w:t xml:space="preserve">G.R. Infra Projects</w:t>
            </w:r>
            <w:r>
              <w:rPr>
                <w:sz w:val="21"/>
              </w:rPr>
              <w:t xml:space="preserve"> </w:t>
            </w:r>
            <w:r>
              <w:rPr>
                <w:sz w:val="21"/>
              </w:rPr>
              <w:t xml:space="preserve">(SC)</w:t>
            </w:r>
          </w:p>
        </w:tc>
        <w:tc>
          <w:tcPr>
            <w:tcW w:type="dxa" w:w="1191"/>
          </w:tcPr>
          <w:p>
            <w:pPr>
              <w:pStyle w:val="Compact"/>
              <w:spacing w:before="0" w:after="0" w:line="240" w:lineRule="auto"/>
              <w:jc w:val="left"/>
            </w:pPr>
            <w:r>
              <w:rPr>
                <w:sz w:val="21"/>
              </w:rPr>
              <w:t xml:space="preserve">☐</w:t>
            </w:r>
          </w:p>
        </w:tc>
      </w:tr>
      <w:tr>
        <w:tc>
          <w:tcPr>
            <w:tcW w:type="dxa" w:w="1191"/>
          </w:tcPr>
          <w:p>
            <w:pPr>
              <w:pStyle w:val="Compact"/>
              <w:spacing w:before="0" w:after="0" w:line="240" w:lineRule="auto"/>
              <w:jc w:val="left"/>
            </w:pPr>
            <w:r>
              <w:rPr>
                <w:sz w:val="21"/>
              </w:rPr>
              <w:t xml:space="preserve">D9</w:t>
            </w:r>
          </w:p>
        </w:tc>
        <w:tc>
          <w:tcPr>
            <w:tcW w:type="dxa" w:w="8337"/>
          </w:tcPr>
          <w:p>
            <w:pPr>
              <w:pStyle w:val="Compact"/>
              <w:spacing w:before="0" w:after="0" w:line="240" w:lineRule="auto"/>
              <w:jc w:val="left"/>
            </w:pPr>
            <w:r>
              <w:rPr>
                <w:sz w:val="21"/>
              </w:rPr>
              <w:t xml:space="preserve">Appellate or court direction received: date of communication noted; two-year date diarised for any fresh or section 75(2) order (template B5).</w:t>
            </w:r>
          </w:p>
        </w:tc>
        <w:tc>
          <w:tcPr>
            <w:tcW w:type="dxa" w:w="3851"/>
          </w:tcPr>
          <w:p>
            <w:pPr>
              <w:pStyle w:val="Compact"/>
              <w:spacing w:before="0" w:after="0" w:line="240" w:lineRule="auto"/>
              <w:jc w:val="left"/>
            </w:pPr>
            <w:r>
              <w:rPr>
                <w:sz w:val="21"/>
              </w:rPr>
              <w:t xml:space="preserve">Section 75(3); Circular 185/17/2022-GST</w:t>
            </w:r>
          </w:p>
        </w:tc>
        <w:tc>
          <w:tcPr>
            <w:tcW w:type="dxa" w:w="1191"/>
          </w:tcPr>
          <w:p>
            <w:pPr>
              <w:pStyle w:val="Compact"/>
              <w:spacing w:before="0" w:after="0" w:line="240" w:lineRule="auto"/>
              <w:jc w:val="left"/>
            </w:pPr>
            <w:r>
              <w:rPr>
                <w:sz w:val="21"/>
              </w:rPr>
              <w:t xml:space="preserve">☐</w:t>
            </w:r>
          </w:p>
        </w:tc>
      </w:tr>
      <w:tr>
        <w:tc>
          <w:tcPr>
            <w:tcW w:type="dxa" w:w="1191"/>
          </w:tcPr>
          <w:p>
            <w:pPr>
              <w:pStyle w:val="Compact"/>
              <w:spacing w:before="0" w:after="0" w:line="240" w:lineRule="auto"/>
              <w:jc w:val="left"/>
            </w:pPr>
            <w:r>
              <w:rPr>
                <w:sz w:val="21"/>
              </w:rPr>
              <w:t xml:space="preserve">D10</w:t>
            </w:r>
          </w:p>
        </w:tc>
        <w:tc>
          <w:tcPr>
            <w:tcW w:type="dxa" w:w="8337"/>
          </w:tcPr>
          <w:p>
            <w:pPr>
              <w:pStyle w:val="Compact"/>
              <w:spacing w:before="0" w:after="0" w:line="240" w:lineRule="auto"/>
              <w:jc w:val="left"/>
            </w:pPr>
            <w:r>
              <w:rPr>
                <w:sz w:val="21"/>
              </w:rPr>
              <w:t xml:space="preserve">Any provisional attachment linked to the case diarised to lapse one year from its order.</w:t>
            </w:r>
          </w:p>
        </w:tc>
        <w:tc>
          <w:tcPr>
            <w:tcW w:type="dxa" w:w="3851"/>
          </w:tcPr>
          <w:p>
            <w:pPr>
              <w:pStyle w:val="Compact"/>
              <w:spacing w:before="0" w:after="0" w:line="240" w:lineRule="auto"/>
              <w:jc w:val="left"/>
            </w:pPr>
            <w:r>
              <w:rPr>
                <w:sz w:val="21"/>
              </w:rPr>
              <w:t xml:space="preserve">Section 83(2);</w:t>
            </w:r>
            <w:r>
              <w:rPr>
                <w:sz w:val="21"/>
              </w:rPr>
              <w:t xml:space="preserve"> </w:t>
            </w:r>
            <w:r>
              <w:rPr>
                <w:iCs/>
                <w:i/>
                <w:sz w:val="21"/>
              </w:rPr>
              <w:t xml:space="preserve">Kesari Nandan Mobile</w:t>
            </w:r>
            <w:r>
              <w:rPr>
                <w:sz w:val="21"/>
              </w:rPr>
              <w:t xml:space="preserve"> </w:t>
            </w:r>
            <w:r>
              <w:rPr>
                <w:sz w:val="21"/>
              </w:rPr>
              <w:t xml:space="preserve">(SC)</w:t>
            </w:r>
          </w:p>
        </w:tc>
        <w:tc>
          <w:tcPr>
            <w:tcW w:type="dxa" w:w="1191"/>
          </w:tcPr>
          <w:p>
            <w:pPr>
              <w:pStyle w:val="Compact"/>
              <w:spacing w:before="0" w:after="0" w:line="240" w:lineRule="auto"/>
              <w:jc w:val="left"/>
            </w:pPr>
            <w:r>
              <w:rPr>
                <w:sz w:val="21"/>
              </w:rPr>
              <w:t xml:space="preserve">☐</w:t>
            </w:r>
          </w:p>
        </w:tc>
      </w:tr>
      <w:tr>
        <w:tc>
          <w:tcPr>
            <w:tcW w:type="dxa" w:w="1191"/>
          </w:tcPr>
          <w:p>
            <w:pPr>
              <w:pStyle w:val="Compact"/>
              <w:spacing w:before="0" w:after="0" w:line="240" w:lineRule="auto"/>
              <w:jc w:val="left"/>
            </w:pPr>
            <w:r>
              <w:rPr>
                <w:sz w:val="21"/>
              </w:rPr>
              <w:t xml:space="preserve">D11</w:t>
            </w:r>
          </w:p>
        </w:tc>
        <w:tc>
          <w:tcPr>
            <w:tcW w:type="dxa" w:w="8337"/>
          </w:tcPr>
          <w:p>
            <w:pPr>
              <w:pStyle w:val="Compact"/>
              <w:spacing w:before="0" w:after="0" w:line="240" w:lineRule="auto"/>
              <w:jc w:val="left"/>
            </w:pPr>
            <w:r>
              <w:rPr>
                <w:sz w:val="21"/>
              </w:rPr>
              <w:t xml:space="preserve">Demand register and guard file updated; one-line note of lessons for future SCNs.</w:t>
            </w:r>
          </w:p>
        </w:tc>
        <w:tc>
          <w:tcPr>
            <w:tcW w:type="dxa" w:w="3851"/>
          </w:tcPr>
          <w:p>
            <w:pPr>
              <w:pStyle w:val="Compact"/>
              <w:spacing w:before="0" w:after="0" w:line="240" w:lineRule="auto"/>
              <w:jc w:val="left"/>
            </w:pPr>
            <w:r>
              <w:rPr>
                <w:sz w:val="21"/>
              </w:rPr>
              <w:t xml:space="preserve">Office practice</w:t>
            </w:r>
          </w:p>
        </w:tc>
        <w:tc>
          <w:tcPr>
            <w:tcW w:type="dxa" w:w="1191"/>
          </w:tcPr>
          <w:p>
            <w:pPr>
              <w:pStyle w:val="Compact"/>
              <w:spacing w:before="0" w:after="0" w:line="240" w:lineRule="auto"/>
              <w:jc w:val="left"/>
            </w:pPr>
            <w:r>
              <w:rPr>
                <w:sz w:val="21"/>
              </w:rPr>
              <w:t xml:space="preserve">☐</w:t>
            </w:r>
          </w:p>
        </w:tc>
      </w:tr>
    </w:tbl>
    <w:bookmarkEnd w:id="20"/>
    <w:sectPr>
      <w:headerReference w:type="default" r:id="rId9"/>
      <w:footerReference w:type="default" r:id="rId10"/>
      <w:pgSz w:orient="landscape" w:w="16838" w:h="11906"/>
      <w:pgMar w:bottom="1134" w:left="1134" w:right="1134" w:top="1134"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570"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570" w:val="right"/>
      </w:tabs>
      <w:pBdr>
        <w:bottom w:val="single" w:sz="6" w:space="2" w:color="B4C6E7"/>
      </w:pBdr>
    </w:pPr>
    <w:r/>
    <w:r>
      <w:rPr>
        <w:color w:val="595959"/>
        <w:sz w:val="17"/>
      </w:rPr>
      <w:t>Sangareddy CGST Division, Medchal CGST Commissionerate</w:t>
    </w:r>
    <w:r>
      <w:rPr>
        <w:color w:val="595959"/>
        <w:sz w:val="17"/>
      </w:rPr>
      <w:tab/>
      <w:t>Checklist C2</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C2: Adjudication checklist, one page per stage (SCN, hearing, order, after the order)</dc:title>
  <dc:creator>Sangareddy CGST Division</dc:creator>
  <cp:keywords/>
  <dcterms:created xsi:type="dcterms:W3CDTF">2026-10-15T02:44:01Z</dcterms:created>
  <dcterms:modified xsi:type="dcterms:W3CDTF">2026-10-15T02:44:01Z</dcterms:modified>
</cp:coreProperties>
</file>

<file path=docProps/custom.xml><?xml version="1.0" encoding="utf-8"?>
<Properties xmlns="http://schemas.openxmlformats.org/officeDocument/2006/custom-properties" xmlns:vt="http://schemas.openxmlformats.org/officeDocument/2006/docPropsVTypes"/>
</file>