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BodyText"/>
        <w:spacing w:before="80" w:after="200" w:line="264" w:lineRule="auto"/>
        <w:jc w:val="center"/>
        <w:pBdr>
          <w:top w:val="single" w:sz="8" w:space="4" w:color="1F3864"/>
          <w:left w:val="single" w:sz="8" w:space="4" w:color="1F3864"/>
          <w:bottom w:val="single" w:sz="8" w:space="4" w:color="1F3864"/>
          <w:right w:val="single" w:sz="8" w:space="4" w:color="1F3864"/>
        </w:pBdr>
        <w:shd w:val="clear" w:color="auto" w:fill="EEF2F8"/>
      </w:pPr>
      <w:r>
        <w:rPr>
          <w:bCs/>
          <w:b/>
          <w:color w:val="1F3864"/>
        </w:rPr>
        <w:t xml:space="preserve">FORM GST RFD-08 [See rule 92(3)]</w:t>
      </w:r>
      <w:r>
        <w:rPr>
          <w:color w:val="1F3864"/>
        </w:rPr>
        <w:br/>
      </w:r>
      <w:r>
        <w:rPr>
          <w:bCs/>
          <w:b/>
          <w:color w:val="1F3864"/>
        </w:rPr>
        <w:t xml:space="preserve">NOTICE FOR REJECTION OF APPLICATION FOR REFUND: ANNEXURE STATING THE GROUNDS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017"/>
        <w:gridCol w:w="6621"/>
      </w:tblGrid>
      <w:tr>
        <w:trPr>
          <w:tblHeader w:val="true"/>
          <w:tblHeader/>
        </w:trPr>
        <w:tc>
          <w:tcPr>
            <w:tcW w:type="dxa" w:w="3017"/>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6621"/>
            <w:shd w:val="clear" w:color="auto" w:fill="DCE6F1"/>
          </w:tcPr>
          <w:p>
            <w:pPr>
              <w:pStyle w:val="Compact"/>
              <w:spacing w:before="0" w:after="0" w:line="240" w:lineRule="auto"/>
              <w:jc w:val="left"/>
            </w:pPr>
            <w:r>
              <w:rPr>
                <w:b/>
                <w:color w:val="1F3864"/>
                <w:sz w:val="21"/>
              </w:rPr>
              <w:t xml:space="preserve">Details</w:t>
            </w:r>
          </w:p>
        </w:tc>
      </w:tr>
      <w:tr>
        <w:tc>
          <w:tcPr>
            <w:tcW w:type="dxa" w:w="3017"/>
            <w:shd w:val="clear" w:color="auto" w:fill="F5F8FC"/>
          </w:tcPr>
          <w:p>
            <w:pPr>
              <w:pStyle w:val="Compact"/>
              <w:spacing w:before="0" w:after="0" w:line="240" w:lineRule="auto"/>
              <w:jc w:val="left"/>
            </w:pPr>
            <w:r>
              <w:rPr>
                <w:b/>
                <w:sz w:val="21"/>
              </w:rPr>
              <w:t xml:space="preserve">Notice No. and date</w:t>
            </w:r>
          </w:p>
        </w:tc>
        <w:tc>
          <w:tcPr>
            <w:tcW w:type="dxa" w:w="6621"/>
          </w:tcPr>
          <w:p>
            <w:pPr>
              <w:pStyle w:val="Compact"/>
              <w:spacing w:before="0" w:after="0" w:line="240" w:lineRule="auto"/>
              <w:jc w:val="left"/>
            </w:pPr>
            <w:r>
              <w:rPr>
                <w:sz w:val="21"/>
              </w:rPr>
              <w:t xml:space="preserve">[ ] dated [DD.MM.YYYY]</w:t>
            </w:r>
          </w:p>
        </w:tc>
      </w:tr>
      <w:tr>
        <w:tc>
          <w:tcPr>
            <w:tcW w:type="dxa" w:w="3017"/>
            <w:shd w:val="clear" w:color="auto" w:fill="F5F8FC"/>
          </w:tcPr>
          <w:p>
            <w:pPr>
              <w:pStyle w:val="Compact"/>
              <w:spacing w:before="0" w:after="0" w:line="240" w:lineRule="auto"/>
              <w:jc w:val="left"/>
            </w:pPr>
            <w:r>
              <w:rPr>
                <w:b/>
                <w:sz w:val="21"/>
              </w:rPr>
              <w:t xml:space="preserve">Reference No. (RFN)</w:t>
            </w:r>
          </w:p>
        </w:tc>
        <w:tc>
          <w:tcPr>
            <w:tcW w:type="dxa" w:w="6621"/>
          </w:tcPr>
          <w:p>
            <w:pPr>
              <w:pStyle w:val="Compact"/>
              <w:spacing w:before="0" w:after="0" w:line="240" w:lineRule="auto"/>
              <w:jc w:val="left"/>
            </w:pPr>
            <w:r>
              <w:rPr>
                <w:sz w:val="21"/>
              </w:rPr>
              <w:t xml:space="preserve">[RFN generated on the portal] (a DIN is not required on a portal communication bearing an RFN: Circular No. 249/06/2025-GST)</w:t>
            </w:r>
          </w:p>
        </w:tc>
      </w:tr>
      <w:tr>
        <w:tc>
          <w:tcPr>
            <w:tcW w:type="dxa" w:w="3017"/>
            <w:shd w:val="clear" w:color="auto" w:fill="F5F8FC"/>
          </w:tcPr>
          <w:p>
            <w:pPr>
              <w:pStyle w:val="Compact"/>
              <w:spacing w:before="0" w:after="0" w:line="240" w:lineRule="auto"/>
              <w:jc w:val="left"/>
            </w:pPr>
            <w:r>
              <w:rPr>
                <w:b/>
                <w:sz w:val="21"/>
              </w:rPr>
              <w:t xml:space="preserve">To</w:t>
            </w:r>
          </w:p>
        </w:tc>
        <w:tc>
          <w:tcPr>
            <w:tcW w:type="dxa" w:w="6621"/>
          </w:tcPr>
          <w:p>
            <w:pPr>
              <w:pStyle w:val="Compact"/>
              <w:spacing w:before="0" w:after="0" w:line="240" w:lineRule="auto"/>
              <w:jc w:val="left"/>
            </w:pPr>
            <w:r>
              <w:rPr>
                <w:sz w:val="21"/>
              </w:rPr>
              <w:t xml:space="preserve">[Legal name], GSTIN [ ], [address]</w:t>
            </w:r>
          </w:p>
        </w:tc>
      </w:tr>
      <w:tr>
        <w:tc>
          <w:tcPr>
            <w:tcW w:type="dxa" w:w="3017"/>
            <w:shd w:val="clear" w:color="auto" w:fill="F5F8FC"/>
          </w:tcPr>
          <w:p>
            <w:pPr>
              <w:pStyle w:val="Compact"/>
              <w:spacing w:before="0" w:after="0" w:line="240" w:lineRule="auto"/>
              <w:jc w:val="left"/>
            </w:pPr>
            <w:r>
              <w:rPr>
                <w:b/>
                <w:sz w:val="21"/>
              </w:rPr>
              <w:t xml:space="preserve">ARN and date of the refund application</w:t>
            </w:r>
          </w:p>
        </w:tc>
        <w:tc>
          <w:tcPr>
            <w:tcW w:type="dxa" w:w="6621"/>
          </w:tcPr>
          <w:p>
            <w:pPr>
              <w:pStyle w:val="Compact"/>
              <w:spacing w:before="0" w:after="0" w:line="240" w:lineRule="auto"/>
              <w:jc w:val="left"/>
            </w:pPr>
            <w:r>
              <w:rPr>
                <w:sz w:val="21"/>
              </w:rPr>
              <w:t xml:space="preserve">[ARN] dated [DD.MM.YYYY]</w:t>
            </w:r>
          </w:p>
        </w:tc>
      </w:tr>
      <w:tr>
        <w:tc>
          <w:tcPr>
            <w:tcW w:type="dxa" w:w="3017"/>
            <w:shd w:val="clear" w:color="auto" w:fill="F5F8FC"/>
          </w:tcPr>
          <w:p>
            <w:pPr>
              <w:pStyle w:val="Compact"/>
              <w:spacing w:before="0" w:after="0" w:line="240" w:lineRule="auto"/>
              <w:jc w:val="left"/>
            </w:pPr>
            <w:r>
              <w:rPr>
                <w:b/>
                <w:sz w:val="21"/>
              </w:rPr>
              <w:t xml:space="preserve">Category and period</w:t>
            </w:r>
          </w:p>
        </w:tc>
        <w:tc>
          <w:tcPr>
            <w:tcW w:type="dxa" w:w="6621"/>
          </w:tcPr>
          <w:p>
            <w:pPr>
              <w:pStyle w:val="Compact"/>
              <w:spacing w:before="0" w:after="0" w:line="240" w:lineRule="auto"/>
              <w:jc w:val="left"/>
            </w:pPr>
            <w:r>
              <w:rPr>
                <w:sz w:val="21"/>
              </w:rPr>
              <w:t xml:space="preserve">[category as in RFD-01]; [period]</w:t>
            </w:r>
          </w:p>
        </w:tc>
      </w:tr>
      <w:tr>
        <w:tc>
          <w:tcPr>
            <w:tcW w:type="dxa" w:w="3017"/>
            <w:shd w:val="clear" w:color="auto" w:fill="F5F8FC"/>
          </w:tcPr>
          <w:p>
            <w:pPr>
              <w:pStyle w:val="Compact"/>
              <w:spacing w:before="0" w:after="0" w:line="240" w:lineRule="auto"/>
              <w:jc w:val="left"/>
            </w:pPr>
            <w:r>
              <w:rPr>
                <w:b/>
                <w:sz w:val="21"/>
              </w:rPr>
              <w:t xml:space="preserve">Amount claimed</w:t>
            </w:r>
          </w:p>
        </w:tc>
        <w:tc>
          <w:tcPr>
            <w:tcW w:type="dxa" w:w="6621"/>
          </w:tcPr>
          <w:p>
            <w:pPr>
              <w:pStyle w:val="Compact"/>
              <w:spacing w:before="0" w:after="0" w:line="240" w:lineRule="auto"/>
              <w:jc w:val="left"/>
            </w:pPr>
            <w:r>
              <w:rPr>
                <w:sz w:val="21"/>
              </w:rPr>
              <w:t xml:space="preserve">IGST ₹[ ]; CGST ₹[ ]; SGST ₹[ ]; Cess ₹[ ]; Total ₹[ ]</w:t>
            </w:r>
          </w:p>
        </w:tc>
      </w:tr>
      <w:tr>
        <w:tc>
          <w:tcPr>
            <w:tcW w:type="dxa" w:w="3017"/>
            <w:shd w:val="clear" w:color="auto" w:fill="F5F8FC"/>
          </w:tcPr>
          <w:p>
            <w:pPr>
              <w:pStyle w:val="Compact"/>
              <w:spacing w:before="0" w:after="0" w:line="240" w:lineRule="auto"/>
              <w:jc w:val="left"/>
            </w:pPr>
            <w:r>
              <w:rPr>
                <w:b/>
                <w:sz w:val="21"/>
              </w:rPr>
              <w:t xml:space="preserve">Amount proposed for rejection</w:t>
            </w:r>
          </w:p>
        </w:tc>
        <w:tc>
          <w:tcPr>
            <w:tcW w:type="dxa" w:w="6621"/>
          </w:tcPr>
          <w:p>
            <w:pPr>
              <w:pStyle w:val="Compact"/>
              <w:spacing w:before="0" w:after="0" w:line="240" w:lineRule="auto"/>
              <w:jc w:val="left"/>
            </w:pPr>
            <w:r>
              <w:rPr>
                <w:sz w:val="21"/>
              </w:rPr>
              <w:t xml:space="preserve">₹[ ] (head-wise in para 3)</w:t>
            </w:r>
          </w:p>
        </w:tc>
      </w:tr>
      <w:tr>
        <w:tc>
          <w:tcPr>
            <w:tcW w:type="dxa" w:w="3017"/>
            <w:shd w:val="clear" w:color="auto" w:fill="F5F8FC"/>
          </w:tcPr>
          <w:p>
            <w:pPr>
              <w:pStyle w:val="Compact"/>
              <w:spacing w:before="0" w:after="0" w:line="240" w:lineRule="auto"/>
              <w:jc w:val="left"/>
            </w:pPr>
            <w:r>
              <w:rPr>
                <w:b/>
                <w:sz w:val="21"/>
              </w:rPr>
              <w:t xml:space="preserve">Amount proposed for recovery [Variants B and C only]</w:t>
            </w:r>
          </w:p>
        </w:tc>
        <w:tc>
          <w:tcPr>
            <w:tcW w:type="dxa" w:w="6621"/>
          </w:tcPr>
          <w:p>
            <w:pPr>
              <w:pStyle w:val="Compact"/>
              <w:spacing w:before="0" w:after="0" w:line="240" w:lineRule="auto"/>
              <w:jc w:val="left"/>
            </w:pPr>
            <w:r>
              <w:rPr>
                <w:sz w:val="21"/>
              </w:rPr>
              <w:t xml:space="preserve">₹[ ] under section 54 read with section [73 / 74 / 74A]; DRC-01 summary reference [ ]</w:t>
            </w:r>
          </w:p>
        </w:tc>
      </w:tr>
      <w:tr>
        <w:tc>
          <w:tcPr>
            <w:tcW w:type="dxa" w:w="3017"/>
            <w:shd w:val="clear" w:color="auto" w:fill="F5F8FC"/>
          </w:tcPr>
          <w:p>
            <w:pPr>
              <w:pStyle w:val="Compact"/>
              <w:spacing w:before="0" w:after="0" w:line="240" w:lineRule="auto"/>
              <w:jc w:val="left"/>
            </w:pPr>
            <w:r>
              <w:rPr>
                <w:b/>
                <w:sz w:val="21"/>
              </w:rPr>
              <w:t xml:space="preserve">Provisional refund already paid (RFD-04 / RFD-05)</w:t>
            </w:r>
          </w:p>
        </w:tc>
        <w:tc>
          <w:tcPr>
            <w:tcW w:type="dxa" w:w="6621"/>
          </w:tcPr>
          <w:p>
            <w:pPr>
              <w:pStyle w:val="Compact"/>
              <w:spacing w:before="0" w:after="0" w:line="240" w:lineRule="auto"/>
              <w:jc w:val="left"/>
            </w:pPr>
            <w:r>
              <w:rPr>
                <w:sz w:val="21"/>
              </w:rPr>
              <w:t xml:space="preserve">₹[ ], RFD-05 dated [ ] / Nil</w:t>
            </w:r>
          </w:p>
        </w:tc>
      </w:tr>
      <w:tr>
        <w:tc>
          <w:tcPr>
            <w:tcW w:type="dxa" w:w="3017"/>
            <w:shd w:val="clear" w:color="auto" w:fill="F5F8FC"/>
          </w:tcPr>
          <w:p>
            <w:pPr>
              <w:pStyle w:val="Compact"/>
              <w:spacing w:before="0" w:after="0" w:line="240" w:lineRule="auto"/>
              <w:jc w:val="left"/>
            </w:pPr>
            <w:r>
              <w:rPr>
                <w:b/>
                <w:sz w:val="21"/>
              </w:rPr>
              <w:t xml:space="preserve">Date by which the reply is due</w:t>
            </w:r>
          </w:p>
        </w:tc>
        <w:tc>
          <w:tcPr>
            <w:tcW w:type="dxa" w:w="6621"/>
          </w:tcPr>
          <w:p>
            <w:pPr>
              <w:pStyle w:val="Compact"/>
              <w:spacing w:before="0" w:after="0" w:line="240" w:lineRule="auto"/>
              <w:jc w:val="left"/>
            </w:pPr>
            <w:r>
              <w:rPr>
                <w:sz w:val="21"/>
              </w:rPr>
              <w:t xml:space="preserve">Within fifteen days of receipt of this notice</w:t>
            </w:r>
          </w:p>
        </w:tc>
      </w:tr>
      <w:tr>
        <w:tc>
          <w:tcPr>
            <w:tcW w:type="dxa" w:w="3017"/>
            <w:shd w:val="clear" w:color="auto" w:fill="F5F8FC"/>
          </w:tcPr>
          <w:p>
            <w:pPr>
              <w:pStyle w:val="Compact"/>
              <w:spacing w:before="0" w:after="0" w:line="240" w:lineRule="auto"/>
              <w:jc w:val="left"/>
            </w:pPr>
            <w:r>
              <w:rPr>
                <w:b/>
                <w:sz w:val="21"/>
              </w:rPr>
              <w:t xml:space="preserve">Personal hearing</w:t>
            </w:r>
          </w:p>
        </w:tc>
        <w:tc>
          <w:tcPr>
            <w:tcW w:type="dxa" w:w="6621"/>
          </w:tcPr>
          <w:p>
            <w:pPr>
              <w:pStyle w:val="Compact"/>
              <w:spacing w:before="0" w:after="0" w:line="240" w:lineRule="auto"/>
              <w:jc w:val="left"/>
            </w:pPr>
            <w:r>
              <w:rPr>
                <w:sz w:val="21"/>
              </w:rPr>
              <w:t xml:space="preserve">[DD.MM.YYYY, not earlier than the sixteenth day after service of this notice] at [time], at [office address / by video conference, link to be sent to the registered e-mail]</w:t>
            </w:r>
          </w:p>
        </w:tc>
      </w:tr>
    </w:tbl>
    <w:p>
      <w:pPr>
        <w:pStyle w:val="BodyText"/>
        <w:keepNext/>
        <w:spacing w:before="240" w:after="80"/>
        <w:pBdr>
          <w:bottom w:val="single" w:sz="6" w:space="1" w:color="B4C6E7"/>
        </w:pBdr>
      </w:pPr>
      <w:r>
        <w:rPr>
          <w:bCs/>
          <w:b/>
          <w:color w:val="1F3864"/>
          <w:sz w:val="25"/>
        </w:rPr>
        <w:t xml:space="preserve">1. The application</w:t>
      </w:r>
    </w:p>
    <w:p>
      <w:pPr>
        <w:pStyle w:val="BodyText"/>
        <w:spacing w:before="0" w:after="120" w:line="269" w:lineRule="auto"/>
        <w:jc w:val="both"/>
      </w:pPr>
      <w:r>
        <w:t xml:space="preserve">1.1 You filed the above application for refund of ₹[ ] under [section 54(3)(i) / 54(3)(ii) / 49(6) / 54(1) …] for [period]. It was acknowledged in FORM GST RFD-02 on [DD.MM.YYYY]. [Option: Provisional refund of ₹[ ] was sanctioned by RFD-04 dated [ ] and paid by RFD-05 dated [ ].] [Option: Provisional refund was not sanctioned because [ ].]</w:t>
      </w:r>
    </w:p>
    <w:p>
      <w:pPr>
        <w:pStyle w:val="BodyText"/>
        <w:keepNext/>
        <w:spacing w:before="240" w:after="80"/>
        <w:pBdr>
          <w:bottom w:val="single" w:sz="6" w:space="1" w:color="B4C6E7"/>
        </w:pBdr>
      </w:pPr>
      <w:r>
        <w:rPr>
          <w:bCs/>
          <w:b/>
          <w:color w:val="1F3864"/>
          <w:sz w:val="25"/>
        </w:rPr>
        <w:t xml:space="preserve">2. Grounds on which part of the claim appears inadmissible</w:t>
      </w:r>
    </w:p>
    <w:p>
      <w:pPr>
        <w:pStyle w:val="BodyText"/>
        <w:spacing w:before="0" w:after="120" w:line="269" w:lineRule="auto"/>
        <w:jc w:val="both"/>
      </w:pPr>
      <w:r>
        <w:t xml:space="preserve">2.1 On scrutiny of the application, the documents filed and the records available to this office, the following have been noticed:</w:t>
      </w:r>
    </w:p>
    <w:p>
      <w:pPr>
        <w:pStyle w:val="BodyText"/>
        <w:spacing w:before="0" w:after="120" w:line="269" w:lineRule="auto"/>
      </w:pPr>
      <w:r>
        <w:rPr>
          <w:bCs/>
          <w:b/>
        </w:rPr>
        <w:t xml:space="preserve">Ground 1: [short title, e.g. </w:t>
      </w:r>
      <w:r>
        <w:rPr>
          <w:bCs/>
          <w:b/>
        </w:rPr>
        <w:t xml:space="preserve">“</w:t>
      </w:r>
      <w:r>
        <w:rPr>
          <w:bCs/>
          <w:b/>
        </w:rPr>
        <w:t xml:space="preserve">Shipping bills beyond two years from the relevant date</w:t>
      </w:r>
      <w:r>
        <w:rPr>
          <w:bCs/>
          <w:b/>
        </w:rPr>
        <w:t xml:space="preserve">”</w:t>
      </w:r>
      <w:r>
        <w:rPr>
          <w:bCs/>
          <w:b/>
        </w:rPr>
        <w:t xml:space="preserve">]</w:t>
      </w:r>
    </w:p>
    <w:p>
      <w:pPr>
        <w:pStyle w:val="BodyText"/>
        <w:spacing w:before="0" w:after="120" w:line="269" w:lineRule="auto"/>
        <w:jc w:val="both"/>
      </w:pPr>
      <w:r>
        <w:t xml:space="preserve">2.2 [State the facts found, with the documents and figures: what the application says; what the record shows; the specific invoices, shipping bills, remittances or credits affected; and the amount. State the provision of law that makes this inadmissible, quoting the relevant words. Example:</w:t>
      </w:r>
      <w:r>
        <w:t xml:space="preserve"> </w:t>
      </w:r>
      <w:r>
        <w:t xml:space="preserve">“</w:t>
      </w:r>
      <w:r>
        <w:t xml:space="preserve">Shipping bills at S. Nos. 4 to 7 of Statement 3 (FOB value ₹[ ]) show EGM dates between [ ] and [ ]. Under clause (a) of Explanation 2 to section 54, the relevant date is the date on which the ship left India. The application filed on [ ] is beyond two years from those dates (section 54(1)). Excluding this value from the turnover of zero-rated supply reduces the admissible refund by ₹[ ], as worked out in the Annexure.</w:t>
      </w:r>
      <w:r>
        <w:t xml:space="preserve">”</w:t>
      </w:r>
      <w:r>
        <w:t xml:space="preserve">]</w:t>
      </w:r>
    </w:p>
    <w:p>
      <w:pPr>
        <w:pStyle w:val="BodyText"/>
        <w:spacing w:before="0" w:after="120" w:line="269" w:lineRule="auto"/>
      </w:pPr>
      <w:r>
        <w:rPr>
          <w:bCs/>
          <w:b/>
        </w:rPr>
        <w:t xml:space="preserve">Ground 2: [short title]</w:t>
      </w:r>
    </w:p>
    <w:p>
      <w:pPr>
        <w:pStyle w:val="BodyText"/>
        <w:spacing w:before="0" w:after="120" w:line="269" w:lineRule="auto"/>
      </w:pPr>
      <w:r>
        <w:t xml:space="preserve">2.3 [ ]</w:t>
      </w:r>
    </w:p>
    <w:p>
      <w:pPr>
        <w:pStyle w:val="BlockText"/>
        <w:shd w:val="clear" w:color="auto" w:fill="E7E6E6"/>
      </w:pPr>
      <w:r>
        <w:rPr>
          <w:bCs/>
          <w:b/>
          <w:sz w:val="21"/>
        </w:rPr>
        <w:t xml:space="preserve">Drafting note:</w:t>
      </w:r>
      <w:r>
        <w:rPr>
          <w:sz w:val="21"/>
        </w:rPr>
        <w:t xml:space="preserve"> </w:t>
      </w:r>
      <w:r>
        <w:rPr>
          <w:sz w:val="21"/>
        </w:rPr>
        <w:t xml:space="preserve">raise only what was actually found in this case, with figures. Do not use general wording such as</w:t>
      </w:r>
      <w:r>
        <w:rPr>
          <w:sz w:val="21"/>
        </w:rPr>
        <w:t xml:space="preserve"> </w:t>
      </w:r>
      <w:r>
        <w:rPr>
          <w:sz w:val="21"/>
        </w:rPr>
        <w:t xml:space="preserve">“</w:t>
      </w:r>
      <w:r>
        <w:rPr>
          <w:sz w:val="21"/>
        </w:rPr>
        <w:t xml:space="preserve">documents not submitted</w:t>
      </w:r>
      <w:r>
        <w:rPr>
          <w:sz w:val="21"/>
        </w:rPr>
        <w:t xml:space="preserve">”</w:t>
      </w:r>
      <w:r>
        <w:rPr>
          <w:sz w:val="21"/>
        </w:rPr>
        <w:t xml:space="preserve"> </w:t>
      </w:r>
      <w:r>
        <w:rPr>
          <w:sz w:val="21"/>
        </w:rPr>
        <w:t xml:space="preserve">or</w:t>
      </w:r>
      <w:r>
        <w:rPr>
          <w:sz w:val="21"/>
        </w:rPr>
        <w:t xml:space="preserve"> </w:t>
      </w:r>
      <w:r>
        <w:rPr>
          <w:sz w:val="21"/>
        </w:rPr>
        <w:t xml:space="preserve">“</w:t>
      </w:r>
      <w:r>
        <w:rPr>
          <w:sz w:val="21"/>
        </w:rPr>
        <w:t xml:space="preserve">invoices not found</w:t>
      </w:r>
      <w:r>
        <w:rPr>
          <w:sz w:val="21"/>
        </w:rPr>
        <w:t xml:space="preserve">”</w:t>
      </w:r>
      <w:r>
        <w:rPr>
          <w:sz w:val="21"/>
        </w:rPr>
        <w:t xml:space="preserve">: say which documents, and why they are needed under which rule. Do not ask for documents the law does not require for the category (for example a rule 89(2)(m) CA certificate in an ITC refund, Annexure-B in a tax-paid refund, a GSTR-2A copy, a section 42 undertaking or an indemnity bond). Do not propose rejection for dues of the applicant: confirmed dues not stayed are adjusted under section 54(10)(b) in the RFD-06 itself (rule 92(1); para 35 of Circular 125), and withholding under section 54(10)(a) or 54(11) is by RFD-07. If a ground affects the formula, attach the recomputation as an Annexure showing the ITC or turnover excluded and its effect on the refund.</w:t>
      </w:r>
    </w:p>
    <w:p>
      <w:pPr>
        <w:pStyle w:val="FirstParagraph"/>
        <w:keepNext/>
        <w:spacing w:before="240" w:after="80"/>
        <w:pBdr>
          <w:bottom w:val="single" w:sz="6" w:space="1" w:color="B4C6E7"/>
        </w:pBdr>
      </w:pPr>
      <w:r>
        <w:rPr>
          <w:bCs/>
          <w:b/>
          <w:color w:val="1F3864"/>
          <w:sz w:val="25"/>
        </w:rPr>
        <w:t xml:space="preserve">3. Amount proposed for rejection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395"/>
        <w:gridCol w:w="1649"/>
        <w:gridCol w:w="1522"/>
        <w:gridCol w:w="1268"/>
        <w:gridCol w:w="1268"/>
        <w:gridCol w:w="1268"/>
        <w:gridCol w:w="1268"/>
      </w:tblGrid>
      <w:tr>
        <w:trPr>
          <w:tblHeader w:val="true"/>
          <w:tblHeader/>
        </w:trPr>
        <w:tc>
          <w:tcPr>
            <w:tcW w:type="dxa" w:w="1395"/>
            <w:shd w:val="clear" w:color="auto" w:fill="DCE6F1"/>
          </w:tcPr>
          <w:p>
            <w:pPr>
              <w:pStyle w:val="Compact"/>
              <w:spacing w:before="0" w:after="0" w:line="240" w:lineRule="auto"/>
              <w:jc w:val="left"/>
            </w:pPr>
            <w:r>
              <w:rPr>
                <w:b/>
                <w:color w:val="1F3864"/>
                <w:sz w:val="18"/>
              </w:rPr>
              <w:t xml:space="preserve">Ground</w:t>
            </w:r>
          </w:p>
        </w:tc>
        <w:tc>
          <w:tcPr>
            <w:tcW w:type="dxa" w:w="1649"/>
            <w:shd w:val="clear" w:color="auto" w:fill="DCE6F1"/>
          </w:tcPr>
          <w:p>
            <w:pPr>
              <w:pStyle w:val="Compact"/>
              <w:spacing w:before="0" w:after="0" w:line="240" w:lineRule="auto"/>
              <w:jc w:val="left"/>
            </w:pPr>
            <w:r>
              <w:rPr>
                <w:b/>
                <w:color w:val="1F3864"/>
                <w:sz w:val="18"/>
              </w:rPr>
              <w:t xml:space="preserve">ITC / turnover / tax affected (₹)</w:t>
            </w:r>
          </w:p>
        </w:tc>
        <w:tc>
          <w:tcPr>
            <w:tcW w:type="dxa" w:w="1522"/>
            <w:shd w:val="clear" w:color="auto" w:fill="DCE6F1"/>
          </w:tcPr>
          <w:p>
            <w:pPr>
              <w:pStyle w:val="Compact"/>
              <w:spacing w:before="0" w:after="0" w:line="240" w:lineRule="auto"/>
              <w:jc w:val="left"/>
            </w:pPr>
            <w:r>
              <w:rPr>
                <w:b/>
                <w:color w:val="1F3864"/>
                <w:sz w:val="18"/>
              </w:rPr>
              <w:t xml:space="preserve">Effect on refund: IGST (₹)</w:t>
            </w:r>
          </w:p>
        </w:tc>
        <w:tc>
          <w:tcPr>
            <w:tcW w:type="dxa" w:w="1268"/>
            <w:shd w:val="clear" w:color="auto" w:fill="DCE6F1"/>
          </w:tcPr>
          <w:p>
            <w:pPr>
              <w:pStyle w:val="Compact"/>
              <w:spacing w:before="0" w:after="0" w:line="240" w:lineRule="auto"/>
              <w:jc w:val="left"/>
            </w:pPr>
            <w:r>
              <w:rPr>
                <w:b/>
                <w:color w:val="1F3864"/>
                <w:sz w:val="18"/>
              </w:rPr>
              <w:t xml:space="preserve">CGST (₹)</w:t>
            </w:r>
          </w:p>
        </w:tc>
        <w:tc>
          <w:tcPr>
            <w:tcW w:type="dxa" w:w="1268"/>
            <w:shd w:val="clear" w:color="auto" w:fill="DCE6F1"/>
          </w:tcPr>
          <w:p>
            <w:pPr>
              <w:pStyle w:val="Compact"/>
              <w:spacing w:before="0" w:after="0" w:line="240" w:lineRule="auto"/>
              <w:jc w:val="left"/>
            </w:pPr>
            <w:r>
              <w:rPr>
                <w:b/>
                <w:color w:val="1F3864"/>
                <w:sz w:val="18"/>
              </w:rPr>
              <w:t xml:space="preserve">SGST (₹)</w:t>
            </w:r>
          </w:p>
        </w:tc>
        <w:tc>
          <w:tcPr>
            <w:tcW w:type="dxa" w:w="1268"/>
            <w:shd w:val="clear" w:color="auto" w:fill="DCE6F1"/>
          </w:tcPr>
          <w:p>
            <w:pPr>
              <w:pStyle w:val="Compact"/>
              <w:spacing w:before="0" w:after="0" w:line="240" w:lineRule="auto"/>
              <w:jc w:val="left"/>
            </w:pPr>
            <w:r>
              <w:rPr>
                <w:b/>
                <w:color w:val="1F3864"/>
                <w:sz w:val="18"/>
              </w:rPr>
              <w:t xml:space="preserve">Cess (₹)</w:t>
            </w:r>
          </w:p>
        </w:tc>
        <w:tc>
          <w:tcPr>
            <w:tcW w:type="dxa" w:w="1268"/>
            <w:shd w:val="clear" w:color="auto" w:fill="DCE6F1"/>
          </w:tcPr>
          <w:p>
            <w:pPr>
              <w:pStyle w:val="Compact"/>
              <w:spacing w:before="0" w:after="0" w:line="240" w:lineRule="auto"/>
              <w:jc w:val="left"/>
            </w:pPr>
            <w:r>
              <w:rPr>
                <w:b/>
                <w:color w:val="1F3864"/>
                <w:sz w:val="18"/>
              </w:rPr>
              <w:t xml:space="preserve">Total (₹)</w:t>
            </w:r>
          </w:p>
        </w:tc>
      </w:tr>
      <w:tr>
        <w:tc>
          <w:tcPr>
            <w:tcW w:type="dxa" w:w="1395"/>
          </w:tcPr>
          <w:p>
            <w:pPr>
              <w:pStyle w:val="Compact"/>
              <w:spacing w:before="0" w:after="0" w:line="240" w:lineRule="auto"/>
              <w:jc w:val="left"/>
            </w:pPr>
            <w:r>
              <w:rPr>
                <w:sz w:val="18"/>
              </w:rPr>
              <w:t xml:space="preserve">1</w:t>
            </w:r>
          </w:p>
        </w:tc>
        <w:tc>
          <w:tcPr>
            <w:tcW w:type="dxa" w:w="1649"/>
          </w:tcPr>
          <w:p>
            <w:pPr>
              <w:pStyle w:val="Compact"/>
              <w:spacing w:before="0" w:after="0" w:line="240" w:lineRule="auto"/>
              <w:jc w:val="left"/>
            </w:pPr>
            <w:r>
              <w:rPr>
                <w:sz w:val="18"/>
              </w:rPr>
              <w:t xml:space="preserve">[ ]</w:t>
            </w:r>
          </w:p>
        </w:tc>
        <w:tc>
          <w:tcPr>
            <w:tcW w:type="dxa" w:w="1522"/>
          </w:tcPr>
          <w:p>
            <w:pPr>
              <w:pStyle w:val="Compact"/>
              <w:spacing w:before="0" w:after="0" w:line="240" w:lineRule="auto"/>
              <w:jc w:val="left"/>
            </w:pPr>
            <w:r>
              <w:rPr>
                <w:sz w:val="18"/>
              </w:rPr>
              <w:t xml:space="preserve">[ ]</w:t>
            </w:r>
          </w:p>
        </w:tc>
        <w:tc>
          <w:tcPr>
            <w:tcW w:type="dxa" w:w="1268"/>
          </w:tcPr>
          <w:p>
            <w:pPr>
              <w:pStyle w:val="Compact"/>
              <w:spacing w:before="0" w:after="0" w:line="240" w:lineRule="auto"/>
              <w:jc w:val="left"/>
            </w:pPr>
            <w:r>
              <w:rPr>
                <w:sz w:val="18"/>
              </w:rPr>
              <w:t xml:space="preserve">[ ]</w:t>
            </w:r>
          </w:p>
        </w:tc>
        <w:tc>
          <w:tcPr>
            <w:tcW w:type="dxa" w:w="1268"/>
          </w:tcPr>
          <w:p>
            <w:pPr>
              <w:pStyle w:val="Compact"/>
              <w:spacing w:before="0" w:after="0" w:line="240" w:lineRule="auto"/>
              <w:jc w:val="left"/>
            </w:pPr>
            <w:r>
              <w:rPr>
                <w:sz w:val="18"/>
              </w:rPr>
              <w:t xml:space="preserve">[ ]</w:t>
            </w:r>
          </w:p>
        </w:tc>
        <w:tc>
          <w:tcPr>
            <w:tcW w:type="dxa" w:w="1268"/>
          </w:tcPr>
          <w:p>
            <w:pPr>
              <w:pStyle w:val="Compact"/>
              <w:spacing w:before="0" w:after="0" w:line="240" w:lineRule="auto"/>
              <w:jc w:val="left"/>
            </w:pPr>
            <w:r>
              <w:rPr>
                <w:sz w:val="18"/>
              </w:rPr>
              <w:t xml:space="preserve">[ ]</w:t>
            </w:r>
          </w:p>
        </w:tc>
        <w:tc>
          <w:tcPr>
            <w:tcW w:type="dxa" w:w="1268"/>
          </w:tcPr>
          <w:p>
            <w:pPr>
              <w:pStyle w:val="Compact"/>
              <w:spacing w:before="0" w:after="0" w:line="240" w:lineRule="auto"/>
              <w:jc w:val="left"/>
            </w:pPr>
            <w:r>
              <w:rPr>
                <w:sz w:val="18"/>
              </w:rPr>
              <w:t xml:space="preserve">[ ]</w:t>
            </w:r>
          </w:p>
        </w:tc>
      </w:tr>
      <w:tr>
        <w:tc>
          <w:tcPr>
            <w:tcW w:type="dxa" w:w="1395"/>
          </w:tcPr>
          <w:p>
            <w:pPr>
              <w:pStyle w:val="Compact"/>
              <w:spacing w:before="0" w:after="0" w:line="240" w:lineRule="auto"/>
              <w:jc w:val="left"/>
            </w:pPr>
            <w:r>
              <w:rPr>
                <w:sz w:val="18"/>
              </w:rPr>
              <w:t xml:space="preserve">2</w:t>
            </w:r>
          </w:p>
        </w:tc>
        <w:tc>
          <w:tcPr>
            <w:tcW w:type="dxa" w:w="1649"/>
          </w:tcPr>
          <w:p>
            <w:pPr>
              <w:pStyle w:val="Compact"/>
              <w:spacing w:before="0" w:after="0" w:line="240" w:lineRule="auto"/>
              <w:jc w:val="left"/>
            </w:pPr>
            <w:r>
              <w:rPr>
                <w:sz w:val="18"/>
              </w:rPr>
              <w:t xml:space="preserve">[ ]</w:t>
            </w:r>
          </w:p>
        </w:tc>
        <w:tc>
          <w:tcPr>
            <w:tcW w:type="dxa" w:w="1522"/>
          </w:tcPr>
          <w:p>
            <w:pPr>
              <w:pStyle w:val="Compact"/>
              <w:spacing w:before="0" w:after="0" w:line="240" w:lineRule="auto"/>
              <w:jc w:val="left"/>
            </w:pPr>
            <w:r>
              <w:rPr>
                <w:sz w:val="18"/>
              </w:rPr>
              <w:t xml:space="preserve">[ ]</w:t>
            </w:r>
          </w:p>
        </w:tc>
        <w:tc>
          <w:tcPr>
            <w:tcW w:type="dxa" w:w="1268"/>
          </w:tcPr>
          <w:p>
            <w:pPr>
              <w:pStyle w:val="Compact"/>
              <w:spacing w:before="0" w:after="0" w:line="240" w:lineRule="auto"/>
              <w:jc w:val="left"/>
            </w:pPr>
            <w:r>
              <w:rPr>
                <w:sz w:val="18"/>
              </w:rPr>
              <w:t xml:space="preserve">[ ]</w:t>
            </w:r>
          </w:p>
        </w:tc>
        <w:tc>
          <w:tcPr>
            <w:tcW w:type="dxa" w:w="1268"/>
          </w:tcPr>
          <w:p>
            <w:pPr>
              <w:pStyle w:val="Compact"/>
              <w:spacing w:before="0" w:after="0" w:line="240" w:lineRule="auto"/>
              <w:jc w:val="left"/>
            </w:pPr>
            <w:r>
              <w:rPr>
                <w:sz w:val="18"/>
              </w:rPr>
              <w:t xml:space="preserve">[ ]</w:t>
            </w:r>
          </w:p>
        </w:tc>
        <w:tc>
          <w:tcPr>
            <w:tcW w:type="dxa" w:w="1268"/>
          </w:tcPr>
          <w:p>
            <w:pPr>
              <w:pStyle w:val="Compact"/>
              <w:spacing w:before="0" w:after="0" w:line="240" w:lineRule="auto"/>
              <w:jc w:val="left"/>
            </w:pPr>
            <w:r>
              <w:rPr>
                <w:sz w:val="18"/>
              </w:rPr>
              <w:t xml:space="preserve">[ ]</w:t>
            </w:r>
          </w:p>
        </w:tc>
        <w:tc>
          <w:tcPr>
            <w:tcW w:type="dxa" w:w="1268"/>
          </w:tcPr>
          <w:p>
            <w:pPr>
              <w:pStyle w:val="Compact"/>
              <w:spacing w:before="0" w:after="0" w:line="240" w:lineRule="auto"/>
              <w:jc w:val="left"/>
            </w:pPr>
            <w:r>
              <w:rPr>
                <w:sz w:val="18"/>
              </w:rPr>
              <w:t xml:space="preserve">[ ]</w:t>
            </w:r>
          </w:p>
        </w:tc>
      </w:tr>
      <w:tr>
        <w:tc>
          <w:tcPr>
            <w:tcW w:type="dxa" w:w="1395"/>
            <w:shd w:val="clear" w:color="auto" w:fill="F2F2F2"/>
          </w:tcPr>
          <w:p>
            <w:pPr>
              <w:pStyle w:val="Compact"/>
              <w:spacing w:before="0" w:after="0" w:line="240" w:lineRule="auto"/>
              <w:jc w:val="left"/>
            </w:pPr>
            <w:r>
              <w:rPr>
                <w:bCs/>
                <w:b/>
                <w:sz w:val="18"/>
              </w:rPr>
              <w:t xml:space="preserve">Total</w:t>
            </w:r>
          </w:p>
        </w:tc>
        <w:tc>
          <w:tcPr>
            <w:tcW w:type="dxa" w:w="1649"/>
            <w:shd w:val="clear" w:color="auto" w:fill="F2F2F2"/>
          </w:tcPr>
          <w:p>
            <w:pPr>
              <w:pStyle w:val="Compact"/>
              <w:spacing w:before="0" w:after="0" w:line="240" w:lineRule="auto"/>
            </w:pPr>
          </w:p>
        </w:tc>
        <w:tc>
          <w:tcPr>
            <w:tcW w:type="dxa" w:w="1522"/>
            <w:shd w:val="clear" w:color="auto" w:fill="F2F2F2"/>
          </w:tcPr>
          <w:p>
            <w:pPr>
              <w:pStyle w:val="Compact"/>
              <w:spacing w:before="0" w:after="0" w:line="240" w:lineRule="auto"/>
              <w:jc w:val="left"/>
            </w:pPr>
            <w:r>
              <w:rPr>
                <w:bCs/>
                <w:b/>
                <w:sz w:val="18"/>
              </w:rPr>
              <w:t xml:space="preserve">[ ]</w:t>
            </w:r>
          </w:p>
        </w:tc>
        <w:tc>
          <w:tcPr>
            <w:tcW w:type="dxa" w:w="1268"/>
            <w:shd w:val="clear" w:color="auto" w:fill="F2F2F2"/>
          </w:tcPr>
          <w:p>
            <w:pPr>
              <w:pStyle w:val="Compact"/>
              <w:spacing w:before="0" w:after="0" w:line="240" w:lineRule="auto"/>
              <w:jc w:val="left"/>
            </w:pPr>
            <w:r>
              <w:rPr>
                <w:bCs/>
                <w:b/>
                <w:sz w:val="18"/>
              </w:rPr>
              <w:t xml:space="preserve">[ ]</w:t>
            </w:r>
          </w:p>
        </w:tc>
        <w:tc>
          <w:tcPr>
            <w:tcW w:type="dxa" w:w="1268"/>
            <w:shd w:val="clear" w:color="auto" w:fill="F2F2F2"/>
          </w:tcPr>
          <w:p>
            <w:pPr>
              <w:pStyle w:val="Compact"/>
              <w:spacing w:before="0" w:after="0" w:line="240" w:lineRule="auto"/>
              <w:jc w:val="left"/>
            </w:pPr>
            <w:r>
              <w:rPr>
                <w:bCs/>
                <w:b/>
                <w:sz w:val="18"/>
              </w:rPr>
              <w:t xml:space="preserve">[ ]</w:t>
            </w:r>
          </w:p>
        </w:tc>
        <w:tc>
          <w:tcPr>
            <w:tcW w:type="dxa" w:w="1268"/>
            <w:shd w:val="clear" w:color="auto" w:fill="F2F2F2"/>
          </w:tcPr>
          <w:p>
            <w:pPr>
              <w:pStyle w:val="Compact"/>
              <w:spacing w:before="0" w:after="0" w:line="240" w:lineRule="auto"/>
              <w:jc w:val="left"/>
            </w:pPr>
            <w:r>
              <w:rPr>
                <w:bCs/>
                <w:b/>
                <w:sz w:val="18"/>
              </w:rPr>
              <w:t xml:space="preserve">[ ]</w:t>
            </w:r>
          </w:p>
        </w:tc>
        <w:tc>
          <w:tcPr>
            <w:tcW w:type="dxa" w:w="1268"/>
            <w:shd w:val="clear" w:color="auto" w:fill="F2F2F2"/>
          </w:tcPr>
          <w:p>
            <w:pPr>
              <w:pStyle w:val="Compact"/>
              <w:spacing w:before="0" w:after="0" w:line="240" w:lineRule="auto"/>
              <w:jc w:val="left"/>
            </w:pPr>
            <w:r>
              <w:rPr>
                <w:bCs/>
                <w:b/>
                <w:sz w:val="18"/>
              </w:rPr>
              <w:t xml:space="preserve">[ ]</w:t>
            </w:r>
          </w:p>
        </w:tc>
      </w:tr>
    </w:tbl>
    <w:p>
      <w:pPr>
        <w:pStyle w:val="BodyText"/>
        <w:keepNext/>
        <w:spacing w:before="240" w:after="80"/>
        <w:pBdr>
          <w:bottom w:val="single" w:sz="6" w:space="1" w:color="B4C6E7"/>
        </w:pBdr>
      </w:pPr>
      <w:r>
        <w:rPr>
          <w:bCs/>
          <w:b/>
          <w:color w:val="1F3864"/>
          <w:sz w:val="25"/>
        </w:rPr>
        <w:t xml:space="preserve">4. You are required to show cause</w:t>
      </w:r>
    </w:p>
    <w:p>
      <w:pPr>
        <w:pStyle w:val="BodyText"/>
        <w:spacing w:before="0" w:after="120" w:line="269" w:lineRule="auto"/>
      </w:pPr>
      <w:r>
        <w:rPr>
          <w:bCs/>
          <w:b/>
        </w:rPr>
        <w:t xml:space="preserve">[Variant A: rejection only]</w:t>
      </w:r>
    </w:p>
    <w:p>
      <w:pPr>
        <w:pStyle w:val="BodyText"/>
        <w:spacing w:before="0" w:after="120" w:line="269" w:lineRule="auto"/>
        <w:jc w:val="both"/>
      </w:pPr>
      <w:r>
        <w:t xml:space="preserve">4.1 You are required to show cause, by a reply in FORM GST RFD-09 on the common portal within fifteen days of receipt of this notice, why refund of</w:t>
      </w:r>
      <w:r>
        <w:t xml:space="preserve"> </w:t>
      </w:r>
      <w:r>
        <w:rPr>
          <w:bCs/>
          <w:b/>
        </w:rPr>
        <w:t xml:space="preserve">₹[ ]</w:t>
      </w:r>
      <w:r>
        <w:t xml:space="preserve"> </w:t>
      </w:r>
      <w:r>
        <w:t xml:space="preserve">(IGST ₹[ ], CGST ₹[ ], SGST ₹[ ], Cess ₹[ ]) out of the amount claimed should not be rejected under rule 92(3) of the CGST Rules, read with [section 54(1) / section 54(3) / rule 89(4) / rule 89(5) / …], for the grounds stated in para 2.</w:t>
      </w:r>
    </w:p>
    <w:p>
      <w:pPr>
        <w:pStyle w:val="BodyText"/>
        <w:spacing w:before="0" w:after="120" w:line="269" w:lineRule="auto"/>
      </w:pPr>
      <w:r>
        <w:rPr>
          <w:bCs/>
          <w:b/>
        </w:rPr>
        <w:t xml:space="preserve">[Variant B: rejection plus recovery of ineligible ITC, as in paras 20 and 21 of Circular No. 125/44/2019-GST]</w:t>
      </w:r>
    </w:p>
    <w:p>
      <w:pPr>
        <w:pStyle w:val="BodyText"/>
        <w:spacing w:before="0" w:after="120" w:line="269" w:lineRule="auto"/>
        <w:jc w:val="both"/>
      </w:pPr>
      <w:r>
        <w:t xml:space="preserve">4.1 You are required to show cause, by a reply in FORM GST RFD-09 on the common portal within fifteen days of receipt of this notice, why:</w:t>
      </w:r>
      <w:r>
        <w:t xml:space="preserve"> </w:t>
      </w:r>
      <w:r>
        <w:t xml:space="preserve">- (a) refund of</w:t>
      </w:r>
      <w:r>
        <w:t xml:space="preserve"> </w:t>
      </w:r>
      <w:r>
        <w:rPr>
          <w:bCs/>
          <w:b/>
        </w:rPr>
        <w:t xml:space="preserve">₹[ ]</w:t>
      </w:r>
      <w:r>
        <w:t xml:space="preserve"> </w:t>
      </w:r>
      <w:r>
        <w:t xml:space="preserve">(IGST ₹[ ], CGST ₹[ ], SGST ₹[ ], Cess ₹[ ]) out of the amount claimed should not be rejected under rule 92(3) of the CGST Rules, read with section 54, for the grounds stated in para 2; and</w:t>
      </w:r>
      <w:r>
        <w:t xml:space="preserve"> </w:t>
      </w:r>
      <w:r>
        <w:t xml:space="preserve">- (b) input tax credit of</w:t>
      </w:r>
      <w:r>
        <w:t xml:space="preserve"> </w:t>
      </w:r>
      <w:r>
        <w:rPr>
          <w:bCs/>
          <w:b/>
        </w:rPr>
        <w:t xml:space="preserve">₹[ ]</w:t>
      </w:r>
      <w:r>
        <w:t xml:space="preserve"> </w:t>
      </w:r>
      <w:r>
        <w:t xml:space="preserve">(IGST ₹[ ], CGST ₹[ ], SGST ₹[ ]) found ineligible under Ground [ ] should not be demanded and recovered from you as input tax credit wrongly availed [and utilised], under section [73(1) / 74(1) / 74A(1)] of the CGST Act, with interest under section 50 and penalty under section [73(9) / 74(9) / 74A(5)].</w:t>
      </w:r>
    </w:p>
    <w:p>
      <w:pPr>
        <w:pStyle w:val="BodyText"/>
        <w:spacing w:before="0" w:after="120" w:line="269" w:lineRule="auto"/>
      </w:pPr>
      <w:r>
        <w:rPr>
          <w:bCs/>
          <w:b/>
        </w:rPr>
        <w:t xml:space="preserve">[Variant C: recovery of an excess provisional refund (para 3.4 of Instruction No. 06/2025-GST)]</w:t>
      </w:r>
    </w:p>
    <w:p>
      <w:pPr>
        <w:pStyle w:val="BodyText"/>
        <w:spacing w:before="0" w:after="120" w:line="269" w:lineRule="auto"/>
        <w:jc w:val="both"/>
      </w:pPr>
      <w:r>
        <w:t xml:space="preserve">4.1A You are also required to show cause why refund of</w:t>
      </w:r>
      <w:r>
        <w:t xml:space="preserve"> </w:t>
      </w:r>
      <w:r>
        <w:rPr>
          <w:bCs/>
          <w:b/>
        </w:rPr>
        <w:t xml:space="preserve">₹[ ]</w:t>
      </w:r>
      <w:r>
        <w:t xml:space="preserve"> </w:t>
      </w:r>
      <w:r>
        <w:t xml:space="preserve">(IGST ₹[ ], CGST ₹[ ], SGST ₹[ ], Cess ₹[ ]), being the amount by which the provisional refund sanctioned by RFD-04 dated [ ] exceeds the amount now found admissible, should not be recovered from you as refund erroneously made, under section 54 read with section [73(1) / 74(1) / 74A(1)], with interest under section 50 [and penalty under section [73(9) / 74(9) / 74A(5)]].</w:t>
      </w:r>
    </w:p>
    <w:p>
      <w:pPr>
        <w:pStyle w:val="BodyText"/>
        <w:spacing w:before="0" w:after="120" w:line="269" w:lineRule="auto"/>
        <w:jc w:val="both"/>
      </w:pPr>
      <w:r>
        <w:t xml:space="preserve">4.2 [Variants B and C] A summary of this notice in FORM GST DRC-01 is issued with it under rule 142(1)(a). You may pay the amount demanded (the input tax credit under Variant B, or the excess provisional refund under Variant C), with interest [and the penalty payable under section [73(8) / 74(8) / 74A(8) or 74A(9)]], through FORM GST DRC-03 within the time allowed in that section, and inform this office; in that case [the proceedings for that amount will be concluded as provided in that section].</w:t>
      </w:r>
    </w:p>
    <w:p>
      <w:pPr>
        <w:pStyle w:val="BlockText"/>
        <w:shd w:val="clear" w:color="auto" w:fill="E7E6E6"/>
      </w:pPr>
      <w:r>
        <w:rPr>
          <w:bCs/>
          <w:b/>
          <w:sz w:val="21"/>
        </w:rPr>
        <w:t xml:space="preserve">Drafting note (Variants B and C):</w:t>
      </w:r>
      <w:r>
        <w:rPr>
          <w:sz w:val="21"/>
        </w:rPr>
        <w:t xml:space="preserve"> </w:t>
      </w:r>
      <w:r>
        <w:rPr>
          <w:sz w:val="21"/>
        </w:rPr>
        <w:t xml:space="preserve">use section 74A for input tax credit relating to financial year 2024-25 onwards, and for an excess provisional refund paid in or after that year (the forty-two months then run from the date of the erroneous refund), and sections 73 / 74 for earlier years. Check the time limit for the notice: under section 74A(2), within forty-two months from the due date of the annual return for the year concerned (or the date of erroneous refund); under sections 73(2) / 74(2), the earlier limits. Invoke the fraud provisions (section 74 or the penalty in section 74A(5)(ii)) only where the facts of fraud, wilful misstatement or suppression are stated in the notice. Sections 73 and 74 apply only to periods up to financial year 2023-24 (sections 73(12) and 74(12)). No notice is issued under section 74A where the amount for a financial year is less than one thousand rupees (proviso to section 74A(1)). The final order must be issued within twelve months of the notice under section 74A(7) (extendable as that section allows), or within the limits in sections 73(10) / 74(10). The final order decides every proposal (para 11.3, and the recovery para: 11.5A in T1 to T4, 11.3A in T5 and T6) and issues the DRC-07 summary.</w:t>
      </w:r>
    </w:p>
    <w:p>
      <w:pPr>
        <w:pStyle w:val="FirstParagraph"/>
        <w:keepNext/>
        <w:spacing w:before="240" w:after="80"/>
        <w:pBdr>
          <w:bottom w:val="single" w:sz="6" w:space="1" w:color="B4C6E7"/>
        </w:pBdr>
      </w:pPr>
      <w:r>
        <w:rPr>
          <w:bCs/>
          <w:b/>
          <w:color w:val="1F3864"/>
          <w:sz w:val="25"/>
        </w:rPr>
        <w:t xml:space="preserve">5. Documents relied on</w:t>
      </w:r>
    </w:p>
    <w:p>
      <w:pPr>
        <w:pStyle w:val="BodyText"/>
        <w:spacing w:before="0" w:after="120" w:line="269" w:lineRule="auto"/>
        <w:jc w:val="both"/>
      </w:pPr>
      <w:r>
        <w:t xml:space="preserve">5.1 This notice relies on the following, copies of which [are enclosed / are available on the portal / may be inspected at this office on any working day]: (i) [ ]; (ii) [ ]; (iii) [ ].</w:t>
      </w:r>
    </w:p>
    <w:p>
      <w:pPr>
        <w:pStyle w:val="BodyText"/>
        <w:keepNext/>
        <w:spacing w:before="240" w:after="80"/>
        <w:pBdr>
          <w:bottom w:val="single" w:sz="6" w:space="1" w:color="B4C6E7"/>
        </w:pBdr>
      </w:pPr>
      <w:r>
        <w:rPr>
          <w:bCs/>
          <w:b/>
          <w:color w:val="1F3864"/>
          <w:sz w:val="25"/>
        </w:rPr>
        <w:t xml:space="preserve">6. Personal hearing and consequences</w:t>
      </w:r>
    </w:p>
    <w:p>
      <w:pPr>
        <w:pStyle w:val="BodyText"/>
        <w:spacing w:before="0" w:after="120" w:line="269" w:lineRule="auto"/>
        <w:jc w:val="both"/>
      </w:pPr>
      <w:r>
        <w:t xml:space="preserve">6.1 A personal hearing is fixed on [DD.MM.YYYY] at [time] [at this office / by video conference]. You may appear in person or through an authorised representative under section 116, with any further documents. If you need another date, ask for it in writing before that date, giving the reason.</w:t>
      </w:r>
    </w:p>
    <w:p>
      <w:pPr>
        <w:pStyle w:val="BodyText"/>
        <w:spacing w:before="0" w:after="120" w:line="269" w:lineRule="auto"/>
        <w:jc w:val="both"/>
      </w:pPr>
      <w:r>
        <w:t xml:space="preserve">6.2 If no reply is received within fifteen days, or you do not appear for the hearing, [a further date will be given and,] if you still do not appear, the application will be decided on the records available. No application will be rejected without an opportunity of being heard (proviso to rule 92(3)).</w:t>
      </w:r>
    </w:p>
    <w:p>
      <w:pPr>
        <w:pStyle w:val="BodyText"/>
        <w:spacing w:before="0" w:after="120" w:line="269" w:lineRule="auto"/>
        <w:jc w:val="both"/>
      </w:pPr>
      <w:r>
        <w:t xml:space="preserve">6.3 Under rule 94(2)(a), any time beyond fifteen days from receipt of this notice taken by you to reply or to submit documents will be excluded when computing interest on delayed refund under section 56.</w:t>
      </w:r>
    </w:p>
    <w:p>
      <w:pPr>
        <w:pStyle w:val="BodyText"/>
        <w:spacing w:before="0" w:after="120" w:line="269" w:lineRule="auto"/>
        <w:jc w:val="both"/>
      </w:pPr>
      <w:r>
        <w:t xml:space="preserve">6.4 The part of the claim not covered by this notice, ₹[ ], is not proposed for rejection. This notice is without prejudice to any other action that may be taken under the Act.</w:t>
      </w:r>
    </w:p>
    <w:p>
      <w:pPr>
        <w:pStyle w:val="BodyText"/>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Copy to: (1) the Superintendent, [Range], Sangareddy CGST Division; (2) [for Variants B and C] the Adjudication cell, Medchal CGST Commissionerate; (3) guard file.</w:t>
      </w:r>
    </w:p>
    <w:p>
      <w:pPr>
        <w:pStyle w:val="BodyText"/>
        <w:keepNext/>
        <w:spacing w:before="240" w:after="80"/>
        <w:pBdr>
          <w:bottom w:val="single" w:sz="6" w:space="1" w:color="B4C6E7"/>
        </w:pBdr>
      </w:pPr>
      <w:r>
        <w:rPr>
          <w:bCs/>
          <w:b/>
          <w:color w:val="1F3864"/>
          <w:sz w:val="25"/>
        </w:rPr>
        <w:t xml:space="preserve">Annexure (where a ground affects the formula): recomputation of the refund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4508"/>
        <w:gridCol w:w="1539"/>
        <w:gridCol w:w="1667"/>
        <w:gridCol w:w="1924"/>
      </w:tblGrid>
      <w:tr>
        <w:trPr>
          <w:tblHeader w:val="true"/>
          <w:tblHeader/>
        </w:trPr>
        <w:tc>
          <w:tcPr>
            <w:tcW w:type="dxa" w:w="4508"/>
            <w:shd w:val="clear" w:color="auto" w:fill="DCE6F1"/>
          </w:tcPr>
          <w:p>
            <w:pPr>
              <w:pStyle w:val="Compact"/>
              <w:spacing w:before="0" w:after="0" w:line="240" w:lineRule="auto"/>
              <w:jc w:val="left"/>
            </w:pPr>
            <w:r>
              <w:rPr>
                <w:b/>
                <w:color w:val="1F3864"/>
                <w:sz w:val="21"/>
              </w:rPr>
              <w:t xml:space="preserve">Component</w:t>
            </w:r>
          </w:p>
        </w:tc>
        <w:tc>
          <w:tcPr>
            <w:tcW w:type="dxa" w:w="1539"/>
            <w:shd w:val="clear" w:color="auto" w:fill="DCE6F1"/>
          </w:tcPr>
          <w:p>
            <w:pPr>
              <w:pStyle w:val="Compact"/>
              <w:spacing w:before="0" w:after="0" w:line="240" w:lineRule="auto"/>
              <w:jc w:val="left"/>
            </w:pPr>
            <w:r>
              <w:rPr>
                <w:b/>
                <w:color w:val="1F3864"/>
                <w:sz w:val="21"/>
              </w:rPr>
              <w:t xml:space="preserve">As claimed (₹)</w:t>
            </w:r>
          </w:p>
        </w:tc>
        <w:tc>
          <w:tcPr>
            <w:tcW w:type="dxa" w:w="1667"/>
            <w:shd w:val="clear" w:color="auto" w:fill="DCE6F1"/>
          </w:tcPr>
          <w:p>
            <w:pPr>
              <w:pStyle w:val="Compact"/>
              <w:spacing w:before="0" w:after="0" w:line="240" w:lineRule="auto"/>
              <w:jc w:val="left"/>
            </w:pPr>
            <w:r>
              <w:rPr>
                <w:b/>
                <w:color w:val="1F3864"/>
                <w:sz w:val="21"/>
              </w:rPr>
              <w:t xml:space="preserve">As proposed (₹)</w:t>
            </w:r>
          </w:p>
        </w:tc>
        <w:tc>
          <w:tcPr>
            <w:tcW w:type="dxa" w:w="1924"/>
            <w:shd w:val="clear" w:color="auto" w:fill="DCE6F1"/>
          </w:tcPr>
          <w:p>
            <w:pPr>
              <w:pStyle w:val="Compact"/>
              <w:spacing w:before="0" w:after="0" w:line="240" w:lineRule="auto"/>
              <w:jc w:val="left"/>
            </w:pPr>
            <w:r>
              <w:rPr>
                <w:b/>
                <w:color w:val="1F3864"/>
                <w:sz w:val="21"/>
              </w:rPr>
              <w:t xml:space="preserve">Difference and ground</w:t>
            </w:r>
          </w:p>
        </w:tc>
      </w:tr>
      <w:tr>
        <w:tc>
          <w:tcPr>
            <w:tcW w:type="dxa" w:w="4508"/>
          </w:tcPr>
          <w:p>
            <w:pPr>
              <w:pStyle w:val="Compact"/>
              <w:spacing w:before="0" w:after="0" w:line="240" w:lineRule="auto"/>
              <w:jc w:val="left"/>
            </w:pPr>
            <w:r>
              <w:rPr>
                <w:sz w:val="21"/>
              </w:rPr>
              <w:t xml:space="preserve">Turnover of zero-rated / inverted rated supply</w:t>
            </w:r>
          </w:p>
        </w:tc>
        <w:tc>
          <w:tcPr>
            <w:tcW w:type="dxa" w:w="1539"/>
          </w:tcPr>
          <w:p>
            <w:pPr>
              <w:pStyle w:val="Compact"/>
              <w:spacing w:before="0" w:after="0" w:line="240" w:lineRule="auto"/>
              <w:jc w:val="left"/>
            </w:pPr>
            <w:r>
              <w:rPr>
                <w:sz w:val="21"/>
              </w:rPr>
              <w:t xml:space="preserve">[ ]</w:t>
            </w:r>
          </w:p>
        </w:tc>
        <w:tc>
          <w:tcPr>
            <w:tcW w:type="dxa" w:w="1667"/>
          </w:tcPr>
          <w:p>
            <w:pPr>
              <w:pStyle w:val="Compact"/>
              <w:spacing w:before="0" w:after="0" w:line="240" w:lineRule="auto"/>
              <w:jc w:val="left"/>
            </w:pPr>
            <w:r>
              <w:rPr>
                <w:sz w:val="21"/>
              </w:rPr>
              <w:t xml:space="preserve">[ ]</w:t>
            </w:r>
          </w:p>
        </w:tc>
        <w:tc>
          <w:tcPr>
            <w:tcW w:type="dxa" w:w="1924"/>
          </w:tcPr>
          <w:p>
            <w:pPr>
              <w:pStyle w:val="Compact"/>
              <w:spacing w:before="0" w:after="0" w:line="240" w:lineRule="auto"/>
              <w:jc w:val="left"/>
            </w:pPr>
            <w:r>
              <w:rPr>
                <w:sz w:val="21"/>
              </w:rPr>
              <w:t xml:space="preserve">[ ]</w:t>
            </w:r>
          </w:p>
        </w:tc>
      </w:tr>
      <w:tr>
        <w:tc>
          <w:tcPr>
            <w:tcW w:type="dxa" w:w="4508"/>
          </w:tcPr>
          <w:p>
            <w:pPr>
              <w:pStyle w:val="Compact"/>
              <w:spacing w:before="0" w:after="0" w:line="240" w:lineRule="auto"/>
              <w:jc w:val="left"/>
            </w:pPr>
            <w:r>
              <w:rPr>
                <w:sz w:val="21"/>
              </w:rPr>
              <w:t xml:space="preserve">Adjusted Total Turnover</w:t>
            </w:r>
          </w:p>
        </w:tc>
        <w:tc>
          <w:tcPr>
            <w:tcW w:type="dxa" w:w="1539"/>
          </w:tcPr>
          <w:p>
            <w:pPr>
              <w:pStyle w:val="Compact"/>
              <w:spacing w:before="0" w:after="0" w:line="240" w:lineRule="auto"/>
              <w:jc w:val="left"/>
            </w:pPr>
            <w:r>
              <w:rPr>
                <w:sz w:val="21"/>
              </w:rPr>
              <w:t xml:space="preserve">[ ]</w:t>
            </w:r>
          </w:p>
        </w:tc>
        <w:tc>
          <w:tcPr>
            <w:tcW w:type="dxa" w:w="1667"/>
          </w:tcPr>
          <w:p>
            <w:pPr>
              <w:pStyle w:val="Compact"/>
              <w:spacing w:before="0" w:after="0" w:line="240" w:lineRule="auto"/>
              <w:jc w:val="left"/>
            </w:pPr>
            <w:r>
              <w:rPr>
                <w:sz w:val="21"/>
              </w:rPr>
              <w:t xml:space="preserve">[ ]</w:t>
            </w:r>
          </w:p>
        </w:tc>
        <w:tc>
          <w:tcPr>
            <w:tcW w:type="dxa" w:w="1924"/>
          </w:tcPr>
          <w:p>
            <w:pPr>
              <w:pStyle w:val="Compact"/>
              <w:spacing w:before="0" w:after="0" w:line="240" w:lineRule="auto"/>
              <w:jc w:val="left"/>
            </w:pPr>
            <w:r>
              <w:rPr>
                <w:sz w:val="21"/>
              </w:rPr>
              <w:t xml:space="preserve">[ ]</w:t>
            </w:r>
          </w:p>
        </w:tc>
      </w:tr>
      <w:tr>
        <w:tc>
          <w:tcPr>
            <w:tcW w:type="dxa" w:w="4508"/>
          </w:tcPr>
          <w:p>
            <w:pPr>
              <w:pStyle w:val="Compact"/>
              <w:spacing w:before="0" w:after="0" w:line="240" w:lineRule="auto"/>
              <w:jc w:val="left"/>
            </w:pPr>
            <w:r>
              <w:rPr>
                <w:sz w:val="21"/>
              </w:rPr>
              <w:t xml:space="preserve">Net ITC</w:t>
            </w:r>
          </w:p>
        </w:tc>
        <w:tc>
          <w:tcPr>
            <w:tcW w:type="dxa" w:w="1539"/>
          </w:tcPr>
          <w:p>
            <w:pPr>
              <w:pStyle w:val="Compact"/>
              <w:spacing w:before="0" w:after="0" w:line="240" w:lineRule="auto"/>
              <w:jc w:val="left"/>
            </w:pPr>
            <w:r>
              <w:rPr>
                <w:sz w:val="21"/>
              </w:rPr>
              <w:t xml:space="preserve">[ ]</w:t>
            </w:r>
          </w:p>
        </w:tc>
        <w:tc>
          <w:tcPr>
            <w:tcW w:type="dxa" w:w="1667"/>
          </w:tcPr>
          <w:p>
            <w:pPr>
              <w:pStyle w:val="Compact"/>
              <w:spacing w:before="0" w:after="0" w:line="240" w:lineRule="auto"/>
              <w:jc w:val="left"/>
            </w:pPr>
            <w:r>
              <w:rPr>
                <w:sz w:val="21"/>
              </w:rPr>
              <w:t xml:space="preserve">[ ]</w:t>
            </w:r>
          </w:p>
        </w:tc>
        <w:tc>
          <w:tcPr>
            <w:tcW w:type="dxa" w:w="1924"/>
          </w:tcPr>
          <w:p>
            <w:pPr>
              <w:pStyle w:val="Compact"/>
              <w:spacing w:before="0" w:after="0" w:line="240" w:lineRule="auto"/>
              <w:jc w:val="left"/>
            </w:pPr>
            <w:r>
              <w:rPr>
                <w:sz w:val="21"/>
              </w:rPr>
              <w:t xml:space="preserve">[ ]</w:t>
            </w:r>
          </w:p>
        </w:tc>
      </w:tr>
      <w:tr>
        <w:tc>
          <w:tcPr>
            <w:tcW w:type="dxa" w:w="4508"/>
          </w:tcPr>
          <w:p>
            <w:pPr>
              <w:pStyle w:val="Compact"/>
              <w:spacing w:before="0" w:after="0" w:line="240" w:lineRule="auto"/>
              <w:jc w:val="left"/>
            </w:pPr>
            <w:r>
              <w:rPr>
                <w:sz w:val="21"/>
              </w:rPr>
              <w:t xml:space="preserve">[ITC on inputs and input services] / [Tax payable on inverted rated supply]</w:t>
            </w:r>
          </w:p>
        </w:tc>
        <w:tc>
          <w:tcPr>
            <w:tcW w:type="dxa" w:w="1539"/>
          </w:tcPr>
          <w:p>
            <w:pPr>
              <w:pStyle w:val="Compact"/>
              <w:spacing w:before="0" w:after="0" w:line="240" w:lineRule="auto"/>
              <w:jc w:val="left"/>
            </w:pPr>
            <w:r>
              <w:rPr>
                <w:sz w:val="21"/>
              </w:rPr>
              <w:t xml:space="preserve">[ ]</w:t>
            </w:r>
          </w:p>
        </w:tc>
        <w:tc>
          <w:tcPr>
            <w:tcW w:type="dxa" w:w="1667"/>
          </w:tcPr>
          <w:p>
            <w:pPr>
              <w:pStyle w:val="Compact"/>
              <w:spacing w:before="0" w:after="0" w:line="240" w:lineRule="auto"/>
              <w:jc w:val="left"/>
            </w:pPr>
            <w:r>
              <w:rPr>
                <w:sz w:val="21"/>
              </w:rPr>
              <w:t xml:space="preserve">[ ]</w:t>
            </w:r>
          </w:p>
        </w:tc>
        <w:tc>
          <w:tcPr>
            <w:tcW w:type="dxa" w:w="1924"/>
          </w:tcPr>
          <w:p>
            <w:pPr>
              <w:pStyle w:val="Compact"/>
              <w:spacing w:before="0" w:after="0" w:line="240" w:lineRule="auto"/>
              <w:jc w:val="left"/>
            </w:pPr>
            <w:r>
              <w:rPr>
                <w:sz w:val="21"/>
              </w:rPr>
              <w:t xml:space="preserve">[ ]</w:t>
            </w:r>
          </w:p>
        </w:tc>
      </w:tr>
      <w:tr>
        <w:tc>
          <w:tcPr>
            <w:tcW w:type="dxa" w:w="4508"/>
          </w:tcPr>
          <w:p>
            <w:pPr>
              <w:pStyle w:val="Compact"/>
              <w:spacing w:before="0" w:after="0" w:line="240" w:lineRule="auto"/>
              <w:jc w:val="left"/>
            </w:pPr>
            <w:r>
              <w:rPr>
                <w:sz w:val="21"/>
              </w:rPr>
              <w:t xml:space="preserve">Refund by formula</w:t>
            </w:r>
          </w:p>
        </w:tc>
        <w:tc>
          <w:tcPr>
            <w:tcW w:type="dxa" w:w="1539"/>
          </w:tcPr>
          <w:p>
            <w:pPr>
              <w:pStyle w:val="Compact"/>
              <w:spacing w:before="0" w:after="0" w:line="240" w:lineRule="auto"/>
              <w:jc w:val="left"/>
            </w:pPr>
            <w:r>
              <w:rPr>
                <w:sz w:val="21"/>
              </w:rPr>
              <w:t xml:space="preserve">[ ]</w:t>
            </w:r>
          </w:p>
        </w:tc>
        <w:tc>
          <w:tcPr>
            <w:tcW w:type="dxa" w:w="1667"/>
          </w:tcPr>
          <w:p>
            <w:pPr>
              <w:pStyle w:val="Compact"/>
              <w:spacing w:before="0" w:after="0" w:line="240" w:lineRule="auto"/>
              <w:jc w:val="left"/>
            </w:pPr>
            <w:r>
              <w:rPr>
                <w:sz w:val="21"/>
              </w:rPr>
              <w:t xml:space="preserve">[ ]</w:t>
            </w:r>
          </w:p>
        </w:tc>
        <w:tc>
          <w:tcPr>
            <w:tcW w:type="dxa" w:w="1924"/>
          </w:tcPr>
          <w:p>
            <w:pPr>
              <w:pStyle w:val="Compact"/>
              <w:spacing w:before="0" w:after="0" w:line="240" w:lineRule="auto"/>
              <w:jc w:val="left"/>
            </w:pPr>
            <w:r>
              <w:rPr>
                <w:sz w:val="21"/>
              </w:rPr>
              <w:t xml:space="preserve">[ ]</w:t>
            </w:r>
          </w:p>
        </w:tc>
      </w:tr>
      <w:tr>
        <w:tc>
          <w:tcPr>
            <w:tcW w:type="dxa" w:w="4508"/>
          </w:tcPr>
          <w:p>
            <w:pPr>
              <w:pStyle w:val="Compact"/>
              <w:spacing w:before="0" w:after="0" w:line="240" w:lineRule="auto"/>
              <w:jc w:val="left"/>
            </w:pPr>
            <w:r>
              <w:rPr>
                <w:sz w:val="21"/>
              </w:rPr>
              <w:t xml:space="preserve">Least of formula amount and ledger balances (para 37 of Circular 125)</w:t>
            </w:r>
          </w:p>
        </w:tc>
        <w:tc>
          <w:tcPr>
            <w:tcW w:type="dxa" w:w="1539"/>
          </w:tcPr>
          <w:p>
            <w:pPr>
              <w:pStyle w:val="Compact"/>
              <w:spacing w:before="0" w:after="0" w:line="240" w:lineRule="auto"/>
              <w:jc w:val="left"/>
            </w:pPr>
            <w:r>
              <w:rPr>
                <w:sz w:val="21"/>
              </w:rPr>
              <w:t xml:space="preserve">[ ]</w:t>
            </w:r>
          </w:p>
        </w:tc>
        <w:tc>
          <w:tcPr>
            <w:tcW w:type="dxa" w:w="1667"/>
          </w:tcPr>
          <w:p>
            <w:pPr>
              <w:pStyle w:val="Compact"/>
              <w:spacing w:before="0" w:after="0" w:line="240" w:lineRule="auto"/>
              <w:jc w:val="left"/>
            </w:pPr>
            <w:r>
              <w:rPr>
                <w:sz w:val="21"/>
              </w:rPr>
              <w:t xml:space="preserve">[ ]</w:t>
            </w:r>
          </w:p>
        </w:tc>
        <w:tc>
          <w:tcPr>
            <w:tcW w:type="dxa" w:w="1924"/>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For a refund of tax paid (export of services or SEZ supplies with IGST, cash ledger, appeal refunds), attach instead a list of the invoices or payments affected, with the tax on each.</w:t>
      </w:r>
    </w:p>
    <w:p>
      <w:pPr>
        <w:pStyle w:val="BlockText"/>
        <w:shd w:val="clear" w:color="auto" w:fill="E7E6E6"/>
      </w:pPr>
      <w:r>
        <w:rPr>
          <w:bCs/>
          <w:b/>
          <w:sz w:val="21"/>
        </w:rPr>
        <w:t xml:space="preserve">Worked example (hypothetical figures; delete before issue).</w:t>
      </w:r>
      <w:r>
        <w:rPr>
          <w:sz w:val="21"/>
        </w:rPr>
        <w:t xml:space="preserve"> </w:t>
      </w:r>
      <w:r>
        <w:rPr>
          <w:sz w:val="21"/>
        </w:rPr>
        <w:t xml:space="preserve">Export of goods under LUT, rule 89(4). Net ITC ₹10,00,000; Adjusted Total Turnover ₹1,00,00,000; zero-rated turnover claimed ₹40,00,000. As claimed: 10,00,000 × 40,00,000 ÷ 1,00,00,000 = ₹4,00,000. Ground 1: shipping bills with FOB value of ₹5,00,000 are beyond two years (Explanation 2(a)), so zero-rated turnover becomes ₹35,00,000 (Adjusted Total Turnover is left at ₹1,00,00,000, as the supply remains part of turnover; state the view taken). As proposed: 10,00,000 × 35,00,000 ÷ 1,00,00,000 = ₹3,50,000. Ledger balances: end of period ₹6,00,000, at filing ₹5,50,000, so the least of the three is ₹3,50,000 (para 37 of Circular 125). Proposed for rejection: 4,00,000 − 3,50,000 = ₹50,000.</w:t>
      </w:r>
    </w:p>
    <w:p>
      <w:pPr>
        <w:pStyle w:val="BlockText"/>
        <w:shd w:val="clear" w:color="auto" w:fill="E7E6E6"/>
        <w:spacing w:before="360"/>
      </w:pPr>
      <w:r>
        <w:rPr>
          <w:bCs/>
          <w:b/>
          <w:sz w:val="21"/>
        </w:rPr>
        <w:t xml:space="preserve">How to use this template.</w:t>
      </w:r>
      <w:r>
        <w:rPr>
          <w:sz w:val="21"/>
        </w:rPr>
        <w:t xml:space="preserve"> </w:t>
      </w:r>
      <w:r>
        <w:rPr>
          <w:sz w:val="21"/>
        </w:rPr>
        <w:t xml:space="preserve">Text in [square brackets] is to be filled in or chosen. In para 4 keep either</w:t>
      </w:r>
      <w:r>
        <w:rPr>
          <w:sz w:val="21"/>
        </w:rPr>
        <w:t xml:space="preserve"> </w:t>
      </w:r>
      <w:r>
        <w:rPr>
          <w:bCs/>
          <w:b/>
          <w:sz w:val="21"/>
        </w:rPr>
        <w:t xml:space="preserve">Variant A</w:t>
      </w:r>
      <w:r>
        <w:rPr>
          <w:sz w:val="21"/>
        </w:rPr>
        <w:t xml:space="preserve"> </w:t>
      </w:r>
      <w:r>
        <w:rPr>
          <w:sz w:val="21"/>
        </w:rPr>
        <w:t xml:space="preserve">(rejection only) or</w:t>
      </w:r>
      <w:r>
        <w:rPr>
          <w:sz w:val="21"/>
        </w:rPr>
        <w:t xml:space="preserve"> </w:t>
      </w:r>
      <w:r>
        <w:rPr>
          <w:bCs/>
          <w:b/>
          <w:sz w:val="21"/>
        </w:rPr>
        <w:t xml:space="preserve">Variant B</w:t>
      </w:r>
      <w:r>
        <w:rPr>
          <w:sz w:val="21"/>
        </w:rPr>
        <w:t xml:space="preserve"> </w:t>
      </w:r>
      <w:r>
        <w:rPr>
          <w:sz w:val="21"/>
        </w:rPr>
        <w:t xml:space="preserve">(rejection plus recovery of ineligible ITC), and add</w:t>
      </w:r>
      <w:r>
        <w:rPr>
          <w:sz w:val="21"/>
        </w:rPr>
        <w:t xml:space="preserve"> </w:t>
      </w:r>
      <w:r>
        <w:rPr>
          <w:bCs/>
          <w:b/>
          <w:sz w:val="21"/>
        </w:rPr>
        <w:t xml:space="preserve">Variant C</w:t>
      </w:r>
      <w:r>
        <w:rPr>
          <w:sz w:val="21"/>
        </w:rPr>
        <w:t xml:space="preserve"> </w:t>
      </w:r>
      <w:r>
        <w:rPr>
          <w:sz w:val="21"/>
        </w:rPr>
        <w:t xml:space="preserve">(recovery of an excess provisional refund) where the provisional refund paid exceeds the amount you propose to allow.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issue. The notice is generated in FORM GST RFD-08 on the portal; this text is the annexure that states the grounds.</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Notice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N1: Notice in FORM GST RFD-08 (proposal to reject a refund, with optional demand of ineligible ITC)</dc:title>
  <dc:creator>Sangareddy CGST Division</dc:creator>
  <cp:keywords/>
  <dcterms:created xsi:type="dcterms:W3CDTF">2026-10-12T14:52:38Z</dcterms:created>
  <dcterms:modified xsi:type="dcterms:W3CDTF">2026-10-12T14:52:38Z</dcterms:modified>
</cp:coreProperties>
</file>

<file path=docProps/custom.xml><?xml version="1.0" encoding="utf-8"?>
<Properties xmlns="http://schemas.openxmlformats.org/officeDocument/2006/custom-properties" xmlns:vt="http://schemas.openxmlformats.org/officeDocument/2006/docPropsVTypes"/>
</file>