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अधीक्षक का कार्यालय</w:t>
      </w:r>
    </w:p>
    <w:p>
      <w:pPr>
        <w:spacing w:before="0" w:after="0" w:line="240" w:lineRule="auto"/>
        <w:jc w:val="center"/>
      </w:pPr>
      <w:r>
        <w:rPr>
          <w:b/>
          <w:sz w:val="23"/>
          <w:szCs w:val="23"/>
          <w:bCs/>
        </w:rPr>
        <w:t>OFFICE OF THE SUPERINTENDENT OF CENTRAL TAX, [        ] RANGE</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SHOW CAUSE NOTICE FOR CANCELLATION OF REGISTRATION</w:t>
      </w:r>
      <w:r>
        <w:br/>
      </w:r>
      <w:r>
        <w:t xml:space="preserve">FORM GST REG-17 [section 29(2) of the CGST Act, 2017 read with rule 22(1)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61"/>
        <w:gridCol w:w="7377"/>
      </w:tblGrid>
      <w:tr>
        <w:trPr>
          <w:tblHeader w:val="true"/>
          <w:tblHeader/>
        </w:trPr>
        <w:tc>
          <w:tcPr>
            <w:tcW w:type="dxa" w:w="226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377"/>
            <w:shd w:val="clear" w:color="auto" w:fill="DCE6F1"/>
          </w:tcPr>
          <w:p>
            <w:pPr>
              <w:pStyle w:val="Compact"/>
              <w:spacing w:before="0" w:after="0" w:line="240" w:lineRule="auto"/>
              <w:jc w:val="left"/>
            </w:pPr>
            <w:r>
              <w:rPr>
                <w:b/>
                <w:color w:val="1F3864"/>
                <w:sz w:val="21"/>
              </w:rPr>
              <w:t xml:space="preserve">Details</w:t>
            </w:r>
          </w:p>
        </w:tc>
      </w:tr>
      <w:tr>
        <w:tc>
          <w:tcPr>
            <w:tcW w:type="dxa" w:w="2261"/>
            <w:shd w:val="clear" w:color="auto" w:fill="F5F8FC"/>
          </w:tcPr>
          <w:p>
            <w:pPr>
              <w:pStyle w:val="Compact"/>
              <w:spacing w:before="0" w:after="0" w:line="240" w:lineRule="auto"/>
              <w:jc w:val="left"/>
            </w:pPr>
            <w:r>
              <w:rPr>
                <w:b/>
                <w:sz w:val="21"/>
              </w:rPr>
              <w:t xml:space="preserve">Reference No. and date</w:t>
            </w:r>
          </w:p>
        </w:tc>
        <w:tc>
          <w:tcPr>
            <w:tcW w:type="dxa" w:w="7377"/>
          </w:tcPr>
          <w:p>
            <w:pPr>
              <w:pStyle w:val="Compact"/>
              <w:spacing w:before="0" w:after="0" w:line="240" w:lineRule="auto"/>
              <w:jc w:val="left"/>
            </w:pPr>
            <w:r>
              <w:rPr>
                <w:sz w:val="21"/>
              </w:rPr>
              <w:t xml:space="preserve">[ ] dated [DD.MM.YYYY]; RFN [ ]</w:t>
            </w:r>
          </w:p>
        </w:tc>
      </w:tr>
      <w:tr>
        <w:tc>
          <w:tcPr>
            <w:tcW w:type="dxa" w:w="2261"/>
            <w:shd w:val="clear" w:color="auto" w:fill="F5F8FC"/>
          </w:tcPr>
          <w:p>
            <w:pPr>
              <w:pStyle w:val="Compact"/>
              <w:spacing w:before="0" w:after="0" w:line="240" w:lineRule="auto"/>
              <w:jc w:val="left"/>
            </w:pPr>
            <w:r>
              <w:rPr>
                <w:b/>
                <w:sz w:val="21"/>
              </w:rPr>
              <w:t xml:space="preserve">To</w:t>
            </w:r>
          </w:p>
        </w:tc>
        <w:tc>
          <w:tcPr>
            <w:tcW w:type="dxa" w:w="7377"/>
          </w:tcPr>
          <w:p>
            <w:pPr>
              <w:pStyle w:val="Compact"/>
              <w:spacing w:before="0" w:after="0" w:line="240" w:lineRule="auto"/>
              <w:jc w:val="left"/>
            </w:pPr>
            <w:r>
              <w:rPr>
                <w:sz w:val="21"/>
              </w:rPr>
              <w:t xml:space="preserve">[Legal name] ([trade name]), GSTIN [ ], [principal place of business as registered]</w:t>
            </w:r>
          </w:p>
        </w:tc>
      </w:tr>
      <w:tr>
        <w:tc>
          <w:tcPr>
            <w:tcW w:type="dxa" w:w="2261"/>
            <w:shd w:val="clear" w:color="auto" w:fill="F5F8FC"/>
          </w:tcPr>
          <w:p>
            <w:pPr>
              <w:pStyle w:val="Compact"/>
              <w:spacing w:before="0" w:after="0" w:line="240" w:lineRule="auto"/>
              <w:jc w:val="left"/>
            </w:pPr>
            <w:r>
              <w:rPr>
                <w:b/>
                <w:sz w:val="21"/>
              </w:rPr>
              <w:t xml:space="preserve">Registered e-mail and mobile</w:t>
            </w:r>
          </w:p>
        </w:tc>
        <w:tc>
          <w:tcPr>
            <w:tcW w:type="dxa" w:w="7377"/>
          </w:tcPr>
          <w:p>
            <w:pPr>
              <w:pStyle w:val="Compact"/>
              <w:spacing w:before="0" w:after="0" w:line="240" w:lineRule="auto"/>
              <w:jc w:val="left"/>
            </w:pPr>
            <w:r>
              <w:rPr>
                <w:sz w:val="21"/>
              </w:rPr>
              <w:t xml:space="preserve">[ ] / [last four digits]</w:t>
            </w:r>
          </w:p>
        </w:tc>
      </w:tr>
      <w:tr>
        <w:tc>
          <w:tcPr>
            <w:tcW w:type="dxa" w:w="2261"/>
            <w:shd w:val="clear" w:color="auto" w:fill="F5F8FC"/>
          </w:tcPr>
          <w:p>
            <w:pPr>
              <w:pStyle w:val="Compact"/>
              <w:spacing w:before="0" w:after="0" w:line="240" w:lineRule="auto"/>
              <w:jc w:val="left"/>
            </w:pPr>
            <w:r>
              <w:rPr>
                <w:b/>
                <w:sz w:val="21"/>
              </w:rPr>
              <w:t xml:space="preserve">Effective date of registration</w:t>
            </w:r>
          </w:p>
        </w:tc>
        <w:tc>
          <w:tcPr>
            <w:tcW w:type="dxa" w:w="7377"/>
          </w:tcPr>
          <w:p>
            <w:pPr>
              <w:pStyle w:val="Compact"/>
              <w:spacing w:before="0" w:after="0" w:line="240" w:lineRule="auto"/>
              <w:jc w:val="left"/>
            </w:pPr>
            <w:r>
              <w:rPr>
                <w:sz w:val="21"/>
              </w:rPr>
              <w:t xml:space="preserve">[DD.MM.YYYY]; type: [regular / composition / QRMP / voluntary under section 25(3) / rule 14A]</w:t>
            </w:r>
          </w:p>
        </w:tc>
      </w:tr>
      <w:tr>
        <w:tc>
          <w:tcPr>
            <w:tcW w:type="dxa" w:w="2261"/>
            <w:shd w:val="clear" w:color="auto" w:fill="F5F8FC"/>
          </w:tcPr>
          <w:p>
            <w:pPr>
              <w:pStyle w:val="Compact"/>
              <w:spacing w:before="0" w:after="0" w:line="240" w:lineRule="auto"/>
              <w:jc w:val="left"/>
            </w:pPr>
            <w:r>
              <w:rPr>
                <w:b/>
                <w:sz w:val="21"/>
              </w:rPr>
              <w:t xml:space="preserve">Grounds proposed</w:t>
            </w:r>
          </w:p>
        </w:tc>
        <w:tc>
          <w:tcPr>
            <w:tcW w:type="dxa" w:w="7377"/>
          </w:tcPr>
          <w:p>
            <w:pPr>
              <w:pStyle w:val="Compact"/>
              <w:spacing w:before="0" w:after="0" w:line="240" w:lineRule="auto"/>
              <w:jc w:val="left"/>
            </w:pPr>
            <w:r>
              <w:rPr>
                <w:sz w:val="21"/>
              </w:rPr>
              <w:t xml:space="preserve">[Ground 1: section 29(2)(a) read with rule 21([ ])]; [Ground 2: section 29(2)([ ])]</w:t>
            </w:r>
          </w:p>
        </w:tc>
      </w:tr>
      <w:tr>
        <w:tc>
          <w:tcPr>
            <w:tcW w:type="dxa" w:w="2261"/>
            <w:shd w:val="clear" w:color="auto" w:fill="F5F8FC"/>
          </w:tcPr>
          <w:p>
            <w:pPr>
              <w:pStyle w:val="Compact"/>
              <w:spacing w:before="0" w:after="0" w:line="240" w:lineRule="auto"/>
              <w:jc w:val="left"/>
            </w:pPr>
            <w:r>
              <w:rPr>
                <w:b/>
                <w:sz w:val="21"/>
              </w:rPr>
              <w:t xml:space="preserve">Cancellation proposed with effect from</w:t>
            </w:r>
          </w:p>
        </w:tc>
        <w:tc>
          <w:tcPr>
            <w:tcW w:type="dxa" w:w="7377"/>
          </w:tcPr>
          <w:p>
            <w:pPr>
              <w:pStyle w:val="Compact"/>
              <w:spacing w:before="0" w:after="0" w:line="240" w:lineRule="auto"/>
              <w:jc w:val="left"/>
            </w:pPr>
            <w:r>
              <w:rPr>
                <w:sz w:val="21"/>
              </w:rPr>
              <w:t xml:space="preserve">[the date of the order] /</w:t>
            </w:r>
            <w:r>
              <w:rPr>
                <w:sz w:val="21"/>
              </w:rPr>
              <w:t xml:space="preserve"> </w:t>
            </w:r>
            <w:r>
              <w:rPr>
                <w:bCs/>
                <w:b/>
                <w:sz w:val="21"/>
              </w:rPr>
              <w:t xml:space="preserve">[DD.MM.YYYY]</w:t>
            </w:r>
            <w:r>
              <w:rPr>
                <w:sz w:val="21"/>
              </w:rPr>
              <w:t xml:space="preserve"> </w:t>
            </w:r>
            <w:r>
              <w:rPr>
                <w:sz w:val="21"/>
              </w:rPr>
              <w:t xml:space="preserve">(retrospective; reasons in para 4)</w:t>
            </w:r>
          </w:p>
        </w:tc>
      </w:tr>
      <w:tr>
        <w:tc>
          <w:tcPr>
            <w:tcW w:type="dxa" w:w="2261"/>
            <w:shd w:val="clear" w:color="auto" w:fill="F5F8FC"/>
          </w:tcPr>
          <w:p>
            <w:pPr>
              <w:pStyle w:val="Compact"/>
              <w:spacing w:before="0" w:after="0" w:line="240" w:lineRule="auto"/>
              <w:jc w:val="left"/>
            </w:pPr>
            <w:r>
              <w:rPr>
                <w:b/>
                <w:sz w:val="21"/>
              </w:rPr>
              <w:t xml:space="preserve">Suspension</w:t>
            </w:r>
          </w:p>
        </w:tc>
        <w:tc>
          <w:tcPr>
            <w:tcW w:type="dxa" w:w="7377"/>
          </w:tcPr>
          <w:p>
            <w:pPr>
              <w:pStyle w:val="Compact"/>
              <w:spacing w:before="0" w:after="0" w:line="240" w:lineRule="auto"/>
              <w:jc w:val="left"/>
            </w:pPr>
            <w:r>
              <w:rPr>
                <w:sz w:val="21"/>
              </w:rPr>
              <w:t xml:space="preserve">[Not suspended] / Suspended with effect from</w:t>
            </w:r>
            <w:r>
              <w:rPr>
                <w:sz w:val="21"/>
              </w:rPr>
              <w:t xml:space="preserve"> </w:t>
            </w:r>
            <w:r>
              <w:rPr>
                <w:bCs/>
                <w:b/>
                <w:sz w:val="21"/>
              </w:rPr>
              <w:t xml:space="preserve">[DD.MM.YYYY]</w:t>
            </w:r>
            <w:r>
              <w:rPr>
                <w:sz w:val="21"/>
              </w:rPr>
              <w:t xml:space="preserve"> </w:t>
            </w:r>
            <w:r>
              <w:rPr>
                <w:sz w:val="21"/>
              </w:rPr>
              <w:t xml:space="preserve">under rule 21A(2) (reasons in para 5)</w:t>
            </w:r>
          </w:p>
        </w:tc>
      </w:tr>
      <w:tr>
        <w:tc>
          <w:tcPr>
            <w:tcW w:type="dxa" w:w="2261"/>
            <w:shd w:val="clear" w:color="auto" w:fill="F5F8FC"/>
          </w:tcPr>
          <w:p>
            <w:pPr>
              <w:pStyle w:val="Compact"/>
              <w:spacing w:before="0" w:after="0" w:line="240" w:lineRule="auto"/>
              <w:jc w:val="left"/>
            </w:pPr>
            <w:r>
              <w:rPr>
                <w:b/>
                <w:sz w:val="21"/>
              </w:rPr>
              <w:t xml:space="preserve">Reply by</w:t>
            </w:r>
          </w:p>
        </w:tc>
        <w:tc>
          <w:tcPr>
            <w:tcW w:type="dxa" w:w="7377"/>
          </w:tcPr>
          <w:p>
            <w:pPr>
              <w:pStyle w:val="Compact"/>
              <w:spacing w:before="0" w:after="0" w:line="240" w:lineRule="auto"/>
              <w:jc w:val="left"/>
            </w:pPr>
            <w:r>
              <w:rPr>
                <w:bCs/>
                <w:b/>
                <w:sz w:val="21"/>
              </w:rPr>
              <w:t xml:space="preserve">[DD.MM.YYYY]</w:t>
            </w:r>
            <w:r>
              <w:rPr>
                <w:sz w:val="21"/>
              </w:rPr>
              <w:t xml:space="preserve"> </w:t>
            </w:r>
            <w:r>
              <w:rPr>
                <w:sz w:val="21"/>
              </w:rPr>
              <w:t xml:space="preserve">(seven working days from service), in FORM GST REG-18 on the common portal</w:t>
            </w:r>
          </w:p>
        </w:tc>
      </w:tr>
      <w:tr>
        <w:tc>
          <w:tcPr>
            <w:tcW w:type="dxa" w:w="2261"/>
            <w:shd w:val="clear" w:color="auto" w:fill="F5F8FC"/>
          </w:tcPr>
          <w:p>
            <w:pPr>
              <w:pStyle w:val="Compact"/>
              <w:spacing w:before="0" w:after="0" w:line="240" w:lineRule="auto"/>
              <w:jc w:val="left"/>
            </w:pPr>
            <w:r>
              <w:rPr>
                <w:b/>
                <w:sz w:val="21"/>
              </w:rPr>
              <w:t xml:space="preserve">Personal hearing</w:t>
            </w:r>
          </w:p>
        </w:tc>
        <w:tc>
          <w:tcPr>
            <w:tcW w:type="dxa" w:w="7377"/>
          </w:tcPr>
          <w:p>
            <w:pPr>
              <w:pStyle w:val="Compact"/>
              <w:spacing w:before="0" w:after="0" w:line="240" w:lineRule="auto"/>
              <w:jc w:val="left"/>
            </w:pPr>
            <w:r>
              <w:rPr>
                <w:bCs/>
                <w:b/>
                <w:sz w:val="21"/>
              </w:rPr>
              <w:t xml:space="preserve">[DD.MM.YYYY] at [HH:MM]</w:t>
            </w:r>
            <w:r>
              <w:rPr>
                <w:sz w:val="21"/>
              </w:rPr>
              <w:t xml:space="preserve">, [office address / video link]</w:t>
            </w:r>
          </w:p>
        </w:tc>
      </w:tr>
      <w:tr>
        <w:tc>
          <w:tcPr>
            <w:tcW w:type="dxa" w:w="2261"/>
            <w:shd w:val="clear" w:color="auto" w:fill="F5F8FC"/>
          </w:tcPr>
          <w:p>
            <w:pPr>
              <w:pStyle w:val="Compact"/>
              <w:spacing w:before="0" w:after="0" w:line="240" w:lineRule="auto"/>
              <w:jc w:val="left"/>
            </w:pPr>
            <w:r>
              <w:rPr>
                <w:b/>
                <w:sz w:val="21"/>
              </w:rPr>
              <w:t xml:space="preserve">Relied-upon documents</w:t>
            </w:r>
          </w:p>
        </w:tc>
        <w:tc>
          <w:tcPr>
            <w:tcW w:type="dxa" w:w="7377"/>
          </w:tcPr>
          <w:p>
            <w:pPr>
              <w:pStyle w:val="Compact"/>
              <w:spacing w:before="0" w:after="0" w:line="240" w:lineRule="auto"/>
              <w:jc w:val="left"/>
            </w:pPr>
            <w:r>
              <w:rPr>
                <w:sz w:val="21"/>
              </w:rPr>
              <w:t xml:space="preserve">Listed in para 7 and enclosed</w:t>
            </w:r>
          </w:p>
        </w:tc>
      </w:tr>
    </w:tbl>
    <w:p>
      <w:pPr>
        <w:pStyle w:val="BodyText"/>
        <w:keepNext/>
        <w:spacing w:before="240" w:after="80"/>
        <w:pBdr>
          <w:bottom w:val="single" w:sz="6" w:space="1" w:color="B4C6E7"/>
        </w:pBdr>
      </w:pPr>
      <w:r>
        <w:rPr>
          <w:bCs/>
          <w:b/>
          <w:color w:val="1F3864"/>
          <w:sz w:val="25"/>
        </w:rPr>
        <w:t xml:space="preserve">1. Why this notice is issued</w:t>
      </w:r>
    </w:p>
    <w:p>
      <w:pPr>
        <w:pStyle w:val="BodyText"/>
        <w:spacing w:before="0" w:after="120" w:line="269" w:lineRule="auto"/>
        <w:jc w:val="both"/>
      </w:pPr>
      <w:r>
        <w:t xml:space="preserve">1.1 On the basis of the information and records set out below, there is reason to believe that your registration is liable to be cancelled under section 29(2) of the Central Goods and Services Tax Act, 2017 (the Act) on the ground(s) stated in para 2. You are given an opportunity to show cause, with documents, and to be heard, before any decision is taken (proviso to section 29(2)).</w:t>
      </w:r>
    </w:p>
    <w:p>
      <w:pPr>
        <w:pStyle w:val="BodyText"/>
        <w:spacing w:before="0" w:after="120" w:line="269" w:lineRule="auto"/>
        <w:jc w:val="both"/>
      </w:pPr>
      <w:r>
        <w:t xml:space="preserve">1.2 This notice proposes</w:t>
      </w:r>
      <w:r>
        <w:t xml:space="preserve"> </w:t>
      </w:r>
      <w:r>
        <w:rPr>
          <w:bCs/>
          <w:b/>
        </w:rPr>
        <w:t xml:space="preserve">cancellation of registration only</w:t>
      </w:r>
      <w:r>
        <w:t xml:space="preserve">. Any tax, interest or penalty for any period is not decided by this notice and will be dealt with, if at all, in separate proceedings. Cancellation does not affect such liability (section 29(3)).</w:t>
      </w:r>
    </w:p>
    <w:p>
      <w:pPr>
        <w:pStyle w:val="BodyText"/>
        <w:keepNext/>
        <w:spacing w:before="240" w:after="80"/>
        <w:pBdr>
          <w:bottom w:val="single" w:sz="6" w:space="1" w:color="B4C6E7"/>
        </w:pBdr>
      </w:pPr>
      <w:r>
        <w:rPr>
          <w:bCs/>
          <w:b/>
          <w:color w:val="1F3864"/>
          <w:sz w:val="25"/>
        </w:rPr>
        <w:t xml:space="preserve">2. Grounds and facts</w:t>
      </w:r>
    </w:p>
    <w:p>
      <w:pPr>
        <w:pStyle w:val="BlockText"/>
        <w:shd w:val="clear" w:color="auto" w:fill="E7E6E6"/>
      </w:pPr>
      <w:r>
        <w:rPr>
          <w:bCs/>
          <w:b/>
          <w:sz w:val="21"/>
        </w:rPr>
        <w:t xml:space="preserve">Drafting note.</w:t>
      </w:r>
      <w:r>
        <w:rPr>
          <w:sz w:val="21"/>
        </w:rPr>
        <w:t xml:space="preserve"> </w:t>
      </w:r>
      <w:r>
        <w:rPr>
          <w:sz w:val="21"/>
        </w:rPr>
        <w:t xml:space="preserve">Keep only the modules that apply. Number them Ground 1, Ground 2 and so on, in the order used in the table above. Each module must name the clause and give the facts. Never write only</w:t>
      </w:r>
      <w:r>
        <w:rPr>
          <w:sz w:val="21"/>
        </w:rPr>
        <w:t xml:space="preserve"> </w:t>
      </w:r>
      <w:r>
        <w:rPr>
          <w:sz w:val="21"/>
        </w:rPr>
        <w:t xml:space="preserve">“</w:t>
      </w:r>
      <w:r>
        <w:rPr>
          <w:sz w:val="21"/>
        </w:rPr>
        <w:t xml:space="preserve">fraud, wilful misstatement or suppression</w:t>
      </w:r>
      <w:r>
        <w:rPr>
          <w:sz w:val="21"/>
        </w:rPr>
        <w:t xml:space="preserve">”</w:t>
      </w:r>
      <w:r>
        <w:rPr>
          <w:sz w:val="21"/>
        </w:rPr>
        <w:t xml:space="preserve"> </w:t>
      </w:r>
      <w:r>
        <w:rPr>
          <w:sz w:val="21"/>
        </w:rPr>
        <w:t xml:space="preserve">or</w:t>
      </w:r>
      <w:r>
        <w:rPr>
          <w:sz w:val="21"/>
        </w:rPr>
        <w:t xml:space="preserve"> </w:t>
      </w:r>
      <w:r>
        <w:rPr>
          <w:sz w:val="21"/>
        </w:rPr>
        <w:t xml:space="preserve">“</w:t>
      </w:r>
      <w:r>
        <w:rPr>
          <w:sz w:val="21"/>
        </w:rPr>
        <w:t xml:space="preserve">contravention of the Act</w:t>
      </w:r>
      <w:r>
        <w:rPr>
          <w:sz w:val="21"/>
        </w:rPr>
        <w:t xml:space="preserve">”</w:t>
      </w:r>
      <w:r>
        <w:rPr>
          <w:sz w:val="21"/>
        </w:rPr>
        <w:t xml:space="preserve">.</w:t>
      </w:r>
    </w:p>
    <w:p>
      <w:pPr>
        <w:pStyle w:val="FirstParagraph"/>
        <w:spacing w:before="0" w:after="120" w:line="269" w:lineRule="auto"/>
      </w:pPr>
      <w:r>
        <w:rPr>
          <w:bCs/>
          <w:b/>
        </w:rPr>
        <w:t xml:space="preserve">Module G1: no business at the declared place of business (section 29(2)(a) read with rule 21(a))</w:t>
      </w:r>
    </w:p>
    <w:p>
      <w:pPr>
        <w:pStyle w:val="BodyText"/>
        <w:spacing w:before="0" w:after="120" w:line="269" w:lineRule="auto"/>
      </w:pPr>
      <w:r>
        <w:t xml:space="preserve">2.1 The principal place of business declared in your registration is [full address]. [Additional place(s): [ ].]</w:t>
      </w:r>
    </w:p>
    <w:p>
      <w:pPr>
        <w:pStyle w:val="BodyText"/>
        <w:spacing w:before="0" w:after="120" w:line="269" w:lineRule="auto"/>
        <w:jc w:val="both"/>
      </w:pPr>
      <w:r>
        <w:t xml:space="preserve">2.2 On</w:t>
      </w:r>
      <w:r>
        <w:t xml:space="preserve"> </w:t>
      </w:r>
      <w:r>
        <w:rPr>
          <w:bCs/>
          <w:b/>
        </w:rPr>
        <w:t xml:space="preserve">[DD.MM.YYYY]</w:t>
      </w:r>
      <w:r>
        <w:t xml:space="preserve"> </w:t>
      </w:r>
      <w:r>
        <w:t xml:space="preserve">between [HH:MM] and [HH:MM], [name, designation] [and [name, designation]] visited that address. The verification report No. [ ] dated [DD.MM.YYYY], uploaded in FORM GST REG-30 on [DD.MM.YYYY], records that [describe what was found: e.g. the door number leads to a residential house occupied by [named person], who stated that no business in your name is carried on there and that he does not know the proprietor; there was no name board; no stock, records or staff were seen; the registered mobile was [switched off / not answered] at [HH:MM]]. [A second visit on [DD.MM.YYYY] found [ ].] Geo-tagged photographs are enclosed.</w:t>
      </w:r>
    </w:p>
    <w:p>
      <w:pPr>
        <w:pStyle w:val="BodyText"/>
        <w:spacing w:before="0" w:after="120" w:line="269" w:lineRule="auto"/>
        <w:jc w:val="both"/>
      </w:pPr>
      <w:r>
        <w:t xml:space="preserve">2.3 [Other material, if any: e.g. the owner of the premises named in the uploaded lease, [name], stated on [date] that [ ]; the electricity bill uploaded with REG-01 is for consumer number [ ], which the DISCOM website shows in the name of [ ].]</w:t>
      </w:r>
    </w:p>
    <w:p>
      <w:pPr>
        <w:pStyle w:val="BodyText"/>
        <w:spacing w:before="0" w:after="120" w:line="269" w:lineRule="auto"/>
        <w:jc w:val="both"/>
      </w:pPr>
      <w:r>
        <w:t xml:space="preserve">2.4 You therefore appear not to conduct any business from the declared place of business, which makes your registration liable to cancellation under rule 21(a).</w:t>
      </w:r>
    </w:p>
    <w:p>
      <w:pPr>
        <w:pStyle w:val="BodyText"/>
        <w:spacing w:before="0" w:after="120" w:line="269" w:lineRule="auto"/>
        <w:jc w:val="both"/>
      </w:pPr>
      <w:r>
        <w:rPr>
          <w:bCs/>
          <w:b/>
        </w:rPr>
        <w:t xml:space="preserve">Module G2: returns not furnished (section 29(2)(c) read with rule 21(h) or (i); for composition taxpayers, section 29(2)(b))</w:t>
      </w:r>
    </w:p>
    <w:p>
      <w:pPr>
        <w:pStyle w:val="BodyText"/>
        <w:spacing w:before="0" w:after="120" w:line="269" w:lineRule="auto"/>
        <w:jc w:val="both"/>
      </w:pPr>
      <w:r>
        <w:t xml:space="preserve">2.1 You are required to furnish returns under section 39(1) [monthly] / [quarterly under the proviso to section 39(1) (QRMP)] / [annually in FORM GSTR-4 under section 39(2) as a composition taxpayer].</w:t>
      </w:r>
    </w:p>
    <w:p>
      <w:pPr>
        <w:pStyle w:val="BodyText"/>
        <w:spacing w:before="0" w:after="120" w:line="269" w:lineRule="auto"/>
      </w:pPr>
      <w:r>
        <w:t xml:space="preserve">2.2 The common portal shows that you have</w:t>
      </w:r>
      <w:r>
        <w:t xml:space="preserve"> </w:t>
      </w:r>
      <w:r>
        <w:rPr>
          <w:bCs/>
          <w:b/>
        </w:rPr>
        <w:t xml:space="preserve">not furnished</w:t>
      </w:r>
      <w:r>
        <w:t xml:space="preserve"> </w:t>
      </w:r>
      <w:r>
        <w:t xml:space="preserve">the following returns:</w:t>
      </w:r>
    </w:p>
    <w:tbl>
      <w:tblPr>
        <w:tblW w:type="auto" w:w="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818"/>
        <w:gridCol w:w="2000"/>
        <w:gridCol w:w="2000"/>
        <w:gridCol w:w="1818"/>
        <w:gridCol w:w="2000"/>
      </w:tblGrid>
      <w:tr>
        <w:trPr>
          <w:tblHeader w:val="true"/>
          <w:tblHeader/>
        </w:trPr>
        <w:tc>
          <w:tcPr>
            <w:tcW w:type="dxa" w:w="1818"/>
            <w:shd w:val="clear" w:color="auto" w:fill="DCE6F1"/>
          </w:tcPr>
          <w:p>
            <w:pPr>
              <w:pStyle w:val="Compact"/>
              <w:spacing w:before="0" w:after="0" w:line="240" w:lineRule="auto"/>
              <w:jc w:val="left"/>
            </w:pPr>
            <w:r>
              <w:rPr>
                <w:b/>
                <w:color w:val="1F3864"/>
                <w:sz w:val="21"/>
              </w:rPr>
              <w:t xml:space="preserve">No.</w:t>
            </w:r>
          </w:p>
        </w:tc>
        <w:tc>
          <w:tcPr>
            <w:tcW w:type="dxa" w:w="2000"/>
            <w:shd w:val="clear" w:color="auto" w:fill="DCE6F1"/>
          </w:tcPr>
          <w:p>
            <w:pPr>
              <w:pStyle w:val="Compact"/>
              <w:spacing w:before="0" w:after="0" w:line="240" w:lineRule="auto"/>
              <w:jc w:val="left"/>
            </w:pPr>
            <w:r>
              <w:rPr>
                <w:b/>
                <w:color w:val="1F3864"/>
                <w:sz w:val="21"/>
              </w:rPr>
              <w:t xml:space="preserve">Return</w:t>
            </w:r>
          </w:p>
        </w:tc>
        <w:tc>
          <w:tcPr>
            <w:tcW w:type="dxa" w:w="2000"/>
            <w:shd w:val="clear" w:color="auto" w:fill="DCE6F1"/>
          </w:tcPr>
          <w:p>
            <w:pPr>
              <w:pStyle w:val="Compact"/>
              <w:spacing w:before="0" w:after="0" w:line="240" w:lineRule="auto"/>
              <w:jc w:val="left"/>
            </w:pPr>
            <w:r>
              <w:rPr>
                <w:b/>
                <w:color w:val="1F3864"/>
                <w:sz w:val="21"/>
              </w:rPr>
              <w:t xml:space="preserve">Tax period</w:t>
            </w:r>
          </w:p>
        </w:tc>
        <w:tc>
          <w:tcPr>
            <w:tcW w:type="dxa" w:w="1818"/>
            <w:shd w:val="clear" w:color="auto" w:fill="DCE6F1"/>
          </w:tcPr>
          <w:p>
            <w:pPr>
              <w:pStyle w:val="Compact"/>
              <w:spacing w:before="0" w:after="0" w:line="240" w:lineRule="auto"/>
              <w:jc w:val="left"/>
            </w:pPr>
            <w:r>
              <w:rPr>
                <w:b/>
                <w:color w:val="1F3864"/>
                <w:sz w:val="21"/>
              </w:rPr>
              <w:t xml:space="preserve">Due date</w:t>
            </w:r>
          </w:p>
        </w:tc>
        <w:tc>
          <w:tcPr>
            <w:tcW w:type="dxa" w:w="2000"/>
            <w:shd w:val="clear" w:color="auto" w:fill="DCE6F1"/>
          </w:tcPr>
          <w:p>
            <w:pPr>
              <w:pStyle w:val="Compact"/>
              <w:spacing w:before="0" w:after="0" w:line="240" w:lineRule="auto"/>
              <w:jc w:val="left"/>
            </w:pPr>
            <w:r>
              <w:rPr>
                <w:b/>
                <w:color w:val="1F3864"/>
                <w:sz w:val="21"/>
              </w:rPr>
              <w:t xml:space="preserve">Status on [date]</w:t>
            </w:r>
          </w:p>
        </w:tc>
      </w:tr>
      <w:tr>
        <w:tc>
          <w:tcPr>
            <w:tcW w:type="dxa" w:w="1818"/>
          </w:tcPr>
          <w:p>
            <w:pPr>
              <w:pStyle w:val="Compact"/>
              <w:spacing w:before="0" w:after="0" w:line="240" w:lineRule="auto"/>
              <w:jc w:val="left"/>
            </w:pPr>
            <w:r>
              <w:rPr>
                <w:sz w:val="21"/>
              </w:rPr>
              <w:t xml:space="preserve">1</w:t>
            </w:r>
          </w:p>
        </w:tc>
        <w:tc>
          <w:tcPr>
            <w:tcW w:type="dxa" w:w="2000"/>
          </w:tcPr>
          <w:p>
            <w:pPr>
              <w:pStyle w:val="Compact"/>
              <w:spacing w:before="0" w:after="0" w:line="240" w:lineRule="auto"/>
              <w:jc w:val="left"/>
            </w:pPr>
            <w:r>
              <w:rPr>
                <w:sz w:val="21"/>
              </w:rPr>
              <w:t xml:space="preserve">GSTR-3B</w:t>
            </w:r>
          </w:p>
        </w:tc>
        <w:tc>
          <w:tcPr>
            <w:tcW w:type="dxa" w:w="2000"/>
          </w:tcPr>
          <w:p>
            <w:pPr>
              <w:pStyle w:val="Compact"/>
              <w:spacing w:before="0" w:after="0" w:line="240" w:lineRule="auto"/>
              <w:jc w:val="left"/>
            </w:pPr>
            <w:r>
              <w:rPr>
                <w:sz w:val="21"/>
              </w:rPr>
              <w:t xml:space="preserve">[Month YYYY]</w:t>
            </w:r>
          </w:p>
        </w:tc>
        <w:tc>
          <w:tcPr>
            <w:tcW w:type="dxa" w:w="1818"/>
          </w:tcPr>
          <w:p>
            <w:pPr>
              <w:pStyle w:val="Compact"/>
              <w:spacing w:before="0" w:after="0" w:line="240" w:lineRule="auto"/>
              <w:jc w:val="left"/>
            </w:pPr>
            <w:r>
              <w:rPr>
                <w:sz w:val="21"/>
              </w:rPr>
              <w:t xml:space="preserve">[date]</w:t>
            </w:r>
          </w:p>
        </w:tc>
        <w:tc>
          <w:tcPr>
            <w:tcW w:type="dxa" w:w="2000"/>
          </w:tcPr>
          <w:p>
            <w:pPr>
              <w:pStyle w:val="Compact"/>
              <w:spacing w:before="0" w:after="0" w:line="240" w:lineRule="auto"/>
              <w:jc w:val="left"/>
            </w:pPr>
            <w:r>
              <w:rPr>
                <w:sz w:val="21"/>
              </w:rPr>
              <w:t xml:space="preserve">Not filed</w:t>
            </w:r>
          </w:p>
        </w:tc>
      </w:tr>
      <w:tr>
        <w:tc>
          <w:tcPr>
            <w:tcW w:type="dxa" w:w="1818"/>
          </w:tcPr>
          <w:p>
            <w:pPr>
              <w:pStyle w:val="Compact"/>
              <w:spacing w:before="0" w:after="0" w:line="240" w:lineRule="auto"/>
              <w:jc w:val="left"/>
            </w:pPr>
            <w:r>
              <w:rPr>
                <w:sz w:val="21"/>
              </w:rPr>
              <w:t xml:space="preserve">2</w:t>
            </w:r>
          </w:p>
        </w:tc>
        <w:tc>
          <w:tcPr>
            <w:tcW w:type="dxa" w:w="2000"/>
          </w:tcPr>
          <w:p>
            <w:pPr>
              <w:pStyle w:val="Compact"/>
              <w:spacing w:before="0" w:after="0" w:line="240" w:lineRule="auto"/>
              <w:jc w:val="left"/>
            </w:pPr>
            <w:r>
              <w:rPr>
                <w:sz w:val="21"/>
              </w:rPr>
              <w:t xml:space="preserve">GSTR-3B</w:t>
            </w:r>
          </w:p>
        </w:tc>
        <w:tc>
          <w:tcPr>
            <w:tcW w:type="dxa" w:w="2000"/>
          </w:tcPr>
          <w:p>
            <w:pPr>
              <w:pStyle w:val="Compact"/>
              <w:spacing w:before="0" w:after="0" w:line="240" w:lineRule="auto"/>
              <w:jc w:val="left"/>
            </w:pPr>
            <w:r>
              <w:rPr>
                <w:sz w:val="21"/>
              </w:rPr>
              <w:t xml:space="preserve">[Month YYYY]</w:t>
            </w:r>
          </w:p>
        </w:tc>
        <w:tc>
          <w:tcPr>
            <w:tcW w:type="dxa" w:w="1818"/>
          </w:tcPr>
          <w:p>
            <w:pPr>
              <w:pStyle w:val="Compact"/>
              <w:spacing w:before="0" w:after="0" w:line="240" w:lineRule="auto"/>
              <w:jc w:val="left"/>
            </w:pPr>
            <w:r>
              <w:rPr>
                <w:sz w:val="21"/>
              </w:rPr>
              <w:t xml:space="preserve">[date]</w:t>
            </w:r>
          </w:p>
        </w:tc>
        <w:tc>
          <w:tcPr>
            <w:tcW w:type="dxa" w:w="2000"/>
          </w:tcPr>
          <w:p>
            <w:pPr>
              <w:pStyle w:val="Compact"/>
              <w:spacing w:before="0" w:after="0" w:line="240" w:lineRule="auto"/>
              <w:jc w:val="left"/>
            </w:pPr>
            <w:r>
              <w:rPr>
                <w:sz w:val="21"/>
              </w:rPr>
              <w:t xml:space="preserve">Not filed</w:t>
            </w:r>
          </w:p>
        </w:tc>
      </w:tr>
      <w:tr>
        <w:tc>
          <w:tcPr>
            <w:tcW w:type="dxa" w:w="1818"/>
          </w:tcPr>
          <w:p>
            <w:pPr>
              <w:pStyle w:val="Compact"/>
              <w:spacing w:before="0" w:after="0" w:line="240" w:lineRule="auto"/>
              <w:jc w:val="left"/>
            </w:pPr>
            <w:r>
              <w:rPr>
                <w:sz w:val="21"/>
              </w:rPr>
              <w:t xml:space="preserve">[ ]</w:t>
            </w:r>
          </w:p>
        </w:tc>
        <w:tc>
          <w:tcPr>
            <w:tcW w:type="dxa" w:w="2000"/>
          </w:tcPr>
          <w:p>
            <w:pPr>
              <w:pStyle w:val="Compact"/>
              <w:spacing w:before="0" w:after="0" w:line="240" w:lineRule="auto"/>
              <w:jc w:val="left"/>
            </w:pPr>
            <w:r>
              <w:rPr>
                <w:sz w:val="21"/>
              </w:rPr>
              <w:t xml:space="preserve">[ ]</w:t>
            </w:r>
          </w:p>
        </w:tc>
        <w:tc>
          <w:tcPr>
            <w:tcW w:type="dxa" w:w="2000"/>
          </w:tcPr>
          <w:p>
            <w:pPr>
              <w:pStyle w:val="Compact"/>
              <w:spacing w:before="0" w:after="0" w:line="240" w:lineRule="auto"/>
              <w:jc w:val="left"/>
            </w:pPr>
            <w:r>
              <w:rPr>
                <w:sz w:val="21"/>
              </w:rPr>
              <w:t xml:space="preserve">[ ]</w:t>
            </w:r>
          </w:p>
        </w:tc>
        <w:tc>
          <w:tcPr>
            <w:tcW w:type="dxa" w:w="1818"/>
          </w:tcPr>
          <w:p>
            <w:pPr>
              <w:pStyle w:val="Compact"/>
              <w:spacing w:before="0" w:after="0" w:line="240" w:lineRule="auto"/>
              <w:jc w:val="left"/>
            </w:pPr>
            <w:r>
              <w:rPr>
                <w:sz w:val="21"/>
              </w:rPr>
              <w:t xml:space="preserve">[ ]</w:t>
            </w:r>
          </w:p>
        </w:tc>
        <w:tc>
          <w:tcPr>
            <w:tcW w:type="dxa" w:w="2000"/>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2.3 This is a continuous period of</w:t>
      </w:r>
      <w:r>
        <w:t xml:space="preserve"> </w:t>
      </w:r>
      <w:r>
        <w:rPr>
          <w:bCs/>
          <w:b/>
        </w:rPr>
        <w:t xml:space="preserve">[six months (rule 21(h))] / [two tax periods (rule 21(i))] / [the annual return for FY [YYYY-YY], beyond three months from its due date [DD.MM.YYYY] (section 29(2)(b))]</w:t>
      </w:r>
      <w:r>
        <w:t xml:space="preserve">. Returns filed with nil figures have been treated as filed.</w:t>
      </w:r>
    </w:p>
    <w:p>
      <w:pPr>
        <w:pStyle w:val="BodyText"/>
        <w:spacing w:before="0" w:after="120" w:line="269" w:lineRule="auto"/>
        <w:jc w:val="both"/>
      </w:pPr>
      <w:r>
        <w:t xml:space="preserve">2.4</w:t>
      </w:r>
      <w:r>
        <w:t xml:space="preserve"> </w:t>
      </w:r>
      <w:r>
        <w:rPr>
          <w:bCs/>
          <w:b/>
        </w:rPr>
        <w:t xml:space="preserve">If you furnish all the pending returns and pay the tax due with interest and late fee before the date fixed for reply, the proceedings will be dropped by an order in FORM GST REG-20</w:t>
      </w:r>
      <w:r>
        <w:t xml:space="preserve"> </w:t>
      </w:r>
      <w:r>
        <w:t xml:space="preserve">(proviso to rule 22(4)). Please quote the ARNs of the returns and the challan numbers in your reply.</w:t>
      </w:r>
    </w:p>
    <w:p>
      <w:pPr>
        <w:pStyle w:val="BodyText"/>
        <w:spacing w:before="0" w:after="120" w:line="269" w:lineRule="auto"/>
      </w:pPr>
      <w:r>
        <w:rPr>
          <w:bCs/>
          <w:b/>
        </w:rPr>
        <w:t xml:space="preserve">Module G3: invoices or bills issued without supply (section 29(2)(a) read with rule 21(b))</w:t>
      </w:r>
    </w:p>
    <w:p>
      <w:pPr>
        <w:pStyle w:val="BodyText"/>
        <w:spacing w:before="0" w:after="120" w:line="269" w:lineRule="auto"/>
        <w:jc w:val="both"/>
      </w:pPr>
      <w:r>
        <w:t xml:space="preserve">2.1 [Source of the information: e.g. intimation No. [ ] dated [ ] from [DGGI Hyderabad Zonal Unit / State Tax / another Commissionerate], copy enclosed; analysis of e-way bill and GSTR-1 data for [period].]</w:t>
      </w:r>
    </w:p>
    <w:p>
      <w:pPr>
        <w:pStyle w:val="BodyText"/>
        <w:spacing w:before="0" w:after="120" w:line="269" w:lineRule="auto"/>
        <w:jc w:val="both"/>
      </w:pPr>
      <w:r>
        <w:t xml:space="preserve">2.2 For the period [Month YYYY] to [Month YYYY], you declared outward supplies of ₹[ ] in GSTR-1 to [number] recipients. The following material shows that the invoices were issued without any supply of goods or services: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01"/>
        <w:gridCol w:w="961"/>
        <w:gridCol w:w="1121"/>
        <w:gridCol w:w="961"/>
        <w:gridCol w:w="801"/>
        <w:gridCol w:w="4993"/>
      </w:tblGrid>
      <w:tr>
        <w:trPr>
          <w:tblHeader w:val="true"/>
          <w:tblHeader/>
        </w:trPr>
        <w:tc>
          <w:tcPr>
            <w:tcW w:type="dxa" w:w="801"/>
            <w:shd w:val="clear" w:color="auto" w:fill="DCE6F1"/>
          </w:tcPr>
          <w:p>
            <w:pPr>
              <w:pStyle w:val="Compact"/>
              <w:spacing w:before="0" w:after="0" w:line="240" w:lineRule="auto"/>
              <w:jc w:val="left"/>
            </w:pPr>
            <w:r>
              <w:rPr>
                <w:b/>
                <w:color w:val="1F3864"/>
                <w:sz w:val="21"/>
              </w:rPr>
              <w:t xml:space="preserve">No.</w:t>
            </w:r>
          </w:p>
        </w:tc>
        <w:tc>
          <w:tcPr>
            <w:tcW w:type="dxa" w:w="961"/>
            <w:shd w:val="clear" w:color="auto" w:fill="DCE6F1"/>
          </w:tcPr>
          <w:p>
            <w:pPr>
              <w:pStyle w:val="Compact"/>
              <w:spacing w:before="0" w:after="0" w:line="240" w:lineRule="auto"/>
              <w:jc w:val="left"/>
            </w:pPr>
            <w:r>
              <w:rPr>
                <w:b/>
                <w:color w:val="1F3864"/>
                <w:sz w:val="21"/>
              </w:rPr>
              <w:t xml:space="preserve">Invoice No. and date</w:t>
            </w:r>
          </w:p>
        </w:tc>
        <w:tc>
          <w:tcPr>
            <w:tcW w:type="dxa" w:w="1121"/>
            <w:shd w:val="clear" w:color="auto" w:fill="DCE6F1"/>
          </w:tcPr>
          <w:p>
            <w:pPr>
              <w:pStyle w:val="Compact"/>
              <w:spacing w:before="0" w:after="0" w:line="240" w:lineRule="auto"/>
              <w:jc w:val="left"/>
            </w:pPr>
            <w:r>
              <w:rPr>
                <w:b/>
                <w:color w:val="1F3864"/>
                <w:sz w:val="21"/>
              </w:rPr>
              <w:t xml:space="preserve">Recipient GSTIN</w:t>
            </w:r>
          </w:p>
        </w:tc>
        <w:tc>
          <w:tcPr>
            <w:tcW w:type="dxa" w:w="961"/>
            <w:shd w:val="clear" w:color="auto" w:fill="DCE6F1"/>
          </w:tcPr>
          <w:p>
            <w:pPr>
              <w:pStyle w:val="Compact"/>
              <w:spacing w:before="0" w:after="0" w:line="240" w:lineRule="auto"/>
              <w:jc w:val="left"/>
            </w:pPr>
            <w:r>
              <w:rPr>
                <w:b/>
                <w:color w:val="1F3864"/>
                <w:sz w:val="21"/>
              </w:rPr>
              <w:t xml:space="preserve">Taxable value (₹)</w:t>
            </w:r>
          </w:p>
        </w:tc>
        <w:tc>
          <w:tcPr>
            <w:tcW w:type="dxa" w:w="801"/>
            <w:shd w:val="clear" w:color="auto" w:fill="DCE6F1"/>
          </w:tcPr>
          <w:p>
            <w:pPr>
              <w:pStyle w:val="Compact"/>
              <w:spacing w:before="0" w:after="0" w:line="240" w:lineRule="auto"/>
              <w:jc w:val="left"/>
            </w:pPr>
            <w:r>
              <w:rPr>
                <w:b/>
                <w:color w:val="1F3864"/>
                <w:sz w:val="21"/>
              </w:rPr>
              <w:t xml:space="preserve">Tax (₹)</w:t>
            </w:r>
          </w:p>
        </w:tc>
        <w:tc>
          <w:tcPr>
            <w:tcW w:type="dxa" w:w="4993"/>
            <w:shd w:val="clear" w:color="auto" w:fill="DCE6F1"/>
          </w:tcPr>
          <w:p>
            <w:pPr>
              <w:pStyle w:val="Compact"/>
              <w:spacing w:before="0" w:after="0" w:line="240" w:lineRule="auto"/>
              <w:jc w:val="left"/>
            </w:pPr>
            <w:r>
              <w:rPr>
                <w:b/>
                <w:color w:val="1F3864"/>
                <w:sz w:val="21"/>
              </w:rPr>
              <w:t xml:space="preserve">Why no supply is indicated</w:t>
            </w:r>
          </w:p>
        </w:tc>
      </w:tr>
      <w:tr>
        <w:tc>
          <w:tcPr>
            <w:tcW w:type="dxa" w:w="801"/>
          </w:tcPr>
          <w:p>
            <w:pPr>
              <w:pStyle w:val="Compact"/>
              <w:spacing w:before="0" w:after="0" w:line="240" w:lineRule="auto"/>
              <w:jc w:val="left"/>
            </w:pPr>
            <w:r>
              <w:rPr>
                <w:sz w:val="21"/>
              </w:rPr>
              <w:t xml:space="preserve">1</w:t>
            </w:r>
          </w:p>
        </w:tc>
        <w:tc>
          <w:tcPr>
            <w:tcW w:type="dxa" w:w="961"/>
          </w:tcPr>
          <w:p>
            <w:pPr>
              <w:pStyle w:val="Compact"/>
              <w:spacing w:before="0" w:after="0" w:line="240" w:lineRule="auto"/>
              <w:jc w:val="left"/>
            </w:pPr>
            <w:r>
              <w:rPr>
                <w:sz w:val="21"/>
              </w:rPr>
              <w:t xml:space="preserve">[ ]</w:t>
            </w:r>
          </w:p>
        </w:tc>
        <w:tc>
          <w:tcPr>
            <w:tcW w:type="dxa" w:w="1121"/>
          </w:tcPr>
          <w:p>
            <w:pPr>
              <w:pStyle w:val="Compact"/>
              <w:spacing w:before="0" w:after="0" w:line="240" w:lineRule="auto"/>
              <w:jc w:val="left"/>
            </w:pPr>
            <w:r>
              <w:rPr>
                <w:sz w:val="21"/>
              </w:rPr>
              <w:t xml:space="preserve">[ ]</w:t>
            </w:r>
          </w:p>
        </w:tc>
        <w:tc>
          <w:tcPr>
            <w:tcW w:type="dxa" w:w="961"/>
          </w:tcPr>
          <w:p>
            <w:pPr>
              <w:pStyle w:val="Compact"/>
              <w:spacing w:before="0" w:after="0" w:line="240" w:lineRule="auto"/>
              <w:jc w:val="left"/>
            </w:pPr>
            <w:r>
              <w:rPr>
                <w:sz w:val="21"/>
              </w:rPr>
              <w:t xml:space="preserve">[ ]</w:t>
            </w:r>
          </w:p>
        </w:tc>
        <w:tc>
          <w:tcPr>
            <w:tcW w:type="dxa" w:w="801"/>
          </w:tcPr>
          <w:p>
            <w:pPr>
              <w:pStyle w:val="Compact"/>
              <w:spacing w:before="0" w:after="0" w:line="240" w:lineRule="auto"/>
              <w:jc w:val="left"/>
            </w:pPr>
            <w:r>
              <w:rPr>
                <w:sz w:val="21"/>
              </w:rPr>
              <w:t xml:space="preserve">[ ]</w:t>
            </w:r>
          </w:p>
        </w:tc>
        <w:tc>
          <w:tcPr>
            <w:tcW w:type="dxa" w:w="4993"/>
          </w:tcPr>
          <w:p>
            <w:pPr>
              <w:pStyle w:val="Compact"/>
              <w:spacing w:before="0" w:after="0" w:line="240" w:lineRule="auto"/>
              <w:jc w:val="left"/>
            </w:pPr>
            <w:r>
              <w:rPr>
                <w:sz w:val="21"/>
              </w:rPr>
              <w:t xml:space="preserve">[e.g. no e-way bill; vehicle number in e-way bill is a two-wheeler / not found on VAHAN; no inward supply of these goods in your GSTR-2B; no payment received]</w:t>
            </w:r>
          </w:p>
        </w:tc>
      </w:tr>
      <w:tr>
        <w:tc>
          <w:tcPr>
            <w:tcW w:type="dxa" w:w="801"/>
          </w:tcPr>
          <w:p>
            <w:pPr>
              <w:pStyle w:val="Compact"/>
              <w:spacing w:before="0" w:after="0" w:line="240" w:lineRule="auto"/>
              <w:jc w:val="left"/>
            </w:pPr>
            <w:r>
              <w:rPr>
                <w:sz w:val="21"/>
              </w:rPr>
              <w:t xml:space="preserve">[ ]</w:t>
            </w:r>
          </w:p>
        </w:tc>
        <w:tc>
          <w:tcPr>
            <w:tcW w:type="dxa" w:w="961"/>
          </w:tcPr>
          <w:p>
            <w:pPr>
              <w:pStyle w:val="Compact"/>
              <w:spacing w:before="0" w:after="0" w:line="240" w:lineRule="auto"/>
              <w:jc w:val="left"/>
            </w:pPr>
            <w:r>
              <w:rPr>
                <w:sz w:val="21"/>
              </w:rPr>
              <w:t xml:space="preserve">[ ]</w:t>
            </w:r>
          </w:p>
        </w:tc>
        <w:tc>
          <w:tcPr>
            <w:tcW w:type="dxa" w:w="1121"/>
          </w:tcPr>
          <w:p>
            <w:pPr>
              <w:pStyle w:val="Compact"/>
              <w:spacing w:before="0" w:after="0" w:line="240" w:lineRule="auto"/>
              <w:jc w:val="left"/>
            </w:pPr>
            <w:r>
              <w:rPr>
                <w:sz w:val="21"/>
              </w:rPr>
              <w:t xml:space="preserve">[ ]</w:t>
            </w:r>
          </w:p>
        </w:tc>
        <w:tc>
          <w:tcPr>
            <w:tcW w:type="dxa" w:w="961"/>
          </w:tcPr>
          <w:p>
            <w:pPr>
              <w:pStyle w:val="Compact"/>
              <w:spacing w:before="0" w:after="0" w:line="240" w:lineRule="auto"/>
              <w:jc w:val="left"/>
            </w:pPr>
            <w:r>
              <w:rPr>
                <w:sz w:val="21"/>
              </w:rPr>
              <w:t xml:space="preserve">[ ]</w:t>
            </w:r>
          </w:p>
        </w:tc>
        <w:tc>
          <w:tcPr>
            <w:tcW w:type="dxa" w:w="801"/>
          </w:tcPr>
          <w:p>
            <w:pPr>
              <w:pStyle w:val="Compact"/>
              <w:spacing w:before="0" w:after="0" w:line="240" w:lineRule="auto"/>
              <w:jc w:val="left"/>
            </w:pPr>
            <w:r>
              <w:rPr>
                <w:sz w:val="21"/>
              </w:rPr>
              <w:t xml:space="preserve">[ ]</w:t>
            </w:r>
          </w:p>
        </w:tc>
        <w:tc>
          <w:tcPr>
            <w:tcW w:type="dxa" w:w="4993"/>
          </w:tcPr>
          <w:p>
            <w:pPr>
              <w:pStyle w:val="Compact"/>
              <w:spacing w:before="0" w:after="0" w:line="240" w:lineRule="auto"/>
              <w:jc w:val="left"/>
            </w:pPr>
            <w:r>
              <w:rPr>
                <w:sz w:val="21"/>
              </w:rPr>
              <w:t xml:space="preserve">[ ]</w:t>
            </w:r>
          </w:p>
        </w:tc>
      </w:tr>
    </w:tbl>
    <w:p>
      <w:pPr>
        <w:pStyle w:val="BodyText"/>
        <w:spacing w:before="0" w:after="120" w:line="269" w:lineRule="auto"/>
      </w:pPr>
      <w:r>
        <w:t xml:space="preserve">2.3 [Statements recorded: [name, role] on [date] under section 70 stated that [ ]. Copy enclosed.]</w:t>
      </w:r>
    </w:p>
    <w:p>
      <w:pPr>
        <w:pStyle w:val="BodyText"/>
        <w:spacing w:before="0" w:after="120" w:line="269" w:lineRule="auto"/>
        <w:jc w:val="both"/>
      </w:pPr>
      <w:r>
        <w:t xml:space="preserve">2.4 You therefore appear to have issued invoices without supply, in violation of section 31 read with the definition of supply in section 7, making your registration liable to cancellation under rule 21(b).</w:t>
      </w:r>
    </w:p>
    <w:p>
      <w:pPr>
        <w:pStyle w:val="BodyText"/>
        <w:spacing w:before="0" w:after="120" w:line="269" w:lineRule="auto"/>
      </w:pPr>
      <w:r>
        <w:rPr>
          <w:bCs/>
          <w:b/>
        </w:rPr>
        <w:t xml:space="preserve">Module G4: input tax credit availed in violation of section 16 (section 29(2)(a) read with rule 21(e))</w:t>
      </w:r>
    </w:p>
    <w:p>
      <w:pPr>
        <w:pStyle w:val="BodyText"/>
        <w:spacing w:before="0" w:after="120" w:line="269" w:lineRule="auto"/>
        <w:jc w:val="both"/>
      </w:pPr>
      <w:r>
        <w:t xml:space="preserve">2.1 For [Month YYYY] to [Month YYYY], you availed input tax credit of ₹[ ] (IGST ₹[ ], CGST ₹[ ], SGST ₹[ ]) on invoices of the following suppliers: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33"/>
        <w:gridCol w:w="1213"/>
        <w:gridCol w:w="2363"/>
        <w:gridCol w:w="1213"/>
        <w:gridCol w:w="933"/>
        <w:gridCol w:w="2985"/>
      </w:tblGrid>
      <w:tr>
        <w:trPr>
          <w:tblHeader w:val="true"/>
          <w:tblHeader/>
        </w:trPr>
        <w:tc>
          <w:tcPr>
            <w:tcW w:type="dxa" w:w="933"/>
            <w:shd w:val="clear" w:color="auto" w:fill="DCE6F1"/>
          </w:tcPr>
          <w:p>
            <w:pPr>
              <w:pStyle w:val="Compact"/>
              <w:spacing w:before="0" w:after="0" w:line="240" w:lineRule="auto"/>
              <w:jc w:val="left"/>
            </w:pPr>
            <w:r>
              <w:rPr>
                <w:b/>
                <w:color w:val="1F3864"/>
                <w:sz w:val="21"/>
              </w:rPr>
              <w:t xml:space="preserve">No.</w:t>
            </w:r>
          </w:p>
        </w:tc>
        <w:tc>
          <w:tcPr>
            <w:tcW w:type="dxa" w:w="1213"/>
            <w:shd w:val="clear" w:color="auto" w:fill="DCE6F1"/>
          </w:tcPr>
          <w:p>
            <w:pPr>
              <w:pStyle w:val="Compact"/>
              <w:spacing w:before="0" w:after="0" w:line="240" w:lineRule="auto"/>
              <w:jc w:val="left"/>
            </w:pPr>
            <w:r>
              <w:rPr>
                <w:b/>
                <w:color w:val="1F3864"/>
                <w:sz w:val="21"/>
              </w:rPr>
              <w:t xml:space="preserve">Supplier GSTIN</w:t>
            </w:r>
          </w:p>
        </w:tc>
        <w:tc>
          <w:tcPr>
            <w:tcW w:type="dxa" w:w="2363"/>
            <w:shd w:val="clear" w:color="auto" w:fill="DCE6F1"/>
          </w:tcPr>
          <w:p>
            <w:pPr>
              <w:pStyle w:val="Compact"/>
              <w:spacing w:before="0" w:after="0" w:line="240" w:lineRule="auto"/>
              <w:jc w:val="left"/>
            </w:pPr>
            <w:r>
              <w:rPr>
                <w:b/>
                <w:color w:val="1F3864"/>
                <w:sz w:val="21"/>
              </w:rPr>
              <w:t xml:space="preserve">Supplier status</w:t>
            </w:r>
          </w:p>
        </w:tc>
        <w:tc>
          <w:tcPr>
            <w:tcW w:type="dxa" w:w="1213"/>
            <w:shd w:val="clear" w:color="auto" w:fill="DCE6F1"/>
          </w:tcPr>
          <w:p>
            <w:pPr>
              <w:pStyle w:val="Compact"/>
              <w:spacing w:before="0" w:after="0" w:line="240" w:lineRule="auto"/>
              <w:jc w:val="left"/>
            </w:pPr>
            <w:r>
              <w:rPr>
                <w:b/>
                <w:color w:val="1F3864"/>
                <w:sz w:val="21"/>
              </w:rPr>
              <w:t xml:space="preserve">Invoices (number, period)</w:t>
            </w:r>
          </w:p>
        </w:tc>
        <w:tc>
          <w:tcPr>
            <w:tcW w:type="dxa" w:w="933"/>
            <w:shd w:val="clear" w:color="auto" w:fill="DCE6F1"/>
          </w:tcPr>
          <w:p>
            <w:pPr>
              <w:pStyle w:val="Compact"/>
              <w:spacing w:before="0" w:after="0" w:line="240" w:lineRule="auto"/>
              <w:jc w:val="left"/>
            </w:pPr>
            <w:r>
              <w:rPr>
                <w:b/>
                <w:color w:val="1F3864"/>
                <w:sz w:val="21"/>
              </w:rPr>
              <w:t xml:space="preserve">ITC (₹)</w:t>
            </w:r>
          </w:p>
        </w:tc>
        <w:tc>
          <w:tcPr>
            <w:tcW w:type="dxa" w:w="2985"/>
            <w:shd w:val="clear" w:color="auto" w:fill="DCE6F1"/>
          </w:tcPr>
          <w:p>
            <w:pPr>
              <w:pStyle w:val="Compact"/>
              <w:spacing w:before="0" w:after="0" w:line="240" w:lineRule="auto"/>
              <w:jc w:val="left"/>
            </w:pPr>
            <w:r>
              <w:rPr>
                <w:b/>
                <w:color w:val="1F3864"/>
                <w:sz w:val="21"/>
              </w:rPr>
              <w:t xml:space="preserve">Condition of section 16 not met</w:t>
            </w:r>
          </w:p>
        </w:tc>
      </w:tr>
      <w:tr>
        <w:tc>
          <w:tcPr>
            <w:tcW w:type="dxa" w:w="933"/>
          </w:tcPr>
          <w:p>
            <w:pPr>
              <w:pStyle w:val="Compact"/>
              <w:spacing w:before="0" w:after="0" w:line="240" w:lineRule="auto"/>
              <w:jc w:val="left"/>
            </w:pPr>
            <w:r>
              <w:rPr>
                <w:sz w:val="21"/>
              </w:rPr>
              <w:t xml:space="preserve">1</w:t>
            </w:r>
          </w:p>
        </w:tc>
        <w:tc>
          <w:tcPr>
            <w:tcW w:type="dxa" w:w="1213"/>
          </w:tcPr>
          <w:p>
            <w:pPr>
              <w:pStyle w:val="Compact"/>
              <w:spacing w:before="0" w:after="0" w:line="240" w:lineRule="auto"/>
              <w:jc w:val="left"/>
            </w:pPr>
            <w:r>
              <w:rPr>
                <w:sz w:val="21"/>
              </w:rPr>
              <w:t xml:space="preserve">[ ]</w:t>
            </w:r>
          </w:p>
        </w:tc>
        <w:tc>
          <w:tcPr>
            <w:tcW w:type="dxa" w:w="2363"/>
          </w:tcPr>
          <w:p>
            <w:pPr>
              <w:pStyle w:val="Compact"/>
              <w:spacing w:before="0" w:after="0" w:line="240" w:lineRule="auto"/>
              <w:jc w:val="left"/>
            </w:pPr>
            <w:r>
              <w:rPr>
                <w:sz w:val="21"/>
              </w:rPr>
              <w:t xml:space="preserve">[cancelled from [date] as non-existent by order dated [ ]]</w:t>
            </w:r>
          </w:p>
        </w:tc>
        <w:tc>
          <w:tcPr>
            <w:tcW w:type="dxa" w:w="1213"/>
          </w:tcPr>
          <w:p>
            <w:pPr>
              <w:pStyle w:val="Compact"/>
              <w:spacing w:before="0" w:after="0" w:line="240" w:lineRule="auto"/>
              <w:jc w:val="left"/>
            </w:pPr>
            <w:r>
              <w:rPr>
                <w:sz w:val="21"/>
              </w:rPr>
              <w:t xml:space="preserve">[ ]</w:t>
            </w:r>
          </w:p>
        </w:tc>
        <w:tc>
          <w:tcPr>
            <w:tcW w:type="dxa" w:w="933"/>
          </w:tcPr>
          <w:p>
            <w:pPr>
              <w:pStyle w:val="Compact"/>
              <w:spacing w:before="0" w:after="0" w:line="240" w:lineRule="auto"/>
              <w:jc w:val="left"/>
            </w:pPr>
            <w:r>
              <w:rPr>
                <w:sz w:val="21"/>
              </w:rPr>
              <w:t xml:space="preserve">[ ]</w:t>
            </w:r>
          </w:p>
        </w:tc>
        <w:tc>
          <w:tcPr>
            <w:tcW w:type="dxa" w:w="2985"/>
          </w:tcPr>
          <w:p>
            <w:pPr>
              <w:pStyle w:val="Compact"/>
              <w:spacing w:before="0" w:after="0" w:line="240" w:lineRule="auto"/>
              <w:jc w:val="left"/>
            </w:pPr>
            <w:r>
              <w:rPr>
                <w:sz w:val="21"/>
              </w:rPr>
              <w:t xml:space="preserve">[section 16(2)(b): no goods or services received, because [ ]]</w:t>
            </w:r>
          </w:p>
        </w:tc>
      </w:tr>
      <w:tr>
        <w:tc>
          <w:tcPr>
            <w:tcW w:type="dxa" w:w="933"/>
          </w:tcPr>
          <w:p>
            <w:pPr>
              <w:pStyle w:val="Compact"/>
              <w:spacing w:before="0" w:after="0" w:line="240" w:lineRule="auto"/>
              <w:jc w:val="left"/>
            </w:pPr>
            <w:r>
              <w:rPr>
                <w:sz w:val="21"/>
              </w:rPr>
              <w:t xml:space="preserve">[ ]</w:t>
            </w:r>
          </w:p>
        </w:tc>
        <w:tc>
          <w:tcPr>
            <w:tcW w:type="dxa" w:w="1213"/>
          </w:tcPr>
          <w:p>
            <w:pPr>
              <w:pStyle w:val="Compact"/>
              <w:spacing w:before="0" w:after="0" w:line="240" w:lineRule="auto"/>
              <w:jc w:val="left"/>
            </w:pPr>
            <w:r>
              <w:rPr>
                <w:sz w:val="21"/>
              </w:rPr>
              <w:t xml:space="preserve">[ ]</w:t>
            </w:r>
          </w:p>
        </w:tc>
        <w:tc>
          <w:tcPr>
            <w:tcW w:type="dxa" w:w="2363"/>
          </w:tcPr>
          <w:p>
            <w:pPr>
              <w:pStyle w:val="Compact"/>
              <w:spacing w:before="0" w:after="0" w:line="240" w:lineRule="auto"/>
              <w:jc w:val="left"/>
            </w:pPr>
            <w:r>
              <w:rPr>
                <w:sz w:val="21"/>
              </w:rPr>
              <w:t xml:space="preserve">[ ]</w:t>
            </w:r>
          </w:p>
        </w:tc>
        <w:tc>
          <w:tcPr>
            <w:tcW w:type="dxa" w:w="1213"/>
          </w:tcPr>
          <w:p>
            <w:pPr>
              <w:pStyle w:val="Compact"/>
              <w:spacing w:before="0" w:after="0" w:line="240" w:lineRule="auto"/>
              <w:jc w:val="left"/>
            </w:pPr>
            <w:r>
              <w:rPr>
                <w:sz w:val="21"/>
              </w:rPr>
              <w:t xml:space="preserve">[ ]</w:t>
            </w:r>
          </w:p>
        </w:tc>
        <w:tc>
          <w:tcPr>
            <w:tcW w:type="dxa" w:w="933"/>
          </w:tcPr>
          <w:p>
            <w:pPr>
              <w:pStyle w:val="Compact"/>
              <w:spacing w:before="0" w:after="0" w:line="240" w:lineRule="auto"/>
              <w:jc w:val="left"/>
            </w:pPr>
            <w:r>
              <w:rPr>
                <w:sz w:val="21"/>
              </w:rPr>
              <w:t xml:space="preserve">[ ]</w:t>
            </w:r>
          </w:p>
        </w:tc>
        <w:tc>
          <w:tcPr>
            <w:tcW w:type="dxa" w:w="2985"/>
          </w:tcPr>
          <w:p>
            <w:pPr>
              <w:pStyle w:val="Compact"/>
              <w:spacing w:before="0" w:after="0" w:line="240" w:lineRule="auto"/>
              <w:jc w:val="left"/>
            </w:pPr>
            <w:r>
              <w:rPr>
                <w:sz w:val="21"/>
              </w:rPr>
              <w:t xml:space="preserve">[ ]</w:t>
            </w:r>
          </w:p>
        </w:tc>
      </w:tr>
    </w:tbl>
    <w:p>
      <w:pPr>
        <w:pStyle w:val="BodyText"/>
        <w:spacing w:before="0" w:after="120" w:line="269" w:lineRule="auto"/>
      </w:pPr>
      <w:r>
        <w:t xml:space="preserve">2.2 [Evidence: [ ]. Copies enclosed.]</w:t>
      </w:r>
    </w:p>
    <w:p>
      <w:pPr>
        <w:pStyle w:val="BodyText"/>
        <w:spacing w:before="0" w:after="120" w:line="269" w:lineRule="auto"/>
        <w:jc w:val="both"/>
      </w:pPr>
      <w:r>
        <w:t xml:space="preserve">2.3 You therefore appear to have availed input tax credit in violation of section 16, making your registration liable to cancellation under rule 21(e).</w:t>
      </w:r>
    </w:p>
    <w:p>
      <w:pPr>
        <w:pStyle w:val="BlockText"/>
        <w:shd w:val="clear" w:color="auto" w:fill="E7E6E6"/>
      </w:pPr>
      <w:r>
        <w:rPr>
          <w:bCs/>
          <w:b/>
          <w:sz w:val="21"/>
        </w:rPr>
        <w:t xml:space="preserve">Drafting note (G4).</w:t>
      </w:r>
      <w:r>
        <w:rPr>
          <w:sz w:val="21"/>
        </w:rPr>
        <w:t xml:space="preserve"> </w:t>
      </w:r>
      <w:r>
        <w:rPr>
          <w:sz w:val="21"/>
        </w:rPr>
        <w:t xml:space="preserve">Recovery of the ineligible credit is for section 73, 74 or 74A proceedings. This notice decides only the registration. If the credit is in the ledger and revenue is at risk, consider blocking under rule 86A separately.</w:t>
      </w:r>
    </w:p>
    <w:p>
      <w:pPr>
        <w:pStyle w:val="FirstParagraph"/>
        <w:spacing w:before="0" w:after="120" w:line="269" w:lineRule="auto"/>
      </w:pPr>
      <w:r>
        <w:rPr>
          <w:bCs/>
          <w:b/>
        </w:rPr>
        <w:t xml:space="preserve">Module G5: outward supplies in GSTR-1 exceed those in GSTR-3B (section 29(2)(a) read with rule 21(f))</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797"/>
        <w:gridCol w:w="2287"/>
        <w:gridCol w:w="1960"/>
        <w:gridCol w:w="1797"/>
        <w:gridCol w:w="1797"/>
      </w:tblGrid>
      <w:tr>
        <w:trPr>
          <w:tblHeader w:val="true"/>
          <w:tblHeader/>
        </w:trPr>
        <w:tc>
          <w:tcPr>
            <w:tcW w:type="dxa" w:w="1797"/>
            <w:shd w:val="clear" w:color="auto" w:fill="DCE6F1"/>
          </w:tcPr>
          <w:p>
            <w:pPr>
              <w:pStyle w:val="Compact"/>
              <w:spacing w:before="0" w:after="0" w:line="240" w:lineRule="auto"/>
              <w:jc w:val="left"/>
            </w:pPr>
            <w:r>
              <w:rPr>
                <w:b/>
                <w:color w:val="1F3864"/>
                <w:sz w:val="21"/>
              </w:rPr>
              <w:t xml:space="preserve">Tax period</w:t>
            </w:r>
          </w:p>
        </w:tc>
        <w:tc>
          <w:tcPr>
            <w:tcW w:type="dxa" w:w="2287"/>
            <w:shd w:val="clear" w:color="auto" w:fill="DCE6F1"/>
          </w:tcPr>
          <w:p>
            <w:pPr>
              <w:pStyle w:val="Compact"/>
              <w:spacing w:before="0" w:after="0" w:line="240" w:lineRule="auto"/>
              <w:jc w:val="left"/>
            </w:pPr>
            <w:r>
              <w:rPr>
                <w:b/>
                <w:color w:val="1F3864"/>
                <w:sz w:val="21"/>
              </w:rPr>
              <w:t xml:space="preserve">Outward supplies in GSTR-1/1A (₹)</w:t>
            </w:r>
          </w:p>
        </w:tc>
        <w:tc>
          <w:tcPr>
            <w:tcW w:type="dxa" w:w="1960"/>
            <w:shd w:val="clear" w:color="auto" w:fill="DCE6F1"/>
          </w:tcPr>
          <w:p>
            <w:pPr>
              <w:pStyle w:val="Compact"/>
              <w:spacing w:before="0" w:after="0" w:line="240" w:lineRule="auto"/>
              <w:jc w:val="left"/>
            </w:pPr>
            <w:r>
              <w:rPr>
                <w:b/>
                <w:color w:val="1F3864"/>
                <w:sz w:val="21"/>
              </w:rPr>
              <w:t xml:space="preserve">In GSTR-3B (₹)</w:t>
            </w:r>
          </w:p>
        </w:tc>
        <w:tc>
          <w:tcPr>
            <w:tcW w:type="dxa" w:w="1797"/>
            <w:shd w:val="clear" w:color="auto" w:fill="DCE6F1"/>
          </w:tcPr>
          <w:p>
            <w:pPr>
              <w:pStyle w:val="Compact"/>
              <w:spacing w:before="0" w:after="0" w:line="240" w:lineRule="auto"/>
              <w:jc w:val="left"/>
            </w:pPr>
            <w:r>
              <w:rPr>
                <w:b/>
                <w:color w:val="1F3864"/>
                <w:sz w:val="21"/>
              </w:rPr>
              <w:t xml:space="preserve">Excess (₹)</w:t>
            </w:r>
          </w:p>
        </w:tc>
        <w:tc>
          <w:tcPr>
            <w:tcW w:type="dxa" w:w="1797"/>
            <w:shd w:val="clear" w:color="auto" w:fill="DCE6F1"/>
          </w:tcPr>
          <w:p>
            <w:pPr>
              <w:pStyle w:val="Compact"/>
              <w:spacing w:before="0" w:after="0" w:line="240" w:lineRule="auto"/>
              <w:jc w:val="left"/>
            </w:pPr>
            <w:r>
              <w:rPr>
                <w:b/>
                <w:color w:val="1F3864"/>
                <w:sz w:val="21"/>
              </w:rPr>
              <w:t xml:space="preserve">Tax on excess (₹)</w:t>
            </w:r>
          </w:p>
        </w:tc>
      </w:tr>
      <w:tr>
        <w:tc>
          <w:tcPr>
            <w:tcW w:type="dxa" w:w="1797"/>
          </w:tcPr>
          <w:p>
            <w:pPr>
              <w:pStyle w:val="Compact"/>
              <w:spacing w:before="0" w:after="0" w:line="240" w:lineRule="auto"/>
              <w:jc w:val="left"/>
            </w:pPr>
            <w:r>
              <w:rPr>
                <w:sz w:val="21"/>
              </w:rPr>
              <w:t xml:space="preserve">[Month YYYY]</w:t>
            </w:r>
          </w:p>
        </w:tc>
        <w:tc>
          <w:tcPr>
            <w:tcW w:type="dxa" w:w="2287"/>
          </w:tcPr>
          <w:p>
            <w:pPr>
              <w:pStyle w:val="Compact"/>
              <w:spacing w:before="0" w:after="0" w:line="240" w:lineRule="auto"/>
              <w:jc w:val="left"/>
            </w:pPr>
            <w:r>
              <w:rPr>
                <w:sz w:val="21"/>
              </w:rPr>
              <w:t xml:space="preserve">[ ]</w:t>
            </w:r>
          </w:p>
        </w:tc>
        <w:tc>
          <w:tcPr>
            <w:tcW w:type="dxa" w:w="1960"/>
          </w:tcPr>
          <w:p>
            <w:pPr>
              <w:pStyle w:val="Compact"/>
              <w:spacing w:before="0" w:after="0" w:line="240" w:lineRule="auto"/>
              <w:jc w:val="left"/>
            </w:pPr>
            <w:r>
              <w:rPr>
                <w:sz w:val="21"/>
              </w:rPr>
              <w:t xml:space="preserve">[ ]</w:t>
            </w:r>
          </w:p>
        </w:tc>
        <w:tc>
          <w:tcPr>
            <w:tcW w:type="dxa" w:w="1797"/>
          </w:tcPr>
          <w:p>
            <w:pPr>
              <w:pStyle w:val="Compact"/>
              <w:spacing w:before="0" w:after="0" w:line="240" w:lineRule="auto"/>
              <w:jc w:val="left"/>
            </w:pPr>
            <w:r>
              <w:rPr>
                <w:sz w:val="21"/>
              </w:rPr>
              <w:t xml:space="preserve">[ ]</w:t>
            </w:r>
          </w:p>
        </w:tc>
        <w:tc>
          <w:tcPr>
            <w:tcW w:type="dxa" w:w="1797"/>
          </w:tcPr>
          <w:p>
            <w:pPr>
              <w:pStyle w:val="Compact"/>
              <w:spacing w:before="0" w:after="0" w:line="240" w:lineRule="auto"/>
              <w:jc w:val="left"/>
            </w:pPr>
            <w:r>
              <w:rPr>
                <w:sz w:val="21"/>
              </w:rPr>
              <w:t xml:space="preserve">[ ]</w:t>
            </w:r>
          </w:p>
        </w:tc>
      </w:tr>
      <w:tr>
        <w:tc>
          <w:tcPr>
            <w:tcW w:type="dxa" w:w="1797"/>
            <w:shd w:val="clear" w:color="auto" w:fill="F2F2F2"/>
          </w:tcPr>
          <w:p>
            <w:pPr>
              <w:pStyle w:val="Compact"/>
              <w:spacing w:before="0" w:after="0" w:line="240" w:lineRule="auto"/>
              <w:jc w:val="left"/>
            </w:pPr>
            <w:r>
              <w:rPr>
                <w:sz w:val="21"/>
              </w:rPr>
              <w:t xml:space="preserve">Total</w:t>
            </w:r>
          </w:p>
        </w:tc>
        <w:tc>
          <w:tcPr>
            <w:tcW w:type="dxa" w:w="2287"/>
            <w:shd w:val="clear" w:color="auto" w:fill="F2F2F2"/>
          </w:tcPr>
          <w:p>
            <w:pPr>
              <w:pStyle w:val="Compact"/>
              <w:spacing w:before="0" w:after="0" w:line="240" w:lineRule="auto"/>
            </w:pPr>
          </w:p>
        </w:tc>
        <w:tc>
          <w:tcPr>
            <w:tcW w:type="dxa" w:w="1960"/>
            <w:shd w:val="clear" w:color="auto" w:fill="F2F2F2"/>
          </w:tcPr>
          <w:p>
            <w:pPr>
              <w:pStyle w:val="Compact"/>
              <w:spacing w:before="0" w:after="0" w:line="240" w:lineRule="auto"/>
            </w:pPr>
          </w:p>
        </w:tc>
        <w:tc>
          <w:tcPr>
            <w:tcW w:type="dxa" w:w="1797"/>
            <w:shd w:val="clear" w:color="auto" w:fill="F2F2F2"/>
          </w:tcPr>
          <w:p>
            <w:pPr>
              <w:pStyle w:val="Compact"/>
              <w:spacing w:before="0" w:after="0" w:line="240" w:lineRule="auto"/>
              <w:jc w:val="left"/>
            </w:pPr>
            <w:r>
              <w:rPr>
                <w:sz w:val="21"/>
              </w:rPr>
              <w:t xml:space="preserve">[ ]</w:t>
            </w:r>
          </w:p>
        </w:tc>
        <w:tc>
          <w:tcPr>
            <w:tcW w:type="dxa" w:w="1797"/>
            <w:shd w:val="clear" w:color="auto" w:fill="F2F2F2"/>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The details of outward supplies furnished in GSTR-1 for the periods above exceed those declared in your valid returns under section 39, which makes your registration liable to cancellation under rule 21(f).</w:t>
      </w:r>
    </w:p>
    <w:p>
      <w:pPr>
        <w:pStyle w:val="BodyText"/>
        <w:spacing w:before="0" w:after="120" w:line="269" w:lineRule="auto"/>
      </w:pPr>
      <w:r>
        <w:rPr>
          <w:bCs/>
          <w:b/>
        </w:rPr>
        <w:t xml:space="preserve">Module G6: bank account details not furnished (section 29(2)(a) read with rule 21(d))</w:t>
      </w:r>
    </w:p>
    <w:p>
      <w:pPr>
        <w:pStyle w:val="BodyText"/>
        <w:spacing w:before="0" w:after="120" w:line="269" w:lineRule="auto"/>
        <w:jc w:val="both"/>
      </w:pPr>
      <w:r>
        <w:t xml:space="preserve">Registration was granted on [DD.MM.YYYY]. Rule 10A required you to furnish bank account details within thirty days, that is by [DD.MM.YYYY], or before filing GSTR-1 / IFF, whichever is earlier. As on [DD.MM.YYYY] [no bank account is furnished] / [the account furnished, ending [ ], does not match the bank’s records]. Your registration is therefore liable to cancellation under rule 21(d).</w:t>
      </w:r>
      <w:r>
        <w:t xml:space="preserve"> </w:t>
      </w:r>
      <w:r>
        <w:rPr>
          <w:bCs/>
          <w:b/>
        </w:rPr>
        <w:t xml:space="preserve">If you furnish valid bank details on the portal before the reply date, the proceedings will be dropped.</w:t>
      </w:r>
    </w:p>
    <w:p>
      <w:pPr>
        <w:pStyle w:val="BodyText"/>
        <w:spacing w:before="0" w:after="120" w:line="269" w:lineRule="auto"/>
      </w:pPr>
      <w:r>
        <w:rPr>
          <w:bCs/>
          <w:b/>
        </w:rPr>
        <w:t xml:space="preserve">Module G7: rule 86B violated (section 29(2)(a) read with rule 21(g))</w:t>
      </w:r>
    </w:p>
    <w:p>
      <w:pPr>
        <w:pStyle w:val="BodyText"/>
        <w:spacing w:before="0" w:after="120" w:line="269" w:lineRule="auto"/>
        <w:jc w:val="both"/>
      </w:pPr>
      <w:r>
        <w:t xml:space="preserve">For [Month YYYY], the value of taxable supply other than exempt and zero-rated supplies was ₹[ ] (above ₹50 lakh). You discharged ₹[ ] of the output tax liability of ₹[ ] in cash, which is less than one per cent. None of the exceptions in the proviso to rule 86B applies because [ ]. Your registration is therefore liable to cancellation under rule 21(g).</w:t>
      </w:r>
    </w:p>
    <w:p>
      <w:pPr>
        <w:pStyle w:val="BodyText"/>
        <w:spacing w:before="0" w:after="120" w:line="269" w:lineRule="auto"/>
      </w:pPr>
      <w:r>
        <w:rPr>
          <w:bCs/>
          <w:b/>
        </w:rPr>
        <w:t xml:space="preserve">Module G8: voluntary registrant has not commenced business within six months (section 29(2)(d))</w:t>
      </w:r>
    </w:p>
    <w:p>
      <w:pPr>
        <w:pStyle w:val="BodyText"/>
        <w:spacing w:before="0" w:after="120" w:line="269" w:lineRule="auto"/>
        <w:jc w:val="both"/>
      </w:pPr>
      <w:r>
        <w:t xml:space="preserve">You took registration voluntarily under section 25(3) with effect from [DD.MM.YYYY]. Six months ended on [DD.MM.YYYY]. Your returns for [months] show no outward or inward supplies, and [verification report dated [ ] found no business]. Your registration is therefore liable to cancellation under section 29(2)(d).</w:t>
      </w:r>
    </w:p>
    <w:p>
      <w:pPr>
        <w:pStyle w:val="BodyText"/>
        <w:spacing w:before="0" w:after="120" w:line="269" w:lineRule="auto"/>
      </w:pPr>
      <w:r>
        <w:rPr>
          <w:bCs/>
          <w:b/>
        </w:rPr>
        <w:t xml:space="preserve">Module G9: registration obtained by fraud, wilful misstatement or suppression of facts (section 29(2)(e))</w:t>
      </w:r>
    </w:p>
    <w:p>
      <w:pPr>
        <w:pStyle w:val="BodyText"/>
        <w:spacing w:before="0" w:after="120" w:line="269" w:lineRule="auto"/>
        <w:jc w:val="both"/>
      </w:pPr>
      <w:r>
        <w:t xml:space="preserve">2.1 In your application in FORM GST REG-01 (ARN [ ] dated [DD.MM.YYYY]) you [declared / uploaded] [state exactly what: e.g. a rent agreement dated [ ] with [name] as lessor for the premises at [ ]; the photograph and Aadhaar of [name] as proprietor].</w:t>
      </w:r>
    </w:p>
    <w:p>
      <w:pPr>
        <w:pStyle w:val="BodyText"/>
        <w:spacing w:before="0" w:after="120" w:line="269" w:lineRule="auto"/>
        <w:jc w:val="both"/>
      </w:pPr>
      <w:r>
        <w:t xml:space="preserve">2.2 That [declaration / document] is false because [state the facts and the evidence: e.g. [name], the stated lessor, stated on [date] that he never executed the agreement and the signature is not his; the Sub-Registrar’s records show no such registered lease; the proprietor [name] stated on [date] that his documents were taken by [ ] for a loan and he did not apply for GST registration].</w:t>
      </w:r>
    </w:p>
    <w:p>
      <w:pPr>
        <w:pStyle w:val="BodyText"/>
        <w:spacing w:before="0" w:after="120" w:line="269" w:lineRule="auto"/>
        <w:jc w:val="both"/>
      </w:pPr>
      <w:r>
        <w:t xml:space="preserve">2.3 Registration was granted on the basis of that [declaration / document]. It therefore appears to have been obtained by [fraud / wilful misstatement / suppression of facts], as the case may be, within section 29(2)(e).</w:t>
      </w:r>
    </w:p>
    <w:p>
      <w:pPr>
        <w:pStyle w:val="BlockText"/>
        <w:shd w:val="clear" w:color="auto" w:fill="E7E6E6"/>
      </w:pPr>
      <w:r>
        <w:rPr>
          <w:bCs/>
          <w:b/>
          <w:sz w:val="21"/>
        </w:rPr>
        <w:t xml:space="preserve">Drafting note (G9).</w:t>
      </w:r>
      <w:r>
        <w:rPr>
          <w:sz w:val="21"/>
        </w:rPr>
        <w:t xml:space="preserve"> </w:t>
      </w:r>
      <w:r>
        <w:rPr>
          <w:sz w:val="21"/>
        </w:rPr>
        <w:t xml:space="preserve">State which of the three it is and why.</w:t>
      </w:r>
      <w:r>
        <w:rPr>
          <w:sz w:val="21"/>
        </w:rPr>
        <w:t xml:space="preserve"> </w:t>
      </w:r>
      <w:r>
        <w:rPr>
          <w:sz w:val="21"/>
        </w:rPr>
        <w:t xml:space="preserve">“</w:t>
      </w:r>
      <w:r>
        <w:rPr>
          <w:sz w:val="21"/>
        </w:rPr>
        <w:t xml:space="preserve">Fraud or wilful misstatement or suppression</w:t>
      </w:r>
      <w:r>
        <w:rPr>
          <w:sz w:val="21"/>
        </w:rPr>
        <w:t xml:space="preserve">”</w:t>
      </w:r>
      <w:r>
        <w:rPr>
          <w:sz w:val="21"/>
        </w:rPr>
        <w:t xml:space="preserve"> </w:t>
      </w:r>
      <w:r>
        <w:rPr>
          <w:sz w:val="21"/>
        </w:rPr>
        <w:t xml:space="preserve">in the alternative, without facts, is what the Telangana High Court quashed in</w:t>
      </w:r>
      <w:r>
        <w:rPr>
          <w:sz w:val="21"/>
        </w:rPr>
        <w:t xml:space="preserve"> </w:t>
      </w:r>
      <w:r>
        <w:rPr>
          <w:iCs/>
          <w:i/>
          <w:sz w:val="21"/>
        </w:rPr>
        <w:t xml:space="preserve">Rayees Metals</w:t>
      </w:r>
      <w:r>
        <w:rPr>
          <w:sz w:val="21"/>
        </w:rPr>
        <w:t xml:space="preserve">.</w:t>
      </w:r>
    </w:p>
    <w:p>
      <w:pPr>
        <w:pStyle w:val="FirstParagraph"/>
        <w:keepNext/>
        <w:spacing w:before="240" w:after="80"/>
        <w:pBdr>
          <w:bottom w:val="single" w:sz="6" w:space="1" w:color="B4C6E7"/>
        </w:pBdr>
      </w:pPr>
      <w:r>
        <w:rPr>
          <w:bCs/>
          <w:b/>
          <w:color w:val="1F3864"/>
          <w:sz w:val="25"/>
        </w:rPr>
        <w:t xml:space="preserve">3. Your reply</w:t>
      </w:r>
    </w:p>
    <w:p>
      <w:pPr>
        <w:pStyle w:val="BodyText"/>
        <w:spacing w:before="0" w:after="120" w:line="269" w:lineRule="auto"/>
        <w:jc w:val="both"/>
      </w:pPr>
      <w:r>
        <w:t xml:space="preserve">3.1 Please reply in FORM GST REG-18 on the common portal by</w:t>
      </w:r>
      <w:r>
        <w:t xml:space="preserve"> </w:t>
      </w:r>
      <w:r>
        <w:rPr>
          <w:bCs/>
          <w:b/>
        </w:rPr>
        <w:t xml:space="preserve">[DD.MM.YYYY]</w:t>
      </w:r>
      <w:r>
        <w:t xml:space="preserve">, answering each ground separately, with any documents you rely on. In particular you may produce:</w:t>
      </w:r>
      <w:r>
        <w:t xml:space="preserve"> </w:t>
      </w:r>
      <w:r>
        <w:t xml:space="preserve">-</w:t>
      </w:r>
      <w:r>
        <w:t xml:space="preserve"> </w:t>
      </w:r>
      <w:r>
        <w:rPr>
          <w:bCs/>
          <w:b/>
        </w:rPr>
        <w:t xml:space="preserve">[G1]</w:t>
      </w:r>
      <w:r>
        <w:t xml:space="preserve"> </w:t>
      </w:r>
      <w:r>
        <w:t xml:space="preserve">proof that business is carried on at the declared address: lease or ownership document, recent electricity bill, purchase and sale invoices, photographs, stock records;</w:t>
      </w:r>
      <w:r>
        <w:t xml:space="preserve"> </w:t>
      </w:r>
      <w:r>
        <w:t xml:space="preserve">-</w:t>
      </w:r>
      <w:r>
        <w:t xml:space="preserve"> </w:t>
      </w:r>
      <w:r>
        <w:rPr>
          <w:bCs/>
          <w:b/>
        </w:rPr>
        <w:t xml:space="preserve">[G2]</w:t>
      </w:r>
      <w:r>
        <w:t xml:space="preserve"> </w:t>
      </w:r>
      <w:r>
        <w:t xml:space="preserve">ARNs of the returns and challans;</w:t>
      </w:r>
      <w:r>
        <w:t xml:space="preserve"> </w:t>
      </w:r>
      <w:r>
        <w:t xml:space="preserve">-</w:t>
      </w:r>
      <w:r>
        <w:t xml:space="preserve"> </w:t>
      </w:r>
      <w:r>
        <w:rPr>
          <w:bCs/>
          <w:b/>
        </w:rPr>
        <w:t xml:space="preserve">[G3 / G4]</w:t>
      </w:r>
      <w:r>
        <w:t xml:space="preserve"> </w:t>
      </w:r>
      <w:r>
        <w:t xml:space="preserve">e-way bills, transport documents, payment proof, stock registers, and the documents showing receipt and onward supply of the goods;</w:t>
      </w:r>
      <w:r>
        <w:t xml:space="preserve"> </w:t>
      </w:r>
      <w:r>
        <w:t xml:space="preserve">-</w:t>
      </w:r>
      <w:r>
        <w:t xml:space="preserve"> </w:t>
      </w:r>
      <w:r>
        <w:rPr>
          <w:bCs/>
          <w:b/>
        </w:rPr>
        <w:t xml:space="preserve">[G9]</w:t>
      </w:r>
      <w:r>
        <w:t xml:space="preserve"> </w:t>
      </w:r>
      <w:r>
        <w:t xml:space="preserve">[ ].</w:t>
      </w:r>
    </w:p>
    <w:p>
      <w:pPr>
        <w:pStyle w:val="BodyText"/>
        <w:spacing w:before="0" w:after="120" w:line="269" w:lineRule="auto"/>
        <w:jc w:val="both"/>
      </w:pPr>
      <w:r>
        <w:t xml:space="preserve">3.2 You may also appear for the personal hearing on</w:t>
      </w:r>
      <w:r>
        <w:t xml:space="preserve"> </w:t>
      </w:r>
      <w:r>
        <w:rPr>
          <w:bCs/>
          <w:b/>
        </w:rPr>
        <w:t xml:space="preserve">[DD.MM.YYYY] at [HH:MM]</w:t>
      </w:r>
      <w:r>
        <w:t xml:space="preserve">, in person or through an authorised representative under section 116. If you need another date, write before that date giving reasons; one adjournment will be considered.</w:t>
      </w:r>
    </w:p>
    <w:p>
      <w:pPr>
        <w:pStyle w:val="BodyText"/>
        <w:spacing w:before="0" w:after="120" w:line="269" w:lineRule="auto"/>
      </w:pPr>
      <w:r>
        <w:t xml:space="preserve">3.3 If you do not reply or appear, the matter will be decided on the record available, on merits.</w:t>
      </w:r>
    </w:p>
    <w:p>
      <w:pPr>
        <w:pStyle w:val="BodyText"/>
        <w:keepNext/>
        <w:spacing w:before="240" w:after="80"/>
        <w:pBdr>
          <w:bottom w:val="single" w:sz="6" w:space="1" w:color="B4C6E7"/>
        </w:pBdr>
      </w:pPr>
      <w:r>
        <w:rPr>
          <w:bCs/>
          <w:b/>
          <w:color w:val="1F3864"/>
          <w:sz w:val="25"/>
        </w:rPr>
        <w:t xml:space="preserve">4. Date from which cancellation is proposed</w:t>
      </w:r>
    </w:p>
    <w:p>
      <w:pPr>
        <w:pStyle w:val="BodyText"/>
        <w:spacing w:before="0" w:after="120" w:line="269" w:lineRule="auto"/>
      </w:pPr>
      <w:r>
        <w:t xml:space="preserve">4.1</w:t>
      </w:r>
      <w:r>
        <w:t xml:space="preserve"> </w:t>
      </w:r>
      <w:r>
        <w:rPr>
          <w:bCs/>
          <w:b/>
        </w:rPr>
        <w:t xml:space="preserve">[Prospective]</w:t>
      </w:r>
      <w:r>
        <w:t xml:space="preserve"> </w:t>
      </w:r>
      <w:r>
        <w:t xml:space="preserve">Cancellation is proposed with effect from the date of the order.</w:t>
      </w:r>
    </w:p>
    <w:p>
      <w:pPr>
        <w:pStyle w:val="BodyText"/>
        <w:spacing w:before="0" w:after="120" w:line="269" w:lineRule="auto"/>
        <w:jc w:val="both"/>
      </w:pPr>
      <w:r>
        <w:t xml:space="preserve">4.2</w:t>
      </w:r>
      <w:r>
        <w:t xml:space="preserve"> </w:t>
      </w:r>
      <w:r>
        <w:rPr>
          <w:bCs/>
          <w:b/>
        </w:rPr>
        <w:t xml:space="preserve">[Retrospective]</w:t>
      </w:r>
      <w:r>
        <w:t xml:space="preserve"> </w:t>
      </w:r>
      <w:r>
        <w:t xml:space="preserve">Cancellation is proposed with effect from</w:t>
      </w:r>
      <w:r>
        <w:t xml:space="preserve"> </w:t>
      </w:r>
      <w:r>
        <w:rPr>
          <w:bCs/>
          <w:b/>
        </w:rPr>
        <w:t xml:space="preserve">[DD.MM.YYYY]</w:t>
      </w:r>
      <w:r>
        <w:t xml:space="preserve">, for these reasons:</w:t>
      </w:r>
      <w:r>
        <w:t xml:space="preserve"> </w:t>
      </w:r>
      <w:r>
        <w:t xml:space="preserve">- [G1: the business was found not to exist at the declared place on [DD.MM.YYYY]; [the owner of the premises states that the premises were vacated on [DD.MM.YYYY]].]</w:t>
      </w:r>
      <w:r>
        <w:t xml:space="preserve"> </w:t>
      </w:r>
      <w:r>
        <w:t xml:space="preserve">- [G3: the first invoice found to be issued without supply is dated [DD.MM.YYYY].]</w:t>
      </w:r>
      <w:r>
        <w:t xml:space="preserve"> </w:t>
      </w:r>
      <w:r>
        <w:t xml:space="preserve">- [G9: the registration itself was obtained by the false [document] from its effective date [DD.MM.YYYY].]</w:t>
      </w:r>
      <w:r>
        <w:t xml:space="preserve"> </w:t>
      </w:r>
      <w:r>
        <w:t xml:space="preserve">- [G2: the returns have not been filed from [Month YYYY].]</w:t>
      </w:r>
    </w:p>
    <w:p>
      <w:pPr>
        <w:pStyle w:val="BodyText"/>
        <w:spacing w:before="0" w:after="120" w:line="269" w:lineRule="auto"/>
        <w:jc w:val="both"/>
      </w:pPr>
      <w:r>
        <w:t xml:space="preserve">4.3 A retrospective cancellation affects the input tax credit of the persons to whom you issued invoices after that date. You may comment on the proposed date and on that effect in your reply.</w:t>
      </w:r>
    </w:p>
    <w:p>
      <w:pPr>
        <w:pStyle w:val="BlockText"/>
        <w:shd w:val="clear" w:color="auto" w:fill="E7E6E6"/>
      </w:pPr>
      <w:r>
        <w:rPr>
          <w:bCs/>
          <w:b/>
          <w:sz w:val="21"/>
        </w:rPr>
        <w:t xml:space="preserve">Drafting note (para 4).</w:t>
      </w:r>
      <w:r>
        <w:rPr>
          <w:sz w:val="21"/>
        </w:rPr>
        <w:t xml:space="preserve"> </w:t>
      </w:r>
      <w:r>
        <w:rPr>
          <w:sz w:val="21"/>
        </w:rPr>
        <w:t xml:space="preserve">A retrospective date must be proposed here and tied to an objective fact. Without it, courts move the date to the date of this notice or of suspension (Delhi HC</w:t>
      </w:r>
      <w:r>
        <w:rPr>
          <w:sz w:val="21"/>
        </w:rPr>
        <w:t xml:space="preserve"> </w:t>
      </w:r>
      <w:r>
        <w:rPr>
          <w:iCs/>
          <w:i/>
          <w:sz w:val="21"/>
        </w:rPr>
        <w:t xml:space="preserve">Aditya Polymers</w:t>
      </w:r>
      <w:r>
        <w:rPr>
          <w:sz w:val="21"/>
        </w:rPr>
        <w:t xml:space="preserve">,</w:t>
      </w:r>
      <w:r>
        <w:rPr>
          <w:sz w:val="21"/>
        </w:rPr>
        <w:t xml:space="preserve"> </w:t>
      </w:r>
      <w:r>
        <w:rPr>
          <w:iCs/>
          <w:i/>
          <w:sz w:val="21"/>
        </w:rPr>
        <w:t xml:space="preserve">Subhana Fashion</w:t>
      </w:r>
      <w:r>
        <w:rPr>
          <w:sz w:val="21"/>
        </w:rPr>
        <w:t xml:space="preserve">,</w:t>
      </w:r>
      <w:r>
        <w:rPr>
          <w:sz w:val="21"/>
        </w:rPr>
        <w:t xml:space="preserve"> </w:t>
      </w:r>
      <w:r>
        <w:rPr>
          <w:iCs/>
          <w:i/>
          <w:sz w:val="21"/>
        </w:rPr>
        <w:t xml:space="preserve">Ridhi Sidhi</w:t>
      </w:r>
      <w:r>
        <w:rPr>
          <w:sz w:val="21"/>
        </w:rPr>
        <w:t xml:space="preserve">; checklist ground R-F1). For G2 alone, a back date is rarely justified; prefer the date of the order or of this notice.</w:t>
      </w:r>
    </w:p>
    <w:p>
      <w:pPr>
        <w:pStyle w:val="FirstParagraph"/>
        <w:keepNext/>
        <w:spacing w:before="240" w:after="80"/>
        <w:pBdr>
          <w:bottom w:val="single" w:sz="6" w:space="1" w:color="B4C6E7"/>
        </w:pBdr>
      </w:pPr>
      <w:r>
        <w:rPr>
          <w:bCs/>
          <w:b/>
          <w:color w:val="1F3864"/>
          <w:sz w:val="25"/>
        </w:rPr>
        <w:t xml:space="preserve">5. Suspension of registration</w:t>
      </w:r>
    </w:p>
    <w:p>
      <w:pPr>
        <w:pStyle w:val="BodyText"/>
        <w:spacing w:before="0" w:after="120" w:line="269" w:lineRule="auto"/>
        <w:jc w:val="both"/>
      </w:pPr>
      <w:r>
        <w:t xml:space="preserve">5.1</w:t>
      </w:r>
      <w:r>
        <w:t xml:space="preserve"> </w:t>
      </w:r>
      <w:r>
        <w:rPr>
          <w:bCs/>
          <w:b/>
        </w:rPr>
        <w:t xml:space="preserve">[If suspending]</w:t>
      </w:r>
      <w:r>
        <w:t xml:space="preserve"> </w:t>
      </w:r>
      <w:r>
        <w:t xml:space="preserve">Pending the decision on this notice, your registration is</w:t>
      </w:r>
      <w:r>
        <w:t xml:space="preserve"> </w:t>
      </w:r>
      <w:r>
        <w:rPr>
          <w:bCs/>
          <w:b/>
        </w:rPr>
        <w:t xml:space="preserve">suspended with effect from [DD.MM.YYYY]</w:t>
      </w:r>
      <w:r>
        <w:t xml:space="preserve"> </w:t>
      </w:r>
      <w:r>
        <w:t xml:space="preserve">under rule 21A(2), read with the second proviso to section 29(2). The reason for suspending now, rather than waiting for the decision, is that [state it: e.g. the declared place of business does not exist and invoices continue to be issued on the GSTIN, passing input tax credit of about ₹[ ] a month to recipients; continuing the registration pending decision would let further credit be passed on].</w:t>
      </w:r>
    </w:p>
    <w:p>
      <w:pPr>
        <w:pStyle w:val="BodyText"/>
        <w:spacing w:before="0" w:after="120" w:line="269" w:lineRule="auto"/>
        <w:jc w:val="both"/>
      </w:pPr>
      <w:r>
        <w:t xml:space="preserve">5.2 During suspension you shall not make any taxable supply, that is, you shall not issue a tax invoice or charge tax; you need not furnish returns under section 39; and no refund under section 54 will be granted (rule 21A(3) and (3A)). The suspension ends when these proceedings are completed (rule 21A(4)). It may be revoked earlier if your reply is found satisfactory.</w:t>
      </w:r>
    </w:p>
    <w:p>
      <w:pPr>
        <w:pStyle w:val="BodyText"/>
        <w:spacing w:before="0" w:after="120" w:line="269" w:lineRule="auto"/>
      </w:pPr>
      <w:r>
        <w:t xml:space="preserve">5.3</w:t>
      </w:r>
      <w:r>
        <w:t xml:space="preserve"> </w:t>
      </w:r>
      <w:r>
        <w:rPr>
          <w:bCs/>
          <w:b/>
        </w:rPr>
        <w:t xml:space="preserve">[If not suspending]</w:t>
      </w:r>
      <w:r>
        <w:t xml:space="preserve"> </w:t>
      </w:r>
      <w:r>
        <w:t xml:space="preserve">Your registration is not suspended by this notice.</w:t>
      </w:r>
    </w:p>
    <w:p>
      <w:pPr>
        <w:pStyle w:val="BlockText"/>
        <w:shd w:val="clear" w:color="auto" w:fill="E7E6E6"/>
      </w:pPr>
      <w:r>
        <w:rPr>
          <w:bCs/>
          <w:b/>
          <w:sz w:val="21"/>
        </w:rPr>
        <w:t xml:space="preserve">Drafting note (para 5).</w:t>
      </w:r>
      <w:r>
        <w:rPr>
          <w:sz w:val="21"/>
        </w:rPr>
        <w:t xml:space="preserve"> </w:t>
      </w:r>
      <w:r>
        <w:rPr>
          <w:sz w:val="21"/>
        </w:rPr>
        <w:t xml:space="preserve">Courts quash routine suspensions (Madras HC</w:t>
      </w:r>
      <w:r>
        <w:rPr>
          <w:sz w:val="21"/>
        </w:rPr>
        <w:t xml:space="preserve"> </w:t>
      </w:r>
      <w:r>
        <w:rPr>
          <w:iCs/>
          <w:i/>
          <w:sz w:val="21"/>
        </w:rPr>
        <w:t xml:space="preserve">El Tech Power System</w:t>
      </w:r>
      <w:r>
        <w:rPr>
          <w:sz w:val="21"/>
        </w:rPr>
        <w:t xml:space="preserve">, 2026; Telangana HC</w:t>
      </w:r>
      <w:r>
        <w:rPr>
          <w:sz w:val="21"/>
        </w:rPr>
        <w:t xml:space="preserve"> </w:t>
      </w:r>
      <w:r>
        <w:rPr>
          <w:iCs/>
          <w:i/>
          <w:sz w:val="21"/>
        </w:rPr>
        <w:t xml:space="preserve">Rayees Metals</w:t>
      </w:r>
      <w:r>
        <w:rPr>
          <w:sz w:val="21"/>
        </w:rPr>
        <w:t xml:space="preserve">). Do not suspend for G2, G5 or G6 alone unless revenue risk is shown. Record the fuller reasons on file in template R6 and fill the date in the note at the foot of the portal REG-17.</w:t>
      </w:r>
    </w:p>
    <w:p>
      <w:pPr>
        <w:pStyle w:val="FirstParagraph"/>
        <w:keepNext/>
        <w:spacing w:before="240" w:after="80"/>
        <w:pBdr>
          <w:bottom w:val="single" w:sz="6" w:space="1" w:color="B4C6E7"/>
        </w:pBdr>
      </w:pPr>
      <w:r>
        <w:rPr>
          <w:bCs/>
          <w:b/>
          <w:color w:val="1F3864"/>
          <w:sz w:val="25"/>
        </w:rPr>
        <w:t xml:space="preserve">6. Information</w:t>
      </w:r>
    </w:p>
    <w:p>
      <w:pPr>
        <w:pStyle w:val="BodyText"/>
        <w:spacing w:before="0" w:after="120" w:line="269" w:lineRule="auto"/>
        <w:jc w:val="both"/>
      </w:pPr>
      <w:r>
        <w:t xml:space="preserve">6.1 Cancellation, if ordered, will not affect your liability to pay tax and other dues for any period before cancellation, whether determined before or after it (section 29(3)). You would have to pay the amount under section 29(5) on stock and capital goods and furnish a final return in FORM GSTR-10 within three months (section 45).</w:t>
      </w:r>
    </w:p>
    <w:p>
      <w:pPr>
        <w:pStyle w:val="BodyText"/>
        <w:keepNext/>
        <w:spacing w:before="240" w:after="80"/>
        <w:pBdr>
          <w:bottom w:val="single" w:sz="6" w:space="1" w:color="B4C6E7"/>
        </w:pBdr>
      </w:pPr>
      <w:r>
        <w:rPr>
          <w:bCs/>
          <w:b/>
          <w:color w:val="1F3864"/>
          <w:sz w:val="25"/>
        </w:rPr>
        <w:t xml:space="preserve">7. Relied-upon documents (enclosed)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563"/>
        <w:gridCol w:w="6512"/>
        <w:gridCol w:w="1563"/>
      </w:tblGrid>
      <w:tr>
        <w:trPr>
          <w:tblHeader w:val="true"/>
          <w:tblHeader/>
        </w:trPr>
        <w:tc>
          <w:tcPr>
            <w:tcW w:type="dxa" w:w="1563"/>
            <w:shd w:val="clear" w:color="auto" w:fill="DCE6F1"/>
          </w:tcPr>
          <w:p>
            <w:pPr>
              <w:pStyle w:val="Compact"/>
              <w:spacing w:before="0" w:after="0" w:line="240" w:lineRule="auto"/>
              <w:jc w:val="left"/>
            </w:pPr>
            <w:r>
              <w:rPr>
                <w:b/>
                <w:color w:val="1F3864"/>
                <w:sz w:val="21"/>
              </w:rPr>
              <w:t xml:space="preserve">No.</w:t>
            </w:r>
          </w:p>
        </w:tc>
        <w:tc>
          <w:tcPr>
            <w:tcW w:type="dxa" w:w="6512"/>
            <w:shd w:val="clear" w:color="auto" w:fill="DCE6F1"/>
          </w:tcPr>
          <w:p>
            <w:pPr>
              <w:pStyle w:val="Compact"/>
              <w:spacing w:before="0" w:after="0" w:line="240" w:lineRule="auto"/>
              <w:jc w:val="left"/>
            </w:pPr>
            <w:r>
              <w:rPr>
                <w:b/>
                <w:color w:val="1F3864"/>
                <w:sz w:val="21"/>
              </w:rPr>
              <w:t xml:space="preserve">Document</w:t>
            </w:r>
          </w:p>
        </w:tc>
        <w:tc>
          <w:tcPr>
            <w:tcW w:type="dxa" w:w="1563"/>
            <w:shd w:val="clear" w:color="auto" w:fill="DCE6F1"/>
          </w:tcPr>
          <w:p>
            <w:pPr>
              <w:pStyle w:val="Compact"/>
              <w:spacing w:before="0" w:after="0" w:line="240" w:lineRule="auto"/>
              <w:jc w:val="left"/>
            </w:pPr>
            <w:r>
              <w:rPr>
                <w:b/>
                <w:color w:val="1F3864"/>
                <w:sz w:val="21"/>
              </w:rPr>
              <w:t xml:space="preserve">Pages</w:t>
            </w:r>
          </w:p>
        </w:tc>
      </w:tr>
      <w:tr>
        <w:tc>
          <w:tcPr>
            <w:tcW w:type="dxa" w:w="1563"/>
          </w:tcPr>
          <w:p>
            <w:pPr>
              <w:pStyle w:val="Compact"/>
              <w:spacing w:before="0" w:after="0" w:line="240" w:lineRule="auto"/>
              <w:jc w:val="left"/>
            </w:pPr>
            <w:r>
              <w:rPr>
                <w:sz w:val="21"/>
              </w:rPr>
              <w:t xml:space="preserve">1</w:t>
            </w:r>
          </w:p>
        </w:tc>
        <w:tc>
          <w:tcPr>
            <w:tcW w:type="dxa" w:w="6512"/>
          </w:tcPr>
          <w:p>
            <w:pPr>
              <w:pStyle w:val="Compact"/>
              <w:spacing w:before="0" w:after="0" w:line="240" w:lineRule="auto"/>
              <w:jc w:val="left"/>
            </w:pPr>
            <w:r>
              <w:rPr>
                <w:sz w:val="21"/>
              </w:rPr>
              <w:t xml:space="preserve">[Verification report No. [ ] dated [ ] with [ ] photographs (REG-30)]</w:t>
            </w:r>
          </w:p>
        </w:tc>
        <w:tc>
          <w:tcPr>
            <w:tcW w:type="dxa" w:w="1563"/>
          </w:tcPr>
          <w:p>
            <w:pPr>
              <w:pStyle w:val="Compact"/>
              <w:spacing w:before="0" w:after="0" w:line="240" w:lineRule="auto"/>
              <w:jc w:val="left"/>
            </w:pPr>
            <w:r>
              <w:rPr>
                <w:sz w:val="21"/>
              </w:rPr>
              <w:t xml:space="preserve">[ ]</w:t>
            </w:r>
          </w:p>
        </w:tc>
      </w:tr>
      <w:tr>
        <w:tc>
          <w:tcPr>
            <w:tcW w:type="dxa" w:w="1563"/>
          </w:tcPr>
          <w:p>
            <w:pPr>
              <w:pStyle w:val="Compact"/>
              <w:spacing w:before="0" w:after="0" w:line="240" w:lineRule="auto"/>
              <w:jc w:val="left"/>
            </w:pPr>
            <w:r>
              <w:rPr>
                <w:sz w:val="21"/>
              </w:rPr>
              <w:t xml:space="preserve">2</w:t>
            </w:r>
          </w:p>
        </w:tc>
        <w:tc>
          <w:tcPr>
            <w:tcW w:type="dxa" w:w="6512"/>
          </w:tcPr>
          <w:p>
            <w:pPr>
              <w:pStyle w:val="Compact"/>
              <w:spacing w:before="0" w:after="0" w:line="240" w:lineRule="auto"/>
              <w:jc w:val="left"/>
            </w:pPr>
            <w:r>
              <w:rPr>
                <w:sz w:val="21"/>
              </w:rPr>
              <w:t xml:space="preserve">[Return filing status from the portal as on [date]]</w:t>
            </w:r>
          </w:p>
        </w:tc>
        <w:tc>
          <w:tcPr>
            <w:tcW w:type="dxa" w:w="1563"/>
          </w:tcPr>
          <w:p>
            <w:pPr>
              <w:pStyle w:val="Compact"/>
              <w:spacing w:before="0" w:after="0" w:line="240" w:lineRule="auto"/>
              <w:jc w:val="left"/>
            </w:pPr>
            <w:r>
              <w:rPr>
                <w:sz w:val="21"/>
              </w:rPr>
              <w:t xml:space="preserve">[ ]</w:t>
            </w:r>
          </w:p>
        </w:tc>
      </w:tr>
      <w:tr>
        <w:tc>
          <w:tcPr>
            <w:tcW w:type="dxa" w:w="1563"/>
          </w:tcPr>
          <w:p>
            <w:pPr>
              <w:pStyle w:val="Compact"/>
              <w:spacing w:before="0" w:after="0" w:line="240" w:lineRule="auto"/>
              <w:jc w:val="left"/>
            </w:pPr>
            <w:r>
              <w:rPr>
                <w:sz w:val="21"/>
              </w:rPr>
              <w:t xml:space="preserve">3</w:t>
            </w:r>
          </w:p>
        </w:tc>
        <w:tc>
          <w:tcPr>
            <w:tcW w:type="dxa" w:w="6512"/>
          </w:tcPr>
          <w:p>
            <w:pPr>
              <w:pStyle w:val="Compact"/>
              <w:spacing w:before="0" w:after="0" w:line="240" w:lineRule="auto"/>
              <w:jc w:val="left"/>
            </w:pPr>
            <w:r>
              <w:rPr>
                <w:sz w:val="21"/>
              </w:rPr>
              <w:t xml:space="preserve">[Intimation No. [ ] dated [ ] from [ ]]</w:t>
            </w:r>
          </w:p>
        </w:tc>
        <w:tc>
          <w:tcPr>
            <w:tcW w:type="dxa" w:w="1563"/>
          </w:tcPr>
          <w:p>
            <w:pPr>
              <w:pStyle w:val="Compact"/>
              <w:spacing w:before="0" w:after="0" w:line="240" w:lineRule="auto"/>
              <w:jc w:val="left"/>
            </w:pPr>
            <w:r>
              <w:rPr>
                <w:sz w:val="21"/>
              </w:rPr>
              <w:t xml:space="preserve">[ ]</w:t>
            </w:r>
          </w:p>
        </w:tc>
      </w:tr>
      <w:tr>
        <w:tc>
          <w:tcPr>
            <w:tcW w:type="dxa" w:w="1563"/>
          </w:tcPr>
          <w:p>
            <w:pPr>
              <w:pStyle w:val="Compact"/>
              <w:spacing w:before="0" w:after="0" w:line="240" w:lineRule="auto"/>
              <w:jc w:val="left"/>
            </w:pPr>
            <w:r>
              <w:rPr>
                <w:sz w:val="21"/>
              </w:rPr>
              <w:t xml:space="preserve">4</w:t>
            </w:r>
          </w:p>
        </w:tc>
        <w:tc>
          <w:tcPr>
            <w:tcW w:type="dxa" w:w="6512"/>
          </w:tcPr>
          <w:p>
            <w:pPr>
              <w:pStyle w:val="Compact"/>
              <w:spacing w:before="0" w:after="0" w:line="240" w:lineRule="auto"/>
              <w:jc w:val="left"/>
            </w:pPr>
            <w:r>
              <w:rPr>
                <w:sz w:val="21"/>
              </w:rPr>
              <w:t xml:space="preserve">[Statement of [name] dated [ ]]</w:t>
            </w:r>
          </w:p>
        </w:tc>
        <w:tc>
          <w:tcPr>
            <w:tcW w:type="dxa" w:w="1563"/>
          </w:tcPr>
          <w:p>
            <w:pPr>
              <w:pStyle w:val="Compact"/>
              <w:spacing w:before="0" w:after="0" w:line="240" w:lineRule="auto"/>
              <w:jc w:val="left"/>
            </w:pPr>
            <w:r>
              <w:rPr>
                <w:sz w:val="21"/>
              </w:rPr>
              <w:t xml:space="preserve">[ ]</w:t>
            </w:r>
          </w:p>
        </w:tc>
      </w:tr>
      <w:tr>
        <w:tc>
          <w:tcPr>
            <w:tcW w:type="dxa" w:w="1563"/>
          </w:tcPr>
          <w:p>
            <w:pPr>
              <w:pStyle w:val="Compact"/>
              <w:spacing w:before="0" w:after="0" w:line="240" w:lineRule="auto"/>
              <w:jc w:val="left"/>
            </w:pPr>
            <w:r>
              <w:rPr>
                <w:sz w:val="21"/>
              </w:rPr>
              <w:t xml:space="preserve">5</w:t>
            </w:r>
          </w:p>
        </w:tc>
        <w:tc>
          <w:tcPr>
            <w:tcW w:type="dxa" w:w="6512"/>
          </w:tcPr>
          <w:p>
            <w:pPr>
              <w:pStyle w:val="Compact"/>
              <w:spacing w:before="0" w:after="0" w:line="240" w:lineRule="auto"/>
              <w:jc w:val="left"/>
            </w:pPr>
            <w:r>
              <w:rPr>
                <w:sz w:val="21"/>
              </w:rPr>
              <w:t xml:space="preserve">[E-way bill / GSTR-1 / GSTR-2B extract for [period]]</w:t>
            </w:r>
          </w:p>
        </w:tc>
        <w:tc>
          <w:tcPr>
            <w:tcW w:type="dxa" w:w="1563"/>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You may inspect any other record of this office relevant to this notice on any working day before the reply date, by prior appointment.</w:t>
      </w:r>
    </w:p>
    <w:p>
      <w:pPr>
        <w:pStyle w:val="BodyText"/>
        <w:keepLines/>
        <w:spacing w:before="480" w:after="120" w:line="269" w:lineRule="auto"/>
        <w:jc w:val="right"/>
      </w:pPr>
      <w:r>
        <w:rPr>
          <w:bCs/>
          <w:b/>
        </w:rPr>
        <w:t xml:space="preserve">(Signature)</w:t>
      </w:r>
      <w:r>
        <w:br/>
      </w:r>
      <w:r>
        <w:rPr>
          <w:bCs/>
          <w:b/>
        </w:rPr>
        <w:t xml:space="preserve">([Name of the Superintendent])</w:t>
      </w:r>
      <w:r>
        <w:br/>
      </w:r>
      <w:r>
        <w:t xml:space="preserve">Superintendent of Central Tax, [ ] Range</w:t>
      </w:r>
      <w:r>
        <w:br/>
      </w:r>
      <w:r>
        <w:t xml:space="preserve">Sangareddy CGST Division, Medchal CGST Commissionerate</w:t>
      </w:r>
      <w:r>
        <w:br/>
      </w:r>
      <w:r>
        <w:t xml:space="preserve">(digitally signed)</w:t>
      </w:r>
    </w:p>
    <w:p>
      <w:pPr>
        <w:pStyle w:val="BodyText"/>
        <w:spacing w:before="0" w:after="120" w:line="269" w:lineRule="auto"/>
      </w:pPr>
      <w:r>
        <w:t xml:space="preserve">To,</w:t>
      </w:r>
      <w:r>
        <w:br/>
      </w:r>
      <w:r>
        <w:t xml:space="preserve">[Legal name], GSTIN [ ], [address] (through the common portal, and by e-mail to [registered e-mail])</w:t>
      </w:r>
    </w:p>
    <w:p>
      <w:pPr>
        <w:pStyle w:val="BodyText"/>
        <w:spacing w:before="0" w:after="120" w:line="269" w:lineRule="auto"/>
      </w:pPr>
      <w:r>
        <w:t xml:space="preserve">Copy to: Guard file.</w:t>
      </w:r>
    </w:p>
    <w:p>
      <w:pPr>
        <w:pStyle w:val="BlockText"/>
        <w:shd w:val="clear" w:color="auto" w:fill="E7E6E6"/>
      </w:pPr>
      <w:r>
        <w:rPr>
          <w:bCs/>
          <w:b/>
          <w:sz w:val="21"/>
        </w:rPr>
        <w:t xml:space="preserve">Drafting note: final check.</w:t>
      </w:r>
      <w:r>
        <w:rPr>
          <w:sz w:val="21"/>
        </w:rPr>
        <w:t xml:space="preserve"> </w:t>
      </w:r>
      <w:r>
        <w:rPr>
          <w:sz w:val="21"/>
        </w:rPr>
        <w:t xml:space="preserve">(1) Each ground names the clause and gives facts, periods and documents. (2) The table at the top, the modules and the portal REG-17 summary show the same grounds. (3) Any retrospective date is proposed in para 4 with its reason. (4) Suspension, if any, has a stated reason in para 5 and the date matches the portal. (5) Reply date is seven working days from service; hearing date and time are filled. (6) Every document in para 7 is enclosed. (7) Signed by the Range Superintendent. (8) No square bracket, unused module or drafting note remains.</w:t>
      </w:r>
    </w:p>
    <w:p>
      <w:pPr>
        <w:pStyle w:val="BlockText"/>
        <w:shd w:val="clear" w:color="auto" w:fill="E7E6E6"/>
        <w:spacing w:before="360"/>
      </w:pPr>
      <w:r>
        <w:rPr>
          <w:bCs/>
          <w:b/>
          <w:sz w:val="21"/>
        </w:rPr>
        <w:t xml:space="preserve">How to use this template.</w:t>
      </w:r>
      <w:r>
        <w:rPr>
          <w:sz w:val="21"/>
        </w:rPr>
        <w:t xml:space="preserve"> </w:t>
      </w:r>
      <w:r>
        <w:rPr>
          <w:sz w:val="21"/>
        </w:rPr>
        <w:t xml:space="preserve">The portal REG-17 has only a few lines for reasons. Put a one-line summary of each ground there (</w:t>
      </w:r>
      <w:r>
        <w:rPr>
          <w:sz w:val="21"/>
        </w:rPr>
        <w:t xml:space="preserve">“</w:t>
      </w:r>
      <w:r>
        <w:rPr>
          <w:sz w:val="21"/>
        </w:rPr>
        <w:t xml:space="preserve">Ground 1: rule 21(a), no business at the declared place on verification dated [ ]; see annexed notice</w:t>
      </w:r>
      <w:r>
        <w:rPr>
          <w:sz w:val="21"/>
        </w:rPr>
        <w:t xml:space="preserve">”</w:t>
      </w:r>
      <w:r>
        <w:rPr>
          <w:sz w:val="21"/>
        </w:rPr>
        <w:t xml:space="preserve">) and attach</w:t>
      </w:r>
      <w:r>
        <w:rPr>
          <w:sz w:val="21"/>
        </w:rPr>
        <w:t xml:space="preserve"> </w:t>
      </w:r>
      <w:r>
        <w:rPr>
          <w:bCs/>
          <w:b/>
          <w:sz w:val="21"/>
        </w:rPr>
        <w:t xml:space="preserve">this notice</w:t>
      </w:r>
      <w:r>
        <w:rPr>
          <w:sz w:val="21"/>
        </w:rPr>
        <w:t xml:space="preserve">, signed, as the</w:t>
      </w:r>
      <w:r>
        <w:rPr>
          <w:sz w:val="21"/>
        </w:rPr>
        <w:t xml:space="preserve"> </w:t>
      </w:r>
      <w:r>
        <w:rPr>
          <w:sz w:val="21"/>
        </w:rPr>
        <w:t xml:space="preserve">“</w:t>
      </w:r>
      <w:r>
        <w:rPr>
          <w:sz w:val="21"/>
        </w:rPr>
        <w:t xml:space="preserve">supportive document</w:t>
      </w:r>
      <w:r>
        <w:rPr>
          <w:sz w:val="21"/>
        </w:rPr>
        <w:t xml:space="preserve">”</w:t>
      </w:r>
      <w:r>
        <w:rPr>
          <w:sz w:val="21"/>
        </w:rPr>
        <w:t xml:space="preserve"> </w:t>
      </w:r>
      <w:r>
        <w:rPr>
          <w:sz w:val="21"/>
        </w:rPr>
        <w:t xml:space="preserve">(line inserted in REG-17 by Notification No. 26/2022-CT). The Telangana High Court sets aside REG-17s that only repeat the words of section 29(2) or rule 21 (</w:t>
      </w:r>
      <w:r>
        <w:rPr>
          <w:iCs/>
          <w:i/>
          <w:sz w:val="21"/>
        </w:rPr>
        <w:t xml:space="preserve">Rayees Metals</w:t>
      </w:r>
      <w:r>
        <w:rPr>
          <w:sz w:val="21"/>
        </w:rPr>
        <w:t xml:space="preserve">, W.P. 17400/2024;</w:t>
      </w:r>
      <w:r>
        <w:rPr>
          <w:sz w:val="21"/>
        </w:rPr>
        <w:t xml:space="preserve"> </w:t>
      </w:r>
      <w:r>
        <w:rPr>
          <w:iCs/>
          <w:i/>
          <w:sz w:val="21"/>
        </w:rPr>
        <w:t xml:space="preserve">A1 Adil Traders</w:t>
      </w:r>
      <w:r>
        <w:rPr>
          <w:sz w:val="21"/>
        </w:rPr>
        <w:t xml:space="preserve">, W.P. 4539/2025), and orders that cancel on a ground not in the notice (</w:t>
      </w:r>
      <w:r>
        <w:rPr>
          <w:iCs/>
          <w:i/>
          <w:sz w:val="21"/>
        </w:rPr>
        <w:t xml:space="preserve">JK Technology</w:t>
      </w:r>
      <w:r>
        <w:rPr>
          <w:sz w:val="21"/>
        </w:rPr>
        <w:t xml:space="preserve">, W.P. 21690/2026). So: (1) pick only the modules that apply (G1 to G9), and give the facts, dates, periods and documents for each; (2) propose any</w:t>
      </w:r>
      <w:r>
        <w:rPr>
          <w:sz w:val="21"/>
        </w:rPr>
        <w:t xml:space="preserve"> </w:t>
      </w:r>
      <w:r>
        <w:rPr>
          <w:bCs/>
          <w:b/>
          <w:sz w:val="21"/>
        </w:rPr>
        <w:t xml:space="preserve">retrospective date</w:t>
      </w:r>
      <w:r>
        <w:rPr>
          <w:sz w:val="21"/>
        </w:rPr>
        <w:t xml:space="preserve"> </w:t>
      </w:r>
      <w:r>
        <w:rPr>
          <w:sz w:val="21"/>
        </w:rPr>
        <w:t xml:space="preserve">here, with its reason (para 4); (3) suspend only if para 5 can be written truthfully; (4) fill in the hearing date. The reply period is</w:t>
      </w:r>
      <w:r>
        <w:rPr>
          <w:sz w:val="21"/>
        </w:rPr>
        <w:t xml:space="preserve"> </w:t>
      </w:r>
      <w:r>
        <w:rPr>
          <w:bCs/>
          <w:b/>
          <w:sz w:val="21"/>
        </w:rPr>
        <w:t xml:space="preserve">seven working days from service</w:t>
      </w:r>
      <w:r>
        <w:rPr>
          <w:sz w:val="21"/>
        </w:rPr>
        <w:t xml:space="preserve"> </w:t>
      </w:r>
      <w:r>
        <w:rPr>
          <w:sz w:val="21"/>
        </w:rPr>
        <w:t xml:space="preserve">(rule 22(1)). Issue as the Range Superintendent, the proper officer under Circular No. 1/1/2017-GST as amended by Circular No. 223/17/2024-GST.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and unused module before issue.</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Notice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R3: Show cause notice for cancellation of registration (FORM GST REG-17, rule 22(1)), with ground modules and suspension</dc:title>
  <dc:creator>Sangareddy CGST Division</dc:creator>
  <cp:keywords/>
  <dcterms:created xsi:type="dcterms:W3CDTF">2026-10-14T21:58:24Z</dcterms:created>
  <dcterms:modified xsi:type="dcterms:W3CDTF">2026-10-14T21:58:24Z</dcterms:modified>
</cp:coreProperties>
</file>

<file path=docProps/custom.xml><?xml version="1.0" encoding="utf-8"?>
<Properties xmlns="http://schemas.openxmlformats.org/officeDocument/2006/custom-properties" xmlns:vt="http://schemas.openxmlformats.org/officeDocument/2006/docPropsVTypes"/>
</file>