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अधीक्षक का कार्यालय</w:t>
      </w:r>
    </w:p>
    <w:p>
      <w:pPr>
        <w:spacing w:before="0" w:after="0" w:line="240" w:lineRule="auto"/>
        <w:jc w:val="center"/>
      </w:pPr>
      <w:r>
        <w:rPr>
          <w:b/>
          <w:sz w:val="23"/>
          <w:szCs w:val="23"/>
          <w:bCs/>
        </w:rPr>
        <w:t>OFFICE OF THE SUPERINTENDENT OF CENTRAL TAX, [        ] RANGE</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ORDER FOR CANCELLATION OF REGISTRATION</w:t>
      </w:r>
      <w:r>
        <w:br/>
      </w:r>
      <w:r>
        <w:t xml:space="preserve">FORM GST REG-19 [section 29 of the CGST Act, 2017 read with rule 22(3)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14"/>
        <w:gridCol w:w="7424"/>
      </w:tblGrid>
      <w:tr>
        <w:trPr>
          <w:tblHeader w:val="true"/>
          <w:tblHeader/>
        </w:trPr>
        <w:tc>
          <w:tcPr>
            <w:tcW w:type="dxa" w:w="2214"/>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424"/>
            <w:shd w:val="clear" w:color="auto" w:fill="DCE6F1"/>
          </w:tcPr>
          <w:p>
            <w:pPr>
              <w:pStyle w:val="Compact"/>
              <w:spacing w:before="0" w:after="0" w:line="240" w:lineRule="auto"/>
              <w:jc w:val="left"/>
            </w:pPr>
            <w:r>
              <w:rPr>
                <w:b/>
                <w:color w:val="1F3864"/>
                <w:sz w:val="21"/>
              </w:rPr>
              <w:t xml:space="preserve">Details</w:t>
            </w:r>
          </w:p>
        </w:tc>
      </w:tr>
      <w:tr>
        <w:tc>
          <w:tcPr>
            <w:tcW w:type="dxa" w:w="2214"/>
            <w:shd w:val="clear" w:color="auto" w:fill="F5F8FC"/>
          </w:tcPr>
          <w:p>
            <w:pPr>
              <w:pStyle w:val="Compact"/>
              <w:spacing w:before="0" w:after="0" w:line="240" w:lineRule="auto"/>
              <w:jc w:val="left"/>
            </w:pPr>
            <w:r>
              <w:rPr>
                <w:b/>
                <w:sz w:val="21"/>
              </w:rPr>
              <w:t xml:space="preserve">Order No. and date</w:t>
            </w:r>
          </w:p>
        </w:tc>
        <w:tc>
          <w:tcPr>
            <w:tcW w:type="dxa" w:w="7424"/>
          </w:tcPr>
          <w:p>
            <w:pPr>
              <w:pStyle w:val="Compact"/>
              <w:spacing w:before="0" w:after="0" w:line="240" w:lineRule="auto"/>
              <w:jc w:val="left"/>
            </w:pPr>
            <w:r>
              <w:rPr>
                <w:sz w:val="21"/>
              </w:rPr>
              <w:t xml:space="preserve">[ ] dated [DD.MM.YYYY]; RFN [ ]</w:t>
            </w:r>
          </w:p>
        </w:tc>
      </w:tr>
      <w:tr>
        <w:tc>
          <w:tcPr>
            <w:tcW w:type="dxa" w:w="2214"/>
            <w:shd w:val="clear" w:color="auto" w:fill="F5F8FC"/>
          </w:tcPr>
          <w:p>
            <w:pPr>
              <w:pStyle w:val="Compact"/>
              <w:spacing w:before="0" w:after="0" w:line="240" w:lineRule="auto"/>
              <w:jc w:val="left"/>
            </w:pPr>
            <w:r>
              <w:rPr>
                <w:b/>
                <w:sz w:val="21"/>
              </w:rPr>
              <w:t xml:space="preserve">To</w:t>
            </w:r>
          </w:p>
        </w:tc>
        <w:tc>
          <w:tcPr>
            <w:tcW w:type="dxa" w:w="7424"/>
          </w:tcPr>
          <w:p>
            <w:pPr>
              <w:pStyle w:val="Compact"/>
              <w:spacing w:before="0" w:after="0" w:line="240" w:lineRule="auto"/>
              <w:jc w:val="left"/>
            </w:pPr>
            <w:r>
              <w:rPr>
                <w:sz w:val="21"/>
              </w:rPr>
              <w:t xml:space="preserve">[Legal name] ([trade name]), GSTIN [ ], [address]</w:t>
            </w:r>
          </w:p>
        </w:tc>
      </w:tr>
      <w:tr>
        <w:tc>
          <w:tcPr>
            <w:tcW w:type="dxa" w:w="2214"/>
            <w:shd w:val="clear" w:color="auto" w:fill="F5F8FC"/>
          </w:tcPr>
          <w:p>
            <w:pPr>
              <w:pStyle w:val="Compact"/>
              <w:spacing w:before="0" w:after="0" w:line="240" w:lineRule="auto"/>
              <w:jc w:val="left"/>
            </w:pPr>
            <w:r>
              <w:rPr>
                <w:bCs/>
                <w:b/>
                <w:sz w:val="21"/>
              </w:rPr>
              <w:t xml:space="preserve">[Option A]</w:t>
            </w:r>
            <w:r>
              <w:rPr>
                <w:b/>
                <w:sz w:val="21"/>
              </w:rPr>
              <w:t xml:space="preserve"> </w:t>
            </w:r>
            <w:r>
              <w:rPr>
                <w:b/>
                <w:sz w:val="21"/>
              </w:rPr>
              <w:t xml:space="preserve">Show cause notice</w:t>
            </w:r>
          </w:p>
        </w:tc>
        <w:tc>
          <w:tcPr>
            <w:tcW w:type="dxa" w:w="7424"/>
          </w:tcPr>
          <w:p>
            <w:pPr>
              <w:pStyle w:val="Compact"/>
              <w:spacing w:before="0" w:after="0" w:line="240" w:lineRule="auto"/>
              <w:jc w:val="left"/>
            </w:pPr>
            <w:r>
              <w:rPr>
                <w:sz w:val="21"/>
              </w:rPr>
              <w:t xml:space="preserve">REG-17 No. [ ] dated [DD.MM.YYYY], served on [DD.MM.YYYY] by [portal and e-mail] / [REG-31 dated [DD.MM.YYYY]]</w:t>
            </w:r>
          </w:p>
        </w:tc>
      </w:tr>
      <w:tr>
        <w:tc>
          <w:tcPr>
            <w:tcW w:type="dxa" w:w="2214"/>
            <w:shd w:val="clear" w:color="auto" w:fill="F5F8FC"/>
          </w:tcPr>
          <w:p>
            <w:pPr>
              <w:pStyle w:val="Compact"/>
              <w:spacing w:before="0" w:after="0" w:line="240" w:lineRule="auto"/>
              <w:jc w:val="left"/>
            </w:pPr>
            <w:r>
              <w:rPr>
                <w:bCs/>
                <w:b/>
                <w:sz w:val="21"/>
              </w:rPr>
              <w:t xml:space="preserve">[Option A]</w:t>
            </w:r>
            <w:r>
              <w:rPr>
                <w:b/>
                <w:sz w:val="21"/>
              </w:rPr>
              <w:t xml:space="preserve"> </w:t>
            </w:r>
            <w:r>
              <w:rPr>
                <w:b/>
                <w:sz w:val="21"/>
              </w:rPr>
              <w:t xml:space="preserve">Reply</w:t>
            </w:r>
          </w:p>
        </w:tc>
        <w:tc>
          <w:tcPr>
            <w:tcW w:type="dxa" w:w="7424"/>
          </w:tcPr>
          <w:p>
            <w:pPr>
              <w:pStyle w:val="Compact"/>
              <w:spacing w:before="0" w:after="0" w:line="240" w:lineRule="auto"/>
              <w:jc w:val="left"/>
            </w:pPr>
            <w:r>
              <w:rPr>
                <w:sz w:val="21"/>
              </w:rPr>
              <w:t xml:space="preserve">[REG-18, ARN [ ] dated [DD.MM.YYYY]] / [No reply received]</w:t>
            </w:r>
          </w:p>
        </w:tc>
      </w:tr>
      <w:tr>
        <w:tc>
          <w:tcPr>
            <w:tcW w:type="dxa" w:w="2214"/>
            <w:shd w:val="clear" w:color="auto" w:fill="F5F8FC"/>
          </w:tcPr>
          <w:p>
            <w:pPr>
              <w:pStyle w:val="Compact"/>
              <w:spacing w:before="0" w:after="0" w:line="240" w:lineRule="auto"/>
              <w:jc w:val="left"/>
            </w:pPr>
            <w:r>
              <w:rPr>
                <w:bCs/>
                <w:b/>
                <w:sz w:val="21"/>
              </w:rPr>
              <w:t xml:space="preserve">[Option A]</w:t>
            </w:r>
            <w:r>
              <w:rPr>
                <w:b/>
                <w:sz w:val="21"/>
              </w:rPr>
              <w:t xml:space="preserve"> </w:t>
            </w:r>
            <w:r>
              <w:rPr>
                <w:b/>
                <w:sz w:val="21"/>
              </w:rPr>
              <w:t xml:space="preserve">Personal hearing</w:t>
            </w:r>
          </w:p>
        </w:tc>
        <w:tc>
          <w:tcPr>
            <w:tcW w:type="dxa" w:w="7424"/>
          </w:tcPr>
          <w:p>
            <w:pPr>
              <w:pStyle w:val="Compact"/>
              <w:spacing w:before="0" w:after="0" w:line="240" w:lineRule="auto"/>
              <w:jc w:val="left"/>
            </w:pPr>
            <w:r>
              <w:rPr>
                <w:sz w:val="21"/>
              </w:rPr>
              <w:t xml:space="preserve">[Held on [DD.MM.YYYY]; attended by [name, capacity]] / [Fixed on [DD.MM.YYYY]; not attended[; adjournment granted to [ ], not attended]]</w:t>
            </w:r>
          </w:p>
        </w:tc>
      </w:tr>
      <w:tr>
        <w:tc>
          <w:tcPr>
            <w:tcW w:type="dxa" w:w="2214"/>
            <w:shd w:val="clear" w:color="auto" w:fill="F5F8FC"/>
          </w:tcPr>
          <w:p>
            <w:pPr>
              <w:pStyle w:val="Compact"/>
              <w:spacing w:before="0" w:after="0" w:line="240" w:lineRule="auto"/>
              <w:jc w:val="left"/>
            </w:pPr>
            <w:r>
              <w:rPr>
                <w:bCs/>
                <w:b/>
                <w:sz w:val="21"/>
              </w:rPr>
              <w:t xml:space="preserve">[Option B]</w:t>
            </w:r>
            <w:r>
              <w:rPr>
                <w:b/>
                <w:sz w:val="21"/>
              </w:rPr>
              <w:t xml:space="preserve"> </w:t>
            </w:r>
            <w:r>
              <w:rPr>
                <w:b/>
                <w:sz w:val="21"/>
              </w:rPr>
              <w:t xml:space="preserve">Application</w:t>
            </w:r>
          </w:p>
        </w:tc>
        <w:tc>
          <w:tcPr>
            <w:tcW w:type="dxa" w:w="7424"/>
          </w:tcPr>
          <w:p>
            <w:pPr>
              <w:pStyle w:val="Compact"/>
              <w:spacing w:before="0" w:after="0" w:line="240" w:lineRule="auto"/>
              <w:jc w:val="left"/>
            </w:pPr>
            <w:r>
              <w:rPr>
                <w:sz w:val="21"/>
              </w:rPr>
              <w:t xml:space="preserve">REG-16, ARN [ ] dated [DD.MM.YYYY]; cancellation sought from [DD.MM.YYYY]; reason: [ ]</w:t>
            </w:r>
          </w:p>
        </w:tc>
      </w:tr>
      <w:tr>
        <w:tc>
          <w:tcPr>
            <w:tcW w:type="dxa" w:w="2214"/>
            <w:shd w:val="clear" w:color="auto" w:fill="F5F8FC"/>
          </w:tcPr>
          <w:p>
            <w:pPr>
              <w:pStyle w:val="Compact"/>
              <w:spacing w:before="0" w:after="0" w:line="240" w:lineRule="auto"/>
              <w:jc w:val="left"/>
            </w:pPr>
            <w:r>
              <w:rPr>
                <w:b/>
                <w:sz w:val="21"/>
              </w:rPr>
              <w:t xml:space="preserve">Suspension</w:t>
            </w:r>
          </w:p>
        </w:tc>
        <w:tc>
          <w:tcPr>
            <w:tcW w:type="dxa" w:w="7424"/>
          </w:tcPr>
          <w:p>
            <w:pPr>
              <w:pStyle w:val="Compact"/>
              <w:spacing w:before="0" w:after="0" w:line="240" w:lineRule="auto"/>
              <w:jc w:val="left"/>
            </w:pPr>
            <w:r>
              <w:rPr>
                <w:sz w:val="21"/>
              </w:rPr>
              <w:t xml:space="preserve">[From [DD.MM.YYYY] under rule 21A([1] / [2] / [2A])] / [None]</w:t>
            </w:r>
          </w:p>
        </w:tc>
      </w:tr>
      <w:tr>
        <w:tc>
          <w:tcPr>
            <w:tcW w:type="dxa" w:w="2214"/>
            <w:shd w:val="clear" w:color="auto" w:fill="F5F8FC"/>
          </w:tcPr>
          <w:p>
            <w:pPr>
              <w:pStyle w:val="Compact"/>
              <w:spacing w:before="0" w:after="0" w:line="240" w:lineRule="auto"/>
              <w:jc w:val="left"/>
            </w:pPr>
            <w:r>
              <w:rPr>
                <w:bCs/>
                <w:b/>
                <w:sz w:val="21"/>
              </w:rPr>
              <w:t xml:space="preserve">Effective date of cancellation</w:t>
            </w:r>
          </w:p>
        </w:tc>
        <w:tc>
          <w:tcPr>
            <w:tcW w:type="dxa" w:w="7424"/>
          </w:tcPr>
          <w:p>
            <w:pPr>
              <w:pStyle w:val="Compact"/>
              <w:spacing w:before="0" w:after="0" w:line="240" w:lineRule="auto"/>
              <w:jc w:val="left"/>
            </w:pPr>
            <w:r>
              <w:rPr>
                <w:bCs/>
                <w:b/>
                <w:sz w:val="21"/>
              </w:rPr>
              <w:t xml:space="preserve">[DD.MM.YYYY]</w:t>
            </w:r>
          </w:p>
        </w:tc>
      </w:tr>
    </w:tbl>
    <w:p>
      <w:pPr>
        <w:pStyle w:val="BodyText"/>
        <w:spacing w:before="0" w:after="120" w:line="269" w:lineRule="auto"/>
      </w:pPr>
      <w:r>
        <w:rPr>
          <w:bCs/>
          <w:b/>
        </w:rPr>
        <w:t xml:space="preserve">Option A: cancellation on the officer’s motion</w:t>
      </w:r>
    </w:p>
    <w:p>
      <w:pPr>
        <w:pStyle w:val="BodyText"/>
        <w:keepNext/>
        <w:spacing w:before="240" w:after="80"/>
        <w:pBdr>
          <w:bottom w:val="single" w:sz="6" w:space="1" w:color="B4C6E7"/>
        </w:pBdr>
      </w:pPr>
      <w:r>
        <w:rPr>
          <w:bCs/>
          <w:b/>
          <w:color w:val="1F3864"/>
          <w:sz w:val="25"/>
        </w:rPr>
        <w:t xml:space="preserve">1. The notice</w:t>
      </w:r>
    </w:p>
    <w:p>
      <w:pPr>
        <w:pStyle w:val="BodyText"/>
        <w:spacing w:before="0" w:after="120" w:line="269" w:lineRule="auto"/>
        <w:jc w:val="both"/>
      </w:pPr>
      <w:r>
        <w:t xml:space="preserve">1.1 By the notice referred to above, you were asked to show cause why your registration should not be cancelled on the following ground(s):</w:t>
      </w:r>
      <w:r>
        <w:t xml:space="preserve"> </w:t>
      </w:r>
      <w:r>
        <w:rPr>
          <w:bCs/>
          <w:b/>
        </w:rPr>
        <w:t xml:space="preserve">[Ground 1: section 29(2)(a) read with rule 21([ ]): [one line]]</w:t>
      </w:r>
      <w:r>
        <w:t xml:space="preserve">;</w:t>
      </w:r>
      <w:r>
        <w:t xml:space="preserve"> </w:t>
      </w:r>
      <w:r>
        <w:rPr>
          <w:bCs/>
          <w:b/>
        </w:rPr>
        <w:t xml:space="preserve">[Ground 2: [ ]]</w:t>
      </w:r>
      <w:r>
        <w:t xml:space="preserve">. Cancellation was proposed with effect from [the date of the order] / [DD.MM.YYYY, for the reasons stated in para 4 of the notice]. [Your registration was suspended from [DD.MM.YYYY].] The notice was served on [DD.MM.YYYY] by [upload on the common portal and e-mail to [registered e-mail]].</w:t>
      </w:r>
    </w:p>
    <w:p>
      <w:pPr>
        <w:pStyle w:val="BodyText"/>
        <w:keepNext/>
        <w:spacing w:before="240" w:after="80"/>
        <w:pBdr>
          <w:bottom w:val="single" w:sz="6" w:space="1" w:color="B4C6E7"/>
        </w:pBdr>
      </w:pPr>
      <w:r>
        <w:rPr>
          <w:bCs/>
          <w:b/>
          <w:color w:val="1F3864"/>
          <w:sz w:val="25"/>
        </w:rPr>
        <w:t xml:space="preserve">2. Reply and hearing</w:t>
      </w:r>
    </w:p>
    <w:p>
      <w:pPr>
        <w:pStyle w:val="BlockText"/>
        <w:shd w:val="clear" w:color="auto" w:fill="E7E6E6"/>
      </w:pPr>
      <w:r>
        <w:rPr>
          <w:bCs/>
          <w:b/>
          <w:sz w:val="21"/>
        </w:rPr>
        <w:t xml:space="preserve">Drafting note.</w:t>
      </w:r>
      <w:r>
        <w:rPr>
          <w:sz w:val="21"/>
        </w:rPr>
        <w:t xml:space="preserve"> </w:t>
      </w:r>
      <w:r>
        <w:rPr>
          <w:sz w:val="21"/>
        </w:rPr>
        <w:t xml:space="preserve">Keep the one recital that matches the record (the six alternatives in the current REG-19). Never recite a reply or an appearance that did not happen.</w:t>
      </w:r>
    </w:p>
    <w:p>
      <w:pPr>
        <w:pStyle w:val="FirstParagraph"/>
        <w:spacing w:before="0" w:after="120" w:line="269" w:lineRule="auto"/>
        <w:jc w:val="both"/>
      </w:pPr>
      <w:r>
        <w:t xml:space="preserve">2.1</w:t>
      </w:r>
      <w:r>
        <w:t xml:space="preserve"> </w:t>
      </w:r>
      <w:r>
        <w:rPr>
          <w:bCs/>
          <w:b/>
        </w:rPr>
        <w:t xml:space="preserve">[No reply, no appearance]</w:t>
      </w:r>
      <w:r>
        <w:t xml:space="preserve"> </w:t>
      </w:r>
      <w:r>
        <w:t xml:space="preserve">No reply was filed within the time allowed or later, and no one appeared on the date fixed for personal hearing, [DD.MM.YYYY][, or on the adjourned date [DD.MM.YYYY]]. The matter is therefore decided on the record available, on merits.</w:t>
      </w:r>
    </w:p>
    <w:p>
      <w:pPr>
        <w:pStyle w:val="BodyText"/>
        <w:spacing w:before="0" w:after="120" w:line="269" w:lineRule="auto"/>
        <w:jc w:val="both"/>
      </w:pPr>
      <w:r>
        <w:t xml:space="preserve">2.1</w:t>
      </w:r>
      <w:r>
        <w:t xml:space="preserve"> </w:t>
      </w:r>
      <w:r>
        <w:rPr>
          <w:bCs/>
          <w:b/>
        </w:rPr>
        <w:t xml:space="preserve">[Reply filed]</w:t>
      </w:r>
      <w:r>
        <w:t xml:space="preserve"> </w:t>
      </w:r>
      <w:r>
        <w:t xml:space="preserve">You filed a reply in FORM GST REG-18 (ARN [ ] dated [DD.MM.YYYY]). In summary you stated: (i) [ ]; (ii) [ ]; (iii) [ ]. You enclosed [list of documents].</w:t>
      </w:r>
    </w:p>
    <w:p>
      <w:pPr>
        <w:pStyle w:val="BodyText"/>
        <w:spacing w:before="0" w:after="120" w:line="269" w:lineRule="auto"/>
        <w:jc w:val="both"/>
      </w:pPr>
      <w:r>
        <w:t xml:space="preserve">2.1</w:t>
      </w:r>
      <w:r>
        <w:t xml:space="preserve"> </w:t>
      </w:r>
      <w:r>
        <w:rPr>
          <w:bCs/>
          <w:b/>
        </w:rPr>
        <w:t xml:space="preserve">[No reply, but appearance]</w:t>
      </w:r>
      <w:r>
        <w:t xml:space="preserve"> </w:t>
      </w:r>
      <w:r>
        <w:t xml:space="preserve">No written reply was filed, but [name, capacity] appeared on [DD.MM.YYYY] and [stated orally / submitted in writing] that [ ].</w:t>
      </w:r>
    </w:p>
    <w:p>
      <w:pPr>
        <w:pStyle w:val="BodyText"/>
        <w:spacing w:before="0" w:after="120" w:line="269" w:lineRule="auto"/>
        <w:jc w:val="both"/>
      </w:pPr>
      <w:r>
        <w:t xml:space="preserve">2.2</w:t>
      </w:r>
      <w:r>
        <w:t xml:space="preserve"> </w:t>
      </w:r>
      <w:r>
        <w:rPr>
          <w:bCs/>
          <w:b/>
        </w:rPr>
        <w:t xml:space="preserve">[Hearing]</w:t>
      </w:r>
      <w:r>
        <w:t xml:space="preserve"> </w:t>
      </w:r>
      <w:r>
        <w:t xml:space="preserve">At the personal hearing on [DD.MM.YYYY], [name, capacity] [reiterated the reply and added that [ ]] / [did not appear despite the date being stated in the notice].</w:t>
      </w:r>
    </w:p>
    <w:p>
      <w:pPr>
        <w:pStyle w:val="BodyText"/>
        <w:keepNext/>
        <w:spacing w:before="240" w:after="80"/>
        <w:pBdr>
          <w:bottom w:val="single" w:sz="6" w:space="1" w:color="B4C6E7"/>
        </w:pBdr>
      </w:pPr>
      <w:r>
        <w:rPr>
          <w:bCs/>
          <w:b/>
          <w:color w:val="1F3864"/>
          <w:sz w:val="25"/>
        </w:rPr>
        <w:t xml:space="preserve">3. Findings</w:t>
      </w:r>
    </w:p>
    <w:p>
      <w:pPr>
        <w:pStyle w:val="BodyText"/>
        <w:spacing w:before="0" w:after="120" w:line="269" w:lineRule="auto"/>
        <w:jc w:val="both"/>
      </w:pPr>
      <w:r>
        <w:t xml:space="preserve">3.1 I have examined the notice, the documents relied on in it, [the reply and the documents filed with it,] [the submissions at the hearing,] and the records on the common portal as on [DD.MM.YYYY].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74"/>
        <w:gridCol w:w="695"/>
        <w:gridCol w:w="2803"/>
        <w:gridCol w:w="4865"/>
      </w:tblGrid>
      <w:tr>
        <w:trPr>
          <w:tblHeader w:val="true"/>
          <w:tblHeader/>
        </w:trPr>
        <w:tc>
          <w:tcPr>
            <w:tcW w:type="dxa" w:w="1274"/>
            <w:shd w:val="clear" w:color="auto" w:fill="DCE6F1"/>
          </w:tcPr>
          <w:p>
            <w:pPr>
              <w:pStyle w:val="Compact"/>
              <w:spacing w:before="0" w:after="0" w:line="240" w:lineRule="auto"/>
              <w:jc w:val="left"/>
            </w:pPr>
            <w:r>
              <w:rPr>
                <w:b/>
                <w:color w:val="1F3864"/>
                <w:sz w:val="21"/>
              </w:rPr>
              <w:t xml:space="preserve">Ground in the notice</w:t>
            </w:r>
          </w:p>
        </w:tc>
        <w:tc>
          <w:tcPr>
            <w:tcW w:type="dxa" w:w="695"/>
            <w:shd w:val="clear" w:color="auto" w:fill="DCE6F1"/>
          </w:tcPr>
          <w:p>
            <w:pPr>
              <w:pStyle w:val="Compact"/>
              <w:spacing w:before="0" w:after="0" w:line="240" w:lineRule="auto"/>
              <w:jc w:val="left"/>
            </w:pPr>
            <w:r>
              <w:rPr>
                <w:b/>
                <w:color w:val="1F3864"/>
                <w:sz w:val="21"/>
              </w:rPr>
              <w:t xml:space="preserve">Reply</w:t>
            </w:r>
          </w:p>
        </w:tc>
        <w:tc>
          <w:tcPr>
            <w:tcW w:type="dxa" w:w="2803"/>
            <w:shd w:val="clear" w:color="auto" w:fill="DCE6F1"/>
          </w:tcPr>
          <w:p>
            <w:pPr>
              <w:pStyle w:val="Compact"/>
              <w:spacing w:before="0" w:after="0" w:line="240" w:lineRule="auto"/>
              <w:jc w:val="left"/>
            </w:pPr>
            <w:r>
              <w:rPr>
                <w:b/>
                <w:color w:val="1F3864"/>
                <w:sz w:val="21"/>
              </w:rPr>
              <w:t xml:space="preserve">Evidence examined</w:t>
            </w:r>
          </w:p>
        </w:tc>
        <w:tc>
          <w:tcPr>
            <w:tcW w:type="dxa" w:w="4865"/>
            <w:shd w:val="clear" w:color="auto" w:fill="DCE6F1"/>
          </w:tcPr>
          <w:p>
            <w:pPr>
              <w:pStyle w:val="Compact"/>
              <w:spacing w:before="0" w:after="0" w:line="240" w:lineRule="auto"/>
              <w:jc w:val="left"/>
            </w:pPr>
            <w:r>
              <w:rPr>
                <w:b/>
                <w:color w:val="1F3864"/>
                <w:sz w:val="21"/>
              </w:rPr>
              <w:t xml:space="preserve">Finding and reason</w:t>
            </w:r>
          </w:p>
        </w:tc>
      </w:tr>
      <w:tr>
        <w:tc>
          <w:tcPr>
            <w:tcW w:type="dxa" w:w="1274"/>
          </w:tcPr>
          <w:p>
            <w:pPr>
              <w:pStyle w:val="Compact"/>
              <w:spacing w:before="0" w:after="0" w:line="240" w:lineRule="auto"/>
              <w:jc w:val="left"/>
            </w:pPr>
            <w:r>
              <w:rPr>
                <w:sz w:val="21"/>
              </w:rPr>
              <w:t xml:space="preserve">Ground 1: rule 21([ ])</w:t>
            </w:r>
          </w:p>
        </w:tc>
        <w:tc>
          <w:tcPr>
            <w:tcW w:type="dxa" w:w="695"/>
          </w:tcPr>
          <w:p>
            <w:pPr>
              <w:pStyle w:val="Compact"/>
              <w:spacing w:before="0" w:after="0" w:line="240" w:lineRule="auto"/>
              <w:jc w:val="left"/>
            </w:pPr>
            <w:r>
              <w:rPr>
                <w:sz w:val="21"/>
              </w:rPr>
              <w:t xml:space="preserve">[ ] / [none]</w:t>
            </w:r>
          </w:p>
        </w:tc>
        <w:tc>
          <w:tcPr>
            <w:tcW w:type="dxa" w:w="2803"/>
          </w:tcPr>
          <w:p>
            <w:pPr>
              <w:pStyle w:val="Compact"/>
              <w:spacing w:before="0" w:after="0" w:line="240" w:lineRule="auto"/>
              <w:jc w:val="left"/>
            </w:pPr>
            <w:r>
              <w:rPr>
                <w:sz w:val="21"/>
              </w:rPr>
              <w:t xml:space="preserve">[verification report dated [ ]; photographs; lease and electricity bill produced by you; portal data]</w:t>
            </w:r>
          </w:p>
        </w:tc>
        <w:tc>
          <w:tcPr>
            <w:tcW w:type="dxa" w:w="4865"/>
          </w:tcPr>
          <w:p>
            <w:pPr>
              <w:pStyle w:val="Compact"/>
              <w:spacing w:before="0" w:after="0" w:line="240" w:lineRule="auto"/>
              <w:jc w:val="left"/>
            </w:pPr>
            <w:r>
              <w:rPr>
                <w:sz w:val="21"/>
              </w:rPr>
              <w:t xml:space="preserve">[e.g. The lease you produced is dated [ ] for premises at [ ], which is not the declared address. The electricity bill is in the name of [ ] and for consumer number [ ], which is the residence verified on [date], where the occupant [name] stated that no business is carried on. No purchase or sale record from the declared address was produced. I find that no business is conducted from the declared place of business. Ground 1 is established.]</w:t>
            </w:r>
          </w:p>
        </w:tc>
      </w:tr>
      <w:tr>
        <w:tc>
          <w:tcPr>
            <w:tcW w:type="dxa" w:w="1274"/>
          </w:tcPr>
          <w:p>
            <w:pPr>
              <w:pStyle w:val="Compact"/>
              <w:spacing w:before="0" w:after="0" w:line="240" w:lineRule="auto"/>
              <w:jc w:val="left"/>
            </w:pPr>
            <w:r>
              <w:rPr>
                <w:sz w:val="21"/>
              </w:rPr>
              <w:t xml:space="preserve">Ground 2: [ ]</w:t>
            </w:r>
          </w:p>
        </w:tc>
        <w:tc>
          <w:tcPr>
            <w:tcW w:type="dxa" w:w="695"/>
          </w:tcPr>
          <w:p>
            <w:pPr>
              <w:pStyle w:val="Compact"/>
              <w:spacing w:before="0" w:after="0" w:line="240" w:lineRule="auto"/>
              <w:jc w:val="left"/>
            </w:pPr>
            <w:r>
              <w:rPr>
                <w:sz w:val="21"/>
              </w:rPr>
              <w:t xml:space="preserve">[ ]</w:t>
            </w:r>
          </w:p>
        </w:tc>
        <w:tc>
          <w:tcPr>
            <w:tcW w:type="dxa" w:w="2803"/>
          </w:tcPr>
          <w:p>
            <w:pPr>
              <w:pStyle w:val="Compact"/>
              <w:spacing w:before="0" w:after="0" w:line="240" w:lineRule="auto"/>
              <w:jc w:val="left"/>
            </w:pPr>
            <w:r>
              <w:rPr>
                <w:sz w:val="21"/>
              </w:rPr>
              <w:t xml:space="preserve">[ ]</w:t>
            </w:r>
          </w:p>
        </w:tc>
        <w:tc>
          <w:tcPr>
            <w:tcW w:type="dxa" w:w="4865"/>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Answer every submission, accepting or rejecting it with a reason. If a ground is not established, say so and drop it.</w:t>
      </w:r>
      <w:r>
        <w:rPr>
          <w:sz w:val="21"/>
        </w:rPr>
        <w:t xml:space="preserve"> </w:t>
      </w:r>
      <w:r>
        <w:rPr>
          <w:bCs/>
          <w:b/>
          <w:sz w:val="21"/>
        </w:rPr>
        <w:t xml:space="preserve">Do not cancel on any ground that was not in the notice</w:t>
      </w:r>
      <w:r>
        <w:rPr>
          <w:sz w:val="21"/>
        </w:rPr>
        <w:t xml:space="preserve">; if a new ground has come up, issue an addendum REG-17 and hear the taxpayer on it first. For non-filing (section 29(2)(b) or (c)): record the filing status on the day of the order; if all returns are now filed and tax, interest and late fee paid, use R5 instead.</w:t>
      </w:r>
    </w:p>
    <w:p>
      <w:pPr>
        <w:pStyle w:val="FirstParagraph"/>
        <w:spacing w:before="0" w:after="120" w:line="269" w:lineRule="auto"/>
        <w:jc w:val="both"/>
      </w:pPr>
      <w:r>
        <w:t xml:space="preserve">3.2</w:t>
      </w:r>
      <w:r>
        <w:t xml:space="preserve"> </w:t>
      </w:r>
      <w:r>
        <w:rPr>
          <w:bCs/>
          <w:b/>
        </w:rPr>
        <w:t xml:space="preserve">[Where there is a no-prejudice point]</w:t>
      </w:r>
      <w:r>
        <w:t xml:space="preserve"> </w:t>
      </w:r>
      <w:r>
        <w:t xml:space="preserve">Your reply addressed each allegation in the notice and the documents enclosed with it, which shows that the grounds were understood (cf. Telangana High Court,</w:t>
      </w:r>
      <w:r>
        <w:t xml:space="preserve"> </w:t>
      </w:r>
      <w:r>
        <w:rPr>
          <w:iCs/>
          <w:i/>
        </w:rPr>
        <w:t xml:space="preserve">Trillion Lead Factory</w:t>
      </w:r>
      <w:r>
        <w:t xml:space="preserve">, W.P. No. 537 of 2026, 02.02.2026).</w:t>
      </w:r>
    </w:p>
    <w:p>
      <w:pPr>
        <w:pStyle w:val="BodyText"/>
        <w:keepNext/>
        <w:spacing w:before="240" w:after="80"/>
        <w:pBdr>
          <w:bottom w:val="single" w:sz="6" w:space="1" w:color="B4C6E7"/>
        </w:pBdr>
      </w:pPr>
      <w:r>
        <w:rPr>
          <w:bCs/>
          <w:b/>
          <w:color w:val="1F3864"/>
          <w:sz w:val="25"/>
        </w:rPr>
        <w:t xml:space="preserve">4. Effective date</w:t>
      </w:r>
    </w:p>
    <w:p>
      <w:pPr>
        <w:pStyle w:val="BodyText"/>
        <w:spacing w:before="0" w:after="120" w:line="269" w:lineRule="auto"/>
      </w:pPr>
      <w:r>
        <w:t xml:space="preserve">4.1</w:t>
      </w:r>
      <w:r>
        <w:t xml:space="preserve"> </w:t>
      </w:r>
      <w:r>
        <w:rPr>
          <w:bCs/>
          <w:b/>
        </w:rPr>
        <w:t xml:space="preserve">[Prospective]</w:t>
      </w:r>
      <w:r>
        <w:t xml:space="preserve"> </w:t>
      </w:r>
      <w:r>
        <w:t xml:space="preserve">The registration is cancelled with effect from the date of this order.</w:t>
      </w:r>
    </w:p>
    <w:p>
      <w:pPr>
        <w:pStyle w:val="BodyText"/>
        <w:spacing w:before="0" w:after="120" w:line="269" w:lineRule="auto"/>
        <w:jc w:val="both"/>
      </w:pPr>
      <w:r>
        <w:t xml:space="preserve">4.2</w:t>
      </w:r>
      <w:r>
        <w:t xml:space="preserve"> </w:t>
      </w:r>
      <w:r>
        <w:rPr>
          <w:bCs/>
          <w:b/>
        </w:rPr>
        <w:t xml:space="preserve">[Retrospective]</w:t>
      </w:r>
      <w:r>
        <w:t xml:space="preserve"> </w:t>
      </w:r>
      <w:r>
        <w:t xml:space="preserve">The notice proposed cancellation from [DD.MM.YYYY]. [Your reply on the date: [ ] / You did not comment on the proposed date.] I find that date justified because [the objective fact: e.g. the premises were found not to exist on that date and no business has been shown from any later date / the first invoice issued without supply is of that date]. I have considered that recipients of your invoices after that date are affected; that effect is [proportionate because the invoices were issued without supply] / [limited because [ ]]. The registration is cancelled with effect from</w:t>
      </w:r>
      <w:r>
        <w:t xml:space="preserve"> </w:t>
      </w:r>
      <w:r>
        <w:rPr>
          <w:bCs/>
          <w:b/>
        </w:rPr>
        <w:t xml:space="preserve">[DD.MM.YYYY]</w:t>
      </w:r>
      <w:r>
        <w:t xml:space="preserve">.</w:t>
      </w:r>
    </w:p>
    <w:p>
      <w:pPr>
        <w:pStyle w:val="BlockText"/>
        <w:shd w:val="clear" w:color="auto" w:fill="E7E6E6"/>
      </w:pPr>
      <w:r>
        <w:rPr>
          <w:bCs/>
          <w:b/>
          <w:sz w:val="21"/>
        </w:rPr>
        <w:t xml:space="preserve">Drafting note (para 4).</w:t>
      </w:r>
      <w:r>
        <w:rPr>
          <w:sz w:val="21"/>
        </w:rPr>
        <w:t xml:space="preserve"> </w:t>
      </w:r>
      <w:r>
        <w:rPr>
          <w:sz w:val="21"/>
        </w:rPr>
        <w:t xml:space="preserve">A retrospective date that was not proposed in the notice cannot be adopted now; use the date of the order, or of the notice or suspension (checklist ground R-F1).</w:t>
      </w:r>
    </w:p>
    <w:p>
      <w:pPr>
        <w:pStyle w:val="FirstParagraph"/>
        <w:keepNext/>
        <w:spacing w:before="240" w:after="80"/>
        <w:pBdr>
          <w:bottom w:val="single" w:sz="6" w:space="1" w:color="B4C6E7"/>
        </w:pBdr>
      </w:pPr>
      <w:r>
        <w:rPr>
          <w:bCs/>
          <w:b/>
          <w:color w:val="1F3864"/>
          <w:sz w:val="25"/>
        </w:rPr>
        <w:t xml:space="preserve">5. Order</w:t>
      </w:r>
    </w:p>
    <w:p>
      <w:pPr>
        <w:pStyle w:val="BodyText"/>
        <w:spacing w:before="0" w:after="120" w:line="269" w:lineRule="auto"/>
        <w:jc w:val="both"/>
      </w:pPr>
      <w:r>
        <w:t xml:space="preserve">5.1 For the reasons in para 3, I find that your registration is liable to be cancelled under section 29(2)([ ]) of the Act [read with rule 21([ ])]. Under section 29(2) read with rule 22(3),</w:t>
      </w:r>
      <w:r>
        <w:t xml:space="preserve"> </w:t>
      </w:r>
      <w:r>
        <w:rPr>
          <w:bCs/>
          <w:b/>
        </w:rPr>
        <w:t xml:space="preserve">your registration (GSTIN [ ]) is cancelled with effect from [DD.MM.YYYY]</w:t>
      </w:r>
      <w:r>
        <w:t xml:space="preserve">. [The suspension from [DD.MM.YYYY] merges in this order.]</w:t>
      </w:r>
    </w:p>
    <w:p>
      <w:pPr>
        <w:pStyle w:val="BodyText"/>
        <w:spacing w:before="0" w:after="120" w:line="269" w:lineRule="auto"/>
      </w:pPr>
      <w:r>
        <w:rPr>
          <w:bCs/>
          <w:b/>
        </w:rPr>
        <w:t xml:space="preserve">Option B: cancellation on your application</w:t>
      </w:r>
    </w:p>
    <w:p>
      <w:pPr>
        <w:pStyle w:val="BodyText"/>
        <w:keepNext/>
        <w:spacing w:before="240" w:after="80"/>
        <w:pBdr>
          <w:bottom w:val="single" w:sz="6" w:space="1" w:color="B4C6E7"/>
        </w:pBdr>
      </w:pPr>
      <w:r>
        <w:rPr>
          <w:bCs/>
          <w:b/>
          <w:color w:val="1F3864"/>
          <w:sz w:val="25"/>
        </w:rPr>
        <w:t xml:space="preserve">1. The application</w:t>
      </w:r>
    </w:p>
    <w:p>
      <w:pPr>
        <w:pStyle w:val="BodyText"/>
        <w:spacing w:before="0" w:after="120" w:line="269" w:lineRule="auto"/>
        <w:jc w:val="both"/>
      </w:pPr>
      <w:r>
        <w:t xml:space="preserve">1.1 You applied in FORM GST REG-16 (ARN [ ] dated [DD.MM.YYYY]) for cancellation of registration from [DD.MM.YYYY], on the ground that [business has been discontinued / transferred to [ ] (GSTIN [ ]) / the constitution has changed and the PAN has changed / you are no longer liable to be registered / you wish to opt out of voluntary registration / the proprietor has died (application by legal heir [name])]. [A clarification was sought by REG-03 dated [ ] and given by REG-04 dated [ ].]</w:t>
      </w:r>
    </w:p>
    <w:p>
      <w:pPr>
        <w:pStyle w:val="BodyText"/>
        <w:keepNext/>
        <w:spacing w:before="240" w:after="80"/>
        <w:pBdr>
          <w:bottom w:val="single" w:sz="6" w:space="1" w:color="B4C6E7"/>
        </w:pBdr>
      </w:pPr>
      <w:r>
        <w:rPr>
          <w:bCs/>
          <w:b/>
          <w:color w:val="1F3864"/>
          <w:sz w:val="25"/>
        </w:rPr>
        <w:t xml:space="preserve">2. Decision</w:t>
      </w:r>
    </w:p>
    <w:p>
      <w:pPr>
        <w:pStyle w:val="BodyText"/>
        <w:spacing w:before="0" w:after="120" w:line="269" w:lineRule="auto"/>
        <w:jc w:val="both"/>
      </w:pPr>
      <w:r>
        <w:t xml:space="preserve">2.1 The application is complete, and [in the case of transfer or merger, the transferee is registered]. Under Circular No. 69/43/2018-GST para 5, such an application is to be accepted, with effect from the date sought, and not from any date earlier than the application.</w:t>
      </w:r>
    </w:p>
    <w:p>
      <w:pPr>
        <w:pStyle w:val="BodyText"/>
        <w:spacing w:before="0" w:after="120" w:line="269" w:lineRule="auto"/>
        <w:jc w:val="both"/>
      </w:pPr>
      <w:r>
        <w:t xml:space="preserve">2.2 Under section 29(1) read with rule 22(3),</w:t>
      </w:r>
      <w:r>
        <w:t xml:space="preserve"> </w:t>
      </w:r>
      <w:r>
        <w:rPr>
          <w:bCs/>
          <w:b/>
        </w:rPr>
        <w:t xml:space="preserve">your registration (GSTIN [ ]) is cancelled with effect from [DD.MM.YYYY]</w:t>
      </w:r>
      <w:r>
        <w:t xml:space="preserve">, the date sought in your application. [Where a different date is fixed: the date [DD.MM.YYYY] is fixed instead of the date sought because [reason]; it is not earlier than the date of the application.]</w:t>
      </w:r>
    </w:p>
    <w:p>
      <w:pPr>
        <w:pStyle w:val="BodyText"/>
        <w:spacing w:before="0" w:after="120" w:line="269" w:lineRule="auto"/>
      </w:pPr>
      <w:r>
        <w:rPr>
          <w:bCs/>
          <w:b/>
        </w:rPr>
        <w:t xml:space="preserve">Common paragraphs (both options)</w:t>
      </w:r>
    </w:p>
    <w:p>
      <w:pPr>
        <w:pStyle w:val="BodyText"/>
        <w:keepNext/>
        <w:spacing w:before="240" w:after="80"/>
        <w:pBdr>
          <w:bottom w:val="single" w:sz="6" w:space="1" w:color="B4C6E7"/>
        </w:pBdr>
      </w:pPr>
      <w:r>
        <w:rPr>
          <w:bCs/>
          <w:b/>
          <w:color w:val="1F3864"/>
          <w:sz w:val="25"/>
        </w:rPr>
        <w:t xml:space="preserve">6. What you must now do</w:t>
      </w:r>
    </w:p>
    <w:p>
      <w:pPr>
        <w:pStyle w:val="BodyText"/>
        <w:spacing w:before="0" w:after="120" w:line="269" w:lineRule="auto"/>
        <w:jc w:val="both"/>
      </w:pPr>
      <w:r>
        <w:t xml:space="preserve">6.1</w:t>
      </w:r>
      <w:r>
        <w:t xml:space="preserve"> </w:t>
      </w:r>
      <w:r>
        <w:rPr>
          <w:bCs/>
          <w:b/>
        </w:rPr>
        <w:t xml:space="preserve">Pay the dues.</w:t>
      </w:r>
      <w:r>
        <w:t xml:space="preserve"> </w:t>
      </w:r>
      <w:r>
        <w:t xml:space="preserve">Pay any arrears of tax, interest or penalty, including the amount payable under section 29(5) on inputs held in stock, inputs in semi-finished and finished goods, and capital goods, as on the day immediately preceding the effective date (rule 22(3)). [The liability ledger shows arrears of ₹[ ] as on [DD.MM.YYYY].] The balance in your electronic credit and cash ledgers cannot be used after the effective date except to discharge dues up to the final return.</w:t>
      </w:r>
    </w:p>
    <w:p>
      <w:pPr>
        <w:pStyle w:val="BodyText"/>
        <w:spacing w:before="0" w:after="120" w:line="269" w:lineRule="auto"/>
        <w:jc w:val="both"/>
      </w:pPr>
      <w:r>
        <w:t xml:space="preserve">6.2</w:t>
      </w:r>
      <w:r>
        <w:t xml:space="preserve"> </w:t>
      </w:r>
      <w:r>
        <w:rPr>
          <w:bCs/>
          <w:b/>
        </w:rPr>
        <w:t xml:space="preserve">Final return.</w:t>
      </w:r>
      <w:r>
        <w:t xml:space="preserve"> </w:t>
      </w:r>
      <w:r>
        <w:t xml:space="preserve">Furnish a final return in FORM GSTR-10 within three months of the effective date or the date of this order, whichever is later (section 45). If it is not filed, a notice in FORM GSTR-3A will follow, and then an assessment under section 62.</w:t>
      </w:r>
    </w:p>
    <w:p>
      <w:pPr>
        <w:pStyle w:val="BodyText"/>
        <w:spacing w:before="0" w:after="120" w:line="269" w:lineRule="auto"/>
      </w:pPr>
      <w:r>
        <w:t xml:space="preserve">6.3</w:t>
      </w:r>
      <w:r>
        <w:t xml:space="preserve"> </w:t>
      </w:r>
      <w:r>
        <w:rPr>
          <w:bCs/>
          <w:b/>
        </w:rPr>
        <w:t xml:space="preserve">Pending returns.</w:t>
      </w:r>
      <w:r>
        <w:t xml:space="preserve"> </w:t>
      </w:r>
      <w:r>
        <w:t xml:space="preserve">Furnish all returns due up to the effective date.</w:t>
      </w:r>
    </w:p>
    <w:p>
      <w:pPr>
        <w:pStyle w:val="BodyText"/>
        <w:spacing w:before="0" w:after="120" w:line="269" w:lineRule="auto"/>
        <w:jc w:val="both"/>
      </w:pPr>
      <w:r>
        <w:t xml:space="preserve">6.4</w:t>
      </w:r>
      <w:r>
        <w:t xml:space="preserve"> </w:t>
      </w:r>
      <w:r>
        <w:rPr>
          <w:bCs/>
          <w:b/>
        </w:rPr>
        <w:t xml:space="preserve">Past liability continues.</w:t>
      </w:r>
      <w:r>
        <w:t xml:space="preserve"> </w:t>
      </w:r>
      <w:r>
        <w:t xml:space="preserve">This cancellation does not affect your liability to pay tax and other dues, or to discharge any obligation, for any period before the effective date, whether determined before or after this order (section 29(3)).</w:t>
      </w:r>
    </w:p>
    <w:p>
      <w:pPr>
        <w:pStyle w:val="BodyText"/>
        <w:spacing w:before="0" w:after="120" w:line="269" w:lineRule="auto"/>
        <w:jc w:val="both"/>
      </w:pPr>
      <w:r>
        <w:t xml:space="preserve">6.5</w:t>
      </w:r>
      <w:r>
        <w:t xml:space="preserve"> </w:t>
      </w:r>
      <w:r>
        <w:rPr>
          <w:bCs/>
          <w:b/>
        </w:rPr>
        <w:t xml:space="preserve">[Option A only] Revocation.</w:t>
      </w:r>
      <w:r>
        <w:t xml:space="preserve"> </w:t>
      </w:r>
      <w:r>
        <w:t xml:space="preserve">You may apply in FORM GST REG-21 for revocation of this cancellation within</w:t>
      </w:r>
      <w:r>
        <w:t xml:space="preserve"> </w:t>
      </w:r>
      <w:r>
        <w:rPr>
          <w:bCs/>
          <w:b/>
        </w:rPr>
        <w:t xml:space="preserve">ninety days</w:t>
      </w:r>
      <w:r>
        <w:t xml:space="preserve"> </w:t>
      </w:r>
      <w:r>
        <w:t xml:space="preserve">of service of this order (section 30 read with rule 23). If the cancellation is for non-filing of returns, all returns must first be filed and the tax, interest, penalty and late fee paid. Aadhaar authentication under rule 10B is required.</w:t>
      </w:r>
    </w:p>
    <w:p>
      <w:pPr>
        <w:pStyle w:val="BodyText"/>
        <w:spacing w:before="0" w:after="120" w:line="269" w:lineRule="auto"/>
      </w:pPr>
      <w:r>
        <w:rPr>
          <w:bCs/>
          <w:b/>
        </w:rPr>
        <w:t xml:space="preserve">Your right of appeal</w:t>
      </w:r>
    </w:p>
    <w:p>
      <w:pPr>
        <w:pStyle w:val="BodyText"/>
        <w:spacing w:before="0" w:after="120" w:line="269" w:lineRule="auto"/>
        <w:jc w:val="both"/>
      </w:pPr>
      <w:r>
        <w:t xml:space="preserve">This order is appealable under section 107 of the CGST Act, 2017. The appeal lies to</w:t>
      </w:r>
      <w:r>
        <w:t xml:space="preserve"> </w:t>
      </w:r>
      <w:r>
        <w:rPr>
          <w:bCs/>
          <w:b/>
        </w:rPr>
        <w:t xml:space="preserve">an officer not below the rank of Joint Commissioner (Appeals)</w:t>
      </w:r>
      <w:r>
        <w:t xml:space="preserve"> </w:t>
      </w:r>
      <w:r>
        <w:t xml:space="preserve">[in the office of the Commissioner (Appeals-II), Hyderabad, Headquarters Office, 7th Floor, L.B. Stadium Road, Basheerbagh, Hyderabad – 500 004], because this order is passed by a Superintendent (rule 109A(1)(b) of the CGST Rules, 2017). File it in FORM GST APL-01 on the common portal within</w:t>
      </w:r>
      <w:r>
        <w:t xml:space="preserve"> </w:t>
      </w:r>
      <w:r>
        <w:rPr>
          <w:bCs/>
          <w:b/>
        </w:rPr>
        <w:t xml:space="preserve">three months</w:t>
      </w:r>
      <w:r>
        <w:t xml:space="preserve"> </w:t>
      </w:r>
      <w:r>
        <w:t xml:space="preserve">of the date on which this order is communicated to you; the appellate authority may allow one further month for sufficient cause (section 107(4)).</w:t>
      </w:r>
    </w:p>
    <w:p>
      <w:pPr>
        <w:pStyle w:val="BodyText"/>
        <w:keepLines/>
        <w:spacing w:before="480" w:after="120" w:line="269" w:lineRule="auto"/>
        <w:jc w:val="right"/>
      </w:pPr>
      <w:r>
        <w:rPr>
          <w:bCs/>
          <w:b/>
        </w:rPr>
        <w:t xml:space="preserve">(Signature)</w:t>
      </w:r>
      <w:r>
        <w:br/>
      </w:r>
      <w:r>
        <w:rPr>
          <w:bCs/>
          <w:b/>
        </w:rPr>
        <w:t xml:space="preserve">([Name of the Superintendent])</w:t>
      </w:r>
      <w:r>
        <w:br/>
      </w:r>
      <w:r>
        <w:t xml:space="preserve">Superintendent of Central Tax, [ ] Range</w:t>
      </w:r>
      <w:r>
        <w:br/>
      </w:r>
      <w:r>
        <w:t xml:space="preserve">Sangareddy CGST Division, Medchal CGST Commissionerate</w:t>
      </w:r>
      <w:r>
        <w:br/>
      </w:r>
      <w:r>
        <w:t xml:space="preserve">(digitally signed)</w:t>
      </w:r>
    </w:p>
    <w:p>
      <w:pPr>
        <w:pStyle w:val="BodyText"/>
        <w:spacing w:before="0" w:after="120" w:line="269" w:lineRule="auto"/>
        <w:jc w:val="both"/>
      </w:pPr>
      <w:r>
        <w:t xml:space="preserve">To,</w:t>
      </w:r>
      <w:r>
        <w:br/>
      </w:r>
      <w:r>
        <w:t xml:space="preserve">[Legal name], GSTIN [ ], [address for future correspondence] (through the common portal and by e-mail to [registered e-mail])</w:t>
      </w:r>
    </w:p>
    <w:p>
      <w:pPr>
        <w:pStyle w:val="BodyText"/>
        <w:spacing w:before="0" w:after="120" w:line="269" w:lineRule="auto"/>
      </w:pPr>
      <w:r>
        <w:t xml:space="preserve">Copy to:</w:t>
      </w:r>
    </w:p>
    <w:p>
      <w:pPr>
        <w:numPr>
          <w:ilvl w:val="0"/>
          <w:numId w:val="1001"/>
        </w:numPr>
        <w:pStyle w:val="Compact"/>
        <w:spacing w:before="0" w:after="120" w:line="269" w:lineRule="auto"/>
      </w:pPr>
      <w:r>
        <w:t xml:space="preserve">The Assistant Commissioner, Sangareddy CGST Division, for information.</w:t>
      </w:r>
    </w:p>
    <w:p>
      <w:pPr>
        <w:numPr>
          <w:ilvl w:val="0"/>
          <w:numId w:val="1001"/>
        </w:numPr>
        <w:pStyle w:val="Compact"/>
        <w:spacing w:before="0" w:after="120" w:line="269" w:lineRule="auto"/>
      </w:pPr>
      <w:r>
        <w:t xml:space="preserve">[Option A, ground G3 or G4: The nodal officer, Medchal CGST Commissionerate, with the list of recipients in other jurisdictions, for sharing under Instruction No. 02/2024-GST para 2(c).]</w:t>
      </w:r>
    </w:p>
    <w:p>
      <w:pPr>
        <w:numPr>
          <w:ilvl w:val="0"/>
          <w:numId w:val="1001"/>
        </w:numPr>
        <w:pStyle w:val="Compact"/>
        <w:spacing w:before="0" w:after="120" w:line="269" w:lineRule="auto"/>
      </w:pPr>
      <w:r>
        <w:t xml:space="preserve">Guard file.</w:t>
      </w:r>
    </w:p>
    <w:p>
      <w:pPr>
        <w:pStyle w:val="BlockText"/>
        <w:shd w:val="clear" w:color="auto" w:fill="E7E6E6"/>
      </w:pPr>
      <w:r>
        <w:rPr>
          <w:bCs/>
          <w:b/>
          <w:sz w:val="21"/>
        </w:rPr>
        <w:t xml:space="preserve">Drafting note: final check.</w:t>
      </w:r>
      <w:r>
        <w:rPr>
          <w:sz w:val="21"/>
        </w:rPr>
        <w:t xml:space="preserve"> </w:t>
      </w:r>
      <w:r>
        <w:rPr>
          <w:sz w:val="21"/>
        </w:rPr>
        <w:t xml:space="preserve">(1) The ground in paras 3 and 5 is the ground in the notice, nothing more. With Option B, renumber the common paragraphs 6 onwards as 3 onwards. (2) The recital in para 2 is true to the record. (3) Every submission is answered with a reason. (4) The effective date is in the table, para 4/2.2, para 5 and the portal, and they agree; a retrospective date was proposed in the notice. (5) Order within thirty days of the reply or application. (6) Appeal paragraph names an officer not below Joint Commissioner (Appeals). (7) No square bracket, unused option or drafting note remains.</w:t>
      </w:r>
    </w:p>
    <w:p>
      <w:pPr>
        <w:pStyle w:val="BlockText"/>
        <w:shd w:val="clear" w:color="auto" w:fill="E7E6E6"/>
        <w:spacing w:before="360"/>
      </w:pPr>
      <w:r>
        <w:rPr>
          <w:bCs/>
          <w:b/>
          <w:sz w:val="21"/>
        </w:rPr>
        <w:t xml:space="preserve">How to use this template.</w:t>
      </w:r>
      <w:r>
        <w:rPr>
          <w:sz w:val="21"/>
        </w:rPr>
        <w:t xml:space="preserve"> </w:t>
      </w:r>
      <w:r>
        <w:rPr>
          <w:sz w:val="21"/>
        </w:rPr>
        <w:t xml:space="preserve">Use</w:t>
      </w:r>
      <w:r>
        <w:rPr>
          <w:sz w:val="21"/>
        </w:rPr>
        <w:t xml:space="preserve"> </w:t>
      </w:r>
      <w:r>
        <w:rPr>
          <w:bCs/>
          <w:b/>
          <w:sz w:val="21"/>
        </w:rPr>
        <w:t xml:space="preserve">Option A</w:t>
      </w:r>
      <w:r>
        <w:rPr>
          <w:sz w:val="21"/>
        </w:rPr>
        <w:t xml:space="preserve"> </w:t>
      </w:r>
      <w:r>
        <w:rPr>
          <w:sz w:val="21"/>
        </w:rPr>
        <w:t xml:space="preserve">after a REG-17 (or a system REG-31), and</w:t>
      </w:r>
      <w:r>
        <w:rPr>
          <w:sz w:val="21"/>
        </w:rPr>
        <w:t xml:space="preserve"> </w:t>
      </w:r>
      <w:r>
        <w:rPr>
          <w:bCs/>
          <w:b/>
          <w:sz w:val="21"/>
        </w:rPr>
        <w:t xml:space="preserve">Option B</w:t>
      </w:r>
      <w:r>
        <w:rPr>
          <w:sz w:val="21"/>
        </w:rPr>
        <w:t xml:space="preserve"> </w:t>
      </w:r>
      <w:r>
        <w:rPr>
          <w:sz w:val="21"/>
        </w:rPr>
        <w:t xml:space="preserve">on the taxpayer’s own application in REG-16. Attach this order to the portal REG-19 as the</w:t>
      </w:r>
      <w:r>
        <w:rPr>
          <w:sz w:val="21"/>
        </w:rPr>
        <w:t xml:space="preserve"> </w:t>
      </w:r>
      <w:r>
        <w:rPr>
          <w:sz w:val="21"/>
        </w:rPr>
        <w:t xml:space="preserve">“</w:t>
      </w:r>
      <w:r>
        <w:rPr>
          <w:sz w:val="21"/>
        </w:rPr>
        <w:t xml:space="preserve">supportive document</w:t>
      </w:r>
      <w:r>
        <w:rPr>
          <w:sz w:val="21"/>
        </w:rPr>
        <w:t xml:space="preserve">”</w:t>
      </w:r>
      <w:r>
        <w:rPr>
          <w:sz w:val="21"/>
        </w:rPr>
        <w:t xml:space="preserve"> </w:t>
      </w:r>
      <w:r>
        <w:rPr>
          <w:sz w:val="21"/>
        </w:rPr>
        <w:t xml:space="preserve">and copy the effective date and a one-line reason into the form. Time limit:</w:t>
      </w:r>
      <w:r>
        <w:rPr>
          <w:sz w:val="21"/>
        </w:rPr>
        <w:t xml:space="preserve"> </w:t>
      </w:r>
      <w:r>
        <w:rPr>
          <w:bCs/>
          <w:b/>
          <w:sz w:val="21"/>
        </w:rPr>
        <w:t xml:space="preserve">thirty days</w:t>
      </w:r>
      <w:r>
        <w:rPr>
          <w:sz w:val="21"/>
        </w:rPr>
        <w:t xml:space="preserve"> </w:t>
      </w:r>
      <w:r>
        <w:rPr>
          <w:sz w:val="21"/>
        </w:rPr>
        <w:t xml:space="preserve">from the REG-18 reply (or REG-31 reply), or from the REG-16 (rule 22(3); Circular No. 69/43/2018-GST para 5). What the courts check (Telangana HC, binding): the order decides only the ground proposed in the notice (</w:t>
      </w:r>
      <w:r>
        <w:rPr>
          <w:iCs/>
          <w:i/>
          <w:sz w:val="21"/>
        </w:rPr>
        <w:t xml:space="preserve">JK Technology</w:t>
      </w:r>
      <w:r>
        <w:rPr>
          <w:sz w:val="21"/>
        </w:rPr>
        <w:t xml:space="preserve">, W.P. 21690/2026); it reflects the true record of reply and hearing (</w:t>
      </w:r>
      <w:r>
        <w:rPr>
          <w:iCs/>
          <w:i/>
          <w:sz w:val="21"/>
        </w:rPr>
        <w:t xml:space="preserve">Sheeshmahal</w:t>
      </w:r>
      <w:r>
        <w:rPr>
          <w:sz w:val="21"/>
        </w:rPr>
        <w:t xml:space="preserve">, W.P. 8344/2023); it gives reasons of its own; and any retrospective date was proposed in the notice and is justified (Delhi HC line). For non-filing cases, check the portal on the day of the order: if all returns have been filed and dues paid,</w:t>
      </w:r>
      <w:r>
        <w:rPr>
          <w:sz w:val="21"/>
        </w:rPr>
        <w:t xml:space="preserve"> </w:t>
      </w:r>
      <w:r>
        <w:rPr>
          <w:bCs/>
          <w:b/>
          <w:sz w:val="21"/>
        </w:rPr>
        <w:t xml:space="preserve">drop the proceedings by REG-20 (template R5) instead</w:t>
      </w:r>
      <w:r>
        <w:rPr>
          <w:sz w:val="21"/>
        </w:rPr>
        <w:t xml:space="preserve"> </w:t>
      </w:r>
      <w:r>
        <w:rPr>
          <w:sz w:val="21"/>
        </w:rPr>
        <w:t xml:space="preserve">(proviso to rule 22(4)).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issue.</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R4: Order for cancellation of registration (FORM GST REG-19, rule 22(3)), suo motu or on the taxpayer's application</dc:title>
  <dc:creator>Sangareddy CGST Division</dc:creator>
  <cp:keywords/>
  <dcterms:created xsi:type="dcterms:W3CDTF">2026-10-14T21:58:24Z</dcterms:created>
  <dcterms:modified xsi:type="dcterms:W3CDTF">2026-10-14T21:58:24Z</dcterms:modified>
</cp:coreProperties>
</file>

<file path=docProps/custom.xml><?xml version="1.0" encoding="utf-8"?>
<Properties xmlns="http://schemas.openxmlformats.org/officeDocument/2006/custom-properties" xmlns:vt="http://schemas.openxmlformats.org/officeDocument/2006/docPropsVTypes"/>
</file>