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अधीक्षक का कार्यालय</w:t>
      </w:r>
    </w:p>
    <w:p>
      <w:pPr>
        <w:spacing w:before="0" w:after="0" w:line="240" w:lineRule="auto"/>
        <w:jc w:val="center"/>
      </w:pPr>
      <w:r>
        <w:rPr>
          <w:b/>
          <w:sz w:val="23"/>
          <w:szCs w:val="23"/>
          <w:bCs/>
        </w:rPr>
        <w:t>OFFICE OF THE SUPERINTENDENT OF CENTRAL TAX, [        ] RANGE</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ORDER FOR DROPPING THE PROCEEDINGS FOR CANCELLATION OF REGISTRATION</w:t>
      </w:r>
      <w:r>
        <w:br/>
      </w:r>
      <w:r>
        <w:t xml:space="preserve">FORM GST REG-20 [rule 22(4) read with rule 21A(4) of the CGST Rules, 2017]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133"/>
        <w:gridCol w:w="7505"/>
      </w:tblGrid>
      <w:tr>
        <w:trPr>
          <w:tblHeader w:val="true"/>
          <w:tblHeader/>
        </w:trPr>
        <w:tc>
          <w:tcPr>
            <w:tcW w:type="dxa" w:w="2133"/>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505"/>
            <w:shd w:val="clear" w:color="auto" w:fill="DCE6F1"/>
          </w:tcPr>
          <w:p>
            <w:pPr>
              <w:pStyle w:val="Compact"/>
              <w:spacing w:before="0" w:after="0" w:line="240" w:lineRule="auto"/>
              <w:jc w:val="left"/>
            </w:pPr>
            <w:r>
              <w:rPr>
                <w:b/>
                <w:color w:val="1F3864"/>
                <w:sz w:val="21"/>
              </w:rPr>
              <w:t xml:space="preserve">Details</w:t>
            </w:r>
          </w:p>
        </w:tc>
      </w:tr>
      <w:tr>
        <w:tc>
          <w:tcPr>
            <w:tcW w:type="dxa" w:w="2133"/>
            <w:shd w:val="clear" w:color="auto" w:fill="F5F8FC"/>
          </w:tcPr>
          <w:p>
            <w:pPr>
              <w:pStyle w:val="Compact"/>
              <w:spacing w:before="0" w:after="0" w:line="240" w:lineRule="auto"/>
              <w:jc w:val="left"/>
            </w:pPr>
            <w:r>
              <w:rPr>
                <w:b/>
                <w:sz w:val="21"/>
              </w:rPr>
              <w:t xml:space="preserve">Order No. and date</w:t>
            </w:r>
          </w:p>
        </w:tc>
        <w:tc>
          <w:tcPr>
            <w:tcW w:type="dxa" w:w="7505"/>
          </w:tcPr>
          <w:p>
            <w:pPr>
              <w:pStyle w:val="Compact"/>
              <w:spacing w:before="0" w:after="0" w:line="240" w:lineRule="auto"/>
              <w:jc w:val="left"/>
            </w:pPr>
            <w:r>
              <w:rPr>
                <w:sz w:val="21"/>
              </w:rPr>
              <w:t xml:space="preserve">[ ] dated [DD.MM.YYYY]; RFN [ ]</w:t>
            </w:r>
          </w:p>
        </w:tc>
      </w:tr>
      <w:tr>
        <w:tc>
          <w:tcPr>
            <w:tcW w:type="dxa" w:w="2133"/>
            <w:shd w:val="clear" w:color="auto" w:fill="F5F8FC"/>
          </w:tcPr>
          <w:p>
            <w:pPr>
              <w:pStyle w:val="Compact"/>
              <w:spacing w:before="0" w:after="0" w:line="240" w:lineRule="auto"/>
              <w:jc w:val="left"/>
            </w:pPr>
            <w:r>
              <w:rPr>
                <w:b/>
                <w:sz w:val="21"/>
              </w:rPr>
              <w:t xml:space="preserve">To</w:t>
            </w:r>
          </w:p>
        </w:tc>
        <w:tc>
          <w:tcPr>
            <w:tcW w:type="dxa" w:w="7505"/>
          </w:tcPr>
          <w:p>
            <w:pPr>
              <w:pStyle w:val="Compact"/>
              <w:spacing w:before="0" w:after="0" w:line="240" w:lineRule="auto"/>
              <w:jc w:val="left"/>
            </w:pPr>
            <w:r>
              <w:rPr>
                <w:sz w:val="21"/>
              </w:rPr>
              <w:t xml:space="preserve">[Legal name] ([trade name]), GSTIN [ ], [address]</w:t>
            </w:r>
          </w:p>
        </w:tc>
      </w:tr>
      <w:tr>
        <w:tc>
          <w:tcPr>
            <w:tcW w:type="dxa" w:w="2133"/>
            <w:shd w:val="clear" w:color="auto" w:fill="F5F8FC"/>
          </w:tcPr>
          <w:p>
            <w:pPr>
              <w:pStyle w:val="Compact"/>
              <w:spacing w:before="0" w:after="0" w:line="240" w:lineRule="auto"/>
              <w:jc w:val="left"/>
            </w:pPr>
            <w:r>
              <w:rPr>
                <w:b/>
                <w:sz w:val="21"/>
              </w:rPr>
              <w:t xml:space="preserve">Notice</w:t>
            </w:r>
          </w:p>
        </w:tc>
        <w:tc>
          <w:tcPr>
            <w:tcW w:type="dxa" w:w="7505"/>
          </w:tcPr>
          <w:p>
            <w:pPr>
              <w:pStyle w:val="Compact"/>
              <w:spacing w:before="0" w:after="0" w:line="240" w:lineRule="auto"/>
              <w:jc w:val="left"/>
            </w:pPr>
            <w:r>
              <w:rPr>
                <w:sz w:val="21"/>
              </w:rPr>
              <w:t xml:space="preserve">[REG-17 No. [ ] dated [DD.MM.YYYY]] / [REG-31 Reference No. [ ] dated [DD.MM.YYYY]]</w:t>
            </w:r>
          </w:p>
        </w:tc>
      </w:tr>
      <w:tr>
        <w:tc>
          <w:tcPr>
            <w:tcW w:type="dxa" w:w="2133"/>
            <w:shd w:val="clear" w:color="auto" w:fill="F5F8FC"/>
          </w:tcPr>
          <w:p>
            <w:pPr>
              <w:pStyle w:val="Compact"/>
              <w:spacing w:before="0" w:after="0" w:line="240" w:lineRule="auto"/>
              <w:jc w:val="left"/>
            </w:pPr>
            <w:r>
              <w:rPr>
                <w:b/>
                <w:sz w:val="21"/>
              </w:rPr>
              <w:t xml:space="preserve">Ground(s) in the notice</w:t>
            </w:r>
          </w:p>
        </w:tc>
        <w:tc>
          <w:tcPr>
            <w:tcW w:type="dxa" w:w="7505"/>
          </w:tcPr>
          <w:p>
            <w:pPr>
              <w:pStyle w:val="Compact"/>
              <w:spacing w:before="0" w:after="0" w:line="240" w:lineRule="auto"/>
              <w:jc w:val="left"/>
            </w:pPr>
            <w:r>
              <w:rPr>
                <w:sz w:val="21"/>
              </w:rPr>
              <w:t xml:space="preserve">[section 29(2)([ ]) read with rule 21([ ]): one line]</w:t>
            </w:r>
          </w:p>
        </w:tc>
      </w:tr>
      <w:tr>
        <w:tc>
          <w:tcPr>
            <w:tcW w:type="dxa" w:w="2133"/>
            <w:shd w:val="clear" w:color="auto" w:fill="F5F8FC"/>
          </w:tcPr>
          <w:p>
            <w:pPr>
              <w:pStyle w:val="Compact"/>
              <w:spacing w:before="0" w:after="0" w:line="240" w:lineRule="auto"/>
              <w:jc w:val="left"/>
            </w:pPr>
            <w:r>
              <w:rPr>
                <w:b/>
                <w:sz w:val="21"/>
              </w:rPr>
              <w:t xml:space="preserve">Reply / compliance</w:t>
            </w:r>
          </w:p>
        </w:tc>
        <w:tc>
          <w:tcPr>
            <w:tcW w:type="dxa" w:w="7505"/>
          </w:tcPr>
          <w:p>
            <w:pPr>
              <w:pStyle w:val="Compact"/>
              <w:spacing w:before="0" w:after="0" w:line="240" w:lineRule="auto"/>
              <w:jc w:val="left"/>
            </w:pPr>
            <w:r>
              <w:rPr>
                <w:sz w:val="21"/>
              </w:rPr>
              <w:t xml:space="preserve">[REG-18, ARN [ ] dated [DD.MM.YYYY]] / [returns filed: ARNs listed in para 2] / [bank details furnished on [DD.MM.YYYY]]</w:t>
            </w:r>
          </w:p>
        </w:tc>
      </w:tr>
      <w:tr>
        <w:tc>
          <w:tcPr>
            <w:tcW w:type="dxa" w:w="2133"/>
            <w:shd w:val="clear" w:color="auto" w:fill="F5F8FC"/>
          </w:tcPr>
          <w:p>
            <w:pPr>
              <w:pStyle w:val="Compact"/>
              <w:spacing w:before="0" w:after="0" w:line="240" w:lineRule="auto"/>
              <w:jc w:val="left"/>
            </w:pPr>
            <w:r>
              <w:rPr>
                <w:b/>
                <w:sz w:val="21"/>
              </w:rPr>
              <w:t xml:space="preserve">Suspension</w:t>
            </w:r>
          </w:p>
        </w:tc>
        <w:tc>
          <w:tcPr>
            <w:tcW w:type="dxa" w:w="7505"/>
          </w:tcPr>
          <w:p>
            <w:pPr>
              <w:pStyle w:val="Compact"/>
              <w:spacing w:before="0" w:after="0" w:line="240" w:lineRule="auto"/>
              <w:jc w:val="left"/>
            </w:pPr>
            <w:r>
              <w:rPr>
                <w:sz w:val="21"/>
              </w:rPr>
              <w:t xml:space="preserve">[From [DD.MM.YYYY]; revoked by this order] / [None]</w:t>
            </w:r>
          </w:p>
        </w:tc>
      </w:tr>
    </w:tbl>
    <w:p>
      <w:pPr>
        <w:pStyle w:val="BodyText"/>
        <w:keepNext/>
        <w:spacing w:before="240" w:after="80"/>
        <w:pBdr>
          <w:bottom w:val="single" w:sz="6" w:space="1" w:color="B4C6E7"/>
        </w:pBdr>
      </w:pPr>
      <w:r>
        <w:rPr>
          <w:bCs/>
          <w:b/>
          <w:color w:val="1F3864"/>
          <w:sz w:val="25"/>
        </w:rPr>
        <w:t xml:space="preserve">1. The proceedings</w:t>
      </w:r>
    </w:p>
    <w:p>
      <w:pPr>
        <w:pStyle w:val="BodyText"/>
        <w:spacing w:before="0" w:after="120" w:line="269" w:lineRule="auto"/>
        <w:jc w:val="both"/>
      </w:pPr>
      <w:r>
        <w:t xml:space="preserve">1.1 By the notice referred to above, cancellation of your registration was proposed on the ground(s) stated in the table. [Your registration was suspended with effect from [DD.MM.YYYY].]</w:t>
      </w:r>
    </w:p>
    <w:p>
      <w:pPr>
        <w:pStyle w:val="BodyText"/>
        <w:keepNext/>
        <w:spacing w:before="240" w:after="80"/>
        <w:pBdr>
          <w:bottom w:val="single" w:sz="6" w:space="1" w:color="B4C6E7"/>
        </w:pBdr>
      </w:pPr>
      <w:r>
        <w:rPr>
          <w:bCs/>
          <w:b/>
          <w:color w:val="1F3864"/>
          <w:sz w:val="25"/>
        </w:rPr>
        <w:t xml:space="preserve">2. Reasons for dropping the proceedings</w:t>
      </w:r>
    </w:p>
    <w:p>
      <w:pPr>
        <w:pStyle w:val="BodyText"/>
        <w:spacing w:before="0" w:after="120" w:line="269" w:lineRule="auto"/>
      </w:pPr>
      <w:r>
        <w:rPr>
          <w:bCs/>
          <w:b/>
        </w:rPr>
        <w:t xml:space="preserve">[Option A: reply found satisfactory]</w:t>
      </w:r>
    </w:p>
    <w:p>
      <w:pPr>
        <w:pStyle w:val="BodyText"/>
        <w:spacing w:before="0" w:after="120" w:line="269" w:lineRule="auto"/>
        <w:jc w:val="both"/>
      </w:pPr>
      <w:r>
        <w:t xml:space="preserve">2.1 You replied on [DD.MM.YYYY] [and were heard on [DD.MM.YYYY]]. You produced [list: e.g. registered lease dated [ ] for the declared premises, electricity bills for [months] in your name, purchase and sale invoices for [months], photographs of the premises with stock]. [A re-verification on [DD.MM.YYYY] by [name, designation] found the business functioning at the declared address (report No. [ ]).]</w:t>
      </w:r>
    </w:p>
    <w:p>
      <w:pPr>
        <w:pStyle w:val="BodyText"/>
        <w:spacing w:before="0" w:after="120" w:line="269" w:lineRule="auto"/>
        <w:jc w:val="both"/>
      </w:pPr>
      <w:r>
        <w:t xml:space="preserve">2.2 On this material I am satisfied that [business is conducted from the declared place of business / the invoices in question were backed by supply, as shown by [ ] / the ITC in question was availed on supplies actually received]. The ground in the notice is not established.</w:t>
      </w:r>
    </w:p>
    <w:p>
      <w:pPr>
        <w:pStyle w:val="BodyText"/>
        <w:spacing w:before="0" w:after="120" w:line="269" w:lineRule="auto"/>
      </w:pPr>
      <w:r>
        <w:rPr>
          <w:bCs/>
          <w:b/>
        </w:rPr>
        <w:t xml:space="preserve">[Option B: all pending returns filed and dues paid; mandatory under the proviso to rule 22(4)]</w:t>
      </w:r>
    </w:p>
    <w:p>
      <w:pPr>
        <w:pStyle w:val="BodyText"/>
        <w:spacing w:before="0" w:after="120" w:line="269" w:lineRule="auto"/>
        <w:jc w:val="both"/>
      </w:pPr>
      <w:r>
        <w:t xml:space="preserve">2.1 Cancellation was proposed for non-furnishing of returns under section 29(2)([b] / [c]). Instead of replying, you have furnished all the pending returns and paid the tax due with interest and late fee: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748"/>
        <w:gridCol w:w="1748"/>
        <w:gridCol w:w="1589"/>
        <w:gridCol w:w="1589"/>
        <w:gridCol w:w="2966"/>
      </w:tblGrid>
      <w:tr>
        <w:trPr>
          <w:tblHeader w:val="true"/>
          <w:tblHeader/>
        </w:trPr>
        <w:tc>
          <w:tcPr>
            <w:tcW w:type="dxa" w:w="1748"/>
            <w:shd w:val="clear" w:color="auto" w:fill="DCE6F1"/>
          </w:tcPr>
          <w:p>
            <w:pPr>
              <w:pStyle w:val="Compact"/>
              <w:spacing w:before="0" w:after="0" w:line="240" w:lineRule="auto"/>
              <w:jc w:val="left"/>
            </w:pPr>
            <w:r>
              <w:rPr>
                <w:b/>
                <w:color w:val="1F3864"/>
                <w:sz w:val="21"/>
              </w:rPr>
              <w:t xml:space="preserve">Return</w:t>
            </w:r>
          </w:p>
        </w:tc>
        <w:tc>
          <w:tcPr>
            <w:tcW w:type="dxa" w:w="1748"/>
            <w:shd w:val="clear" w:color="auto" w:fill="DCE6F1"/>
          </w:tcPr>
          <w:p>
            <w:pPr>
              <w:pStyle w:val="Compact"/>
              <w:spacing w:before="0" w:after="0" w:line="240" w:lineRule="auto"/>
              <w:jc w:val="left"/>
            </w:pPr>
            <w:r>
              <w:rPr>
                <w:b/>
                <w:color w:val="1F3864"/>
                <w:sz w:val="21"/>
              </w:rPr>
              <w:t xml:space="preserve">Tax period</w:t>
            </w:r>
          </w:p>
        </w:tc>
        <w:tc>
          <w:tcPr>
            <w:tcW w:type="dxa" w:w="1589"/>
            <w:shd w:val="clear" w:color="auto" w:fill="DCE6F1"/>
          </w:tcPr>
          <w:p>
            <w:pPr>
              <w:pStyle w:val="Compact"/>
              <w:spacing w:before="0" w:after="0" w:line="240" w:lineRule="auto"/>
              <w:jc w:val="left"/>
            </w:pPr>
            <w:r>
              <w:rPr>
                <w:b/>
                <w:color w:val="1F3864"/>
                <w:sz w:val="21"/>
              </w:rPr>
              <w:t xml:space="preserve">ARN</w:t>
            </w:r>
          </w:p>
        </w:tc>
        <w:tc>
          <w:tcPr>
            <w:tcW w:type="dxa" w:w="1589"/>
            <w:shd w:val="clear" w:color="auto" w:fill="DCE6F1"/>
          </w:tcPr>
          <w:p>
            <w:pPr>
              <w:pStyle w:val="Compact"/>
              <w:spacing w:before="0" w:after="0" w:line="240" w:lineRule="auto"/>
              <w:jc w:val="left"/>
            </w:pPr>
            <w:r>
              <w:rPr>
                <w:b/>
                <w:color w:val="1F3864"/>
                <w:sz w:val="21"/>
              </w:rPr>
              <w:t xml:space="preserve">Date filed</w:t>
            </w:r>
          </w:p>
        </w:tc>
        <w:tc>
          <w:tcPr>
            <w:tcW w:type="dxa" w:w="2966"/>
            <w:shd w:val="clear" w:color="auto" w:fill="DCE6F1"/>
          </w:tcPr>
          <w:p>
            <w:pPr>
              <w:pStyle w:val="Compact"/>
              <w:spacing w:before="0" w:after="0" w:line="240" w:lineRule="auto"/>
              <w:jc w:val="left"/>
            </w:pPr>
            <w:r>
              <w:rPr>
                <w:b/>
                <w:color w:val="1F3864"/>
                <w:sz w:val="21"/>
              </w:rPr>
              <w:t xml:space="preserve">Tax, interest and late fee paid (challan / DRC-03)</w:t>
            </w:r>
          </w:p>
        </w:tc>
      </w:tr>
      <w:tr>
        <w:tc>
          <w:tcPr>
            <w:tcW w:type="dxa" w:w="1748"/>
          </w:tcPr>
          <w:p>
            <w:pPr>
              <w:pStyle w:val="Compact"/>
              <w:spacing w:before="0" w:after="0" w:line="240" w:lineRule="auto"/>
              <w:jc w:val="left"/>
            </w:pPr>
            <w:r>
              <w:rPr>
                <w:sz w:val="21"/>
              </w:rPr>
              <w:t xml:space="preserve">[GSTR-3B]</w:t>
            </w:r>
          </w:p>
        </w:tc>
        <w:tc>
          <w:tcPr>
            <w:tcW w:type="dxa" w:w="1748"/>
          </w:tcPr>
          <w:p>
            <w:pPr>
              <w:pStyle w:val="Compact"/>
              <w:spacing w:before="0" w:after="0" w:line="240" w:lineRule="auto"/>
              <w:jc w:val="left"/>
            </w:pPr>
            <w:r>
              <w:rPr>
                <w:sz w:val="21"/>
              </w:rPr>
              <w:t xml:space="preserve">[Month YYYY]</w:t>
            </w:r>
          </w:p>
        </w:tc>
        <w:tc>
          <w:tcPr>
            <w:tcW w:type="dxa" w:w="1589"/>
          </w:tcPr>
          <w:p>
            <w:pPr>
              <w:pStyle w:val="Compact"/>
              <w:spacing w:before="0" w:after="0" w:line="240" w:lineRule="auto"/>
              <w:jc w:val="left"/>
            </w:pPr>
            <w:r>
              <w:rPr>
                <w:sz w:val="21"/>
              </w:rPr>
              <w:t xml:space="preserve">[ ]</w:t>
            </w:r>
          </w:p>
        </w:tc>
        <w:tc>
          <w:tcPr>
            <w:tcW w:type="dxa" w:w="1589"/>
          </w:tcPr>
          <w:p>
            <w:pPr>
              <w:pStyle w:val="Compact"/>
              <w:spacing w:before="0" w:after="0" w:line="240" w:lineRule="auto"/>
              <w:jc w:val="left"/>
            </w:pPr>
            <w:r>
              <w:rPr>
                <w:sz w:val="21"/>
              </w:rPr>
              <w:t xml:space="preserve">[DD.MM.YYYY]</w:t>
            </w:r>
          </w:p>
        </w:tc>
        <w:tc>
          <w:tcPr>
            <w:tcW w:type="dxa" w:w="2966"/>
          </w:tcPr>
          <w:p>
            <w:pPr>
              <w:pStyle w:val="Compact"/>
              <w:spacing w:before="0" w:after="0" w:line="240" w:lineRule="auto"/>
              <w:jc w:val="left"/>
            </w:pPr>
            <w:r>
              <w:rPr>
                <w:sz w:val="21"/>
              </w:rPr>
              <w:t xml:space="preserve">[ ]</w:t>
            </w:r>
          </w:p>
        </w:tc>
      </w:tr>
      <w:tr>
        <w:tc>
          <w:tcPr>
            <w:tcW w:type="dxa" w:w="1748"/>
          </w:tcPr>
          <w:p>
            <w:pPr>
              <w:pStyle w:val="Compact"/>
              <w:spacing w:before="0" w:after="0" w:line="240" w:lineRule="auto"/>
              <w:jc w:val="left"/>
            </w:pPr>
            <w:r>
              <w:rPr>
                <w:sz w:val="21"/>
              </w:rPr>
              <w:t xml:space="preserve">[ ]</w:t>
            </w:r>
          </w:p>
        </w:tc>
        <w:tc>
          <w:tcPr>
            <w:tcW w:type="dxa" w:w="1748"/>
          </w:tcPr>
          <w:p>
            <w:pPr>
              <w:pStyle w:val="Compact"/>
              <w:spacing w:before="0" w:after="0" w:line="240" w:lineRule="auto"/>
              <w:jc w:val="left"/>
            </w:pPr>
            <w:r>
              <w:rPr>
                <w:sz w:val="21"/>
              </w:rPr>
              <w:t xml:space="preserve">[ ]</w:t>
            </w:r>
          </w:p>
        </w:tc>
        <w:tc>
          <w:tcPr>
            <w:tcW w:type="dxa" w:w="1589"/>
          </w:tcPr>
          <w:p>
            <w:pPr>
              <w:pStyle w:val="Compact"/>
              <w:spacing w:before="0" w:after="0" w:line="240" w:lineRule="auto"/>
              <w:jc w:val="left"/>
            </w:pPr>
            <w:r>
              <w:rPr>
                <w:sz w:val="21"/>
              </w:rPr>
              <w:t xml:space="preserve">[ ]</w:t>
            </w:r>
          </w:p>
        </w:tc>
        <w:tc>
          <w:tcPr>
            <w:tcW w:type="dxa" w:w="1589"/>
          </w:tcPr>
          <w:p>
            <w:pPr>
              <w:pStyle w:val="Compact"/>
              <w:spacing w:before="0" w:after="0" w:line="240" w:lineRule="auto"/>
              <w:jc w:val="left"/>
            </w:pPr>
            <w:r>
              <w:rPr>
                <w:sz w:val="21"/>
              </w:rPr>
              <w:t xml:space="preserve">[ ]</w:t>
            </w:r>
          </w:p>
        </w:tc>
        <w:tc>
          <w:tcPr>
            <w:tcW w:type="dxa" w:w="2966"/>
          </w:tcPr>
          <w:p>
            <w:pPr>
              <w:pStyle w:val="Compact"/>
              <w:spacing w:before="0" w:after="0" w:line="240" w:lineRule="auto"/>
              <w:jc w:val="left"/>
            </w:pPr>
            <w:r>
              <w:rPr>
                <w:sz w:val="21"/>
              </w:rPr>
              <w:t xml:space="preserve">[ ]</w:t>
            </w:r>
          </w:p>
        </w:tc>
      </w:tr>
    </w:tbl>
    <w:p>
      <w:pPr>
        <w:pStyle w:val="BodyText"/>
        <w:spacing w:before="0" w:after="120" w:line="269" w:lineRule="auto"/>
        <w:jc w:val="both"/>
      </w:pPr>
      <w:r>
        <w:t xml:space="preserve">2.2 No return due on the date of the notice remains unfiled. Under the proviso to rule 22(4), the proceedings are to be dropped.</w:t>
      </w:r>
    </w:p>
    <w:p>
      <w:pPr>
        <w:pStyle w:val="BodyText"/>
        <w:spacing w:before="0" w:after="120" w:line="269" w:lineRule="auto"/>
      </w:pPr>
      <w:r>
        <w:rPr>
          <w:bCs/>
          <w:b/>
        </w:rPr>
        <w:t xml:space="preserve">[Option C: bank account details furnished, rule 10A]</w:t>
      </w:r>
    </w:p>
    <w:p>
      <w:pPr>
        <w:pStyle w:val="BodyText"/>
        <w:spacing w:before="0" w:after="120" w:line="269" w:lineRule="auto"/>
        <w:jc w:val="both"/>
      </w:pPr>
      <w:r>
        <w:t xml:space="preserve">2.1 The notice was issued because valid bank account details had not been furnished under rule 10A. You furnished valid details (account ending [ ], [bank]) on the common portal on [DD.MM.YYYY], and they have been validated.</w:t>
      </w:r>
    </w:p>
    <w:p>
      <w:pPr>
        <w:pStyle w:val="BodyText"/>
        <w:spacing w:before="0" w:after="120" w:line="269" w:lineRule="auto"/>
      </w:pPr>
      <w:r>
        <w:rPr>
          <w:bCs/>
          <w:b/>
        </w:rPr>
        <w:t xml:space="preserve">[Option D: suspension revoked on prima facie satisfaction; verification continues]</w:t>
      </w:r>
    </w:p>
    <w:p>
      <w:pPr>
        <w:pStyle w:val="BodyText"/>
        <w:spacing w:before="0" w:after="120" w:line="269" w:lineRule="auto"/>
        <w:jc w:val="both"/>
      </w:pPr>
      <w:r>
        <w:t xml:space="preserve">2.1 Your reply dated [DD.MM.YYYY] to the REG-31 explains the differences noted in it as follows: [ ]. I am prima facie satisfied with the explanation. Detailed verification of [ ] will continue. If that verification shows that your registration is liable to cancellation, fresh proceedings will be started by a notice in FORM GST REG-17 (Circular No. 145/01/2021-GST para 5.4).</w:t>
      </w:r>
    </w:p>
    <w:p>
      <w:pPr>
        <w:pStyle w:val="BodyText"/>
        <w:keepNext/>
        <w:spacing w:before="240" w:after="80"/>
        <w:pBdr>
          <w:bottom w:val="single" w:sz="6" w:space="1" w:color="B4C6E7"/>
        </w:pBdr>
      </w:pPr>
      <w:r>
        <w:rPr>
          <w:bCs/>
          <w:b/>
          <w:color w:val="1F3864"/>
          <w:sz w:val="25"/>
        </w:rPr>
        <w:t xml:space="preserve">3. Order</w:t>
      </w:r>
    </w:p>
    <w:p>
      <w:pPr>
        <w:pStyle w:val="BodyText"/>
        <w:spacing w:before="0" w:after="120" w:line="269" w:lineRule="auto"/>
        <w:jc w:val="both"/>
      </w:pPr>
      <w:r>
        <w:t xml:space="preserve">3.1 For the reasons in para 2,</w:t>
      </w:r>
      <w:r>
        <w:t xml:space="preserve"> </w:t>
      </w:r>
      <w:r>
        <w:rPr>
          <w:bCs/>
          <w:b/>
        </w:rPr>
        <w:t xml:space="preserve">the proceedings initiated for cancellation of your registration by the notice referred to above are dropped</w:t>
      </w:r>
      <w:r>
        <w:t xml:space="preserve"> </w:t>
      </w:r>
      <w:r>
        <w:t xml:space="preserve">under rule 22(4).</w:t>
      </w:r>
    </w:p>
    <w:p>
      <w:pPr>
        <w:pStyle w:val="BodyText"/>
        <w:spacing w:before="0" w:after="120" w:line="269" w:lineRule="auto"/>
        <w:jc w:val="both"/>
      </w:pPr>
      <w:r>
        <w:t xml:space="preserve">3.2 [The suspension of your registration stands revoked with effect from</w:t>
      </w:r>
      <w:r>
        <w:t xml:space="preserve"> </w:t>
      </w:r>
      <w:r>
        <w:rPr>
          <w:bCs/>
          <w:b/>
        </w:rPr>
        <w:t xml:space="preserve">[DD.MM.YYYY]</w:t>
      </w:r>
      <w:r>
        <w:t xml:space="preserve">, the date from which it took effect (rule 21A(4)).] For supplies made during the period of suspension, you may issue invoices within thirty days of this order (section 31(3)(a)) and report them in your first return after this order (section 40) (rule 21A(5)).</w:t>
      </w:r>
    </w:p>
    <w:p>
      <w:pPr>
        <w:pStyle w:val="BodyText"/>
        <w:spacing w:before="0" w:after="120" w:line="269" w:lineRule="auto"/>
        <w:jc w:val="both"/>
      </w:pPr>
      <w:r>
        <w:t xml:space="preserve">3.3 Dropping these proceedings does not decide any liability to tax, interest or penalty for any period, which may be examined separately under the Act.</w:t>
      </w:r>
    </w:p>
    <w:p>
      <w:pPr>
        <w:pStyle w:val="BodyText"/>
        <w:keepLines/>
        <w:spacing w:before="480" w:after="120" w:line="269" w:lineRule="auto"/>
        <w:jc w:val="right"/>
      </w:pPr>
      <w:r>
        <w:rPr>
          <w:bCs/>
          <w:b/>
        </w:rPr>
        <w:t xml:space="preserve">(Signature)</w:t>
      </w:r>
      <w:r>
        <w:br/>
      </w:r>
      <w:r>
        <w:rPr>
          <w:bCs/>
          <w:b/>
        </w:rPr>
        <w:t xml:space="preserve">([Name of the Superintendent])</w:t>
      </w:r>
      <w:r>
        <w:br/>
      </w:r>
      <w:r>
        <w:t xml:space="preserve">Superintendent of Central Tax, [ ] Range</w:t>
      </w:r>
      <w:r>
        <w:br/>
      </w:r>
      <w:r>
        <w:t xml:space="preserve">Sangareddy CGST Division, Medchal CGST Commissionerate</w:t>
      </w:r>
      <w:r>
        <w:br/>
      </w:r>
      <w:r>
        <w:t xml:space="preserve">(digitally signed)</w:t>
      </w:r>
    </w:p>
    <w:p>
      <w:pPr>
        <w:pStyle w:val="BodyText"/>
        <w:spacing w:before="0" w:after="120" w:line="269" w:lineRule="auto"/>
      </w:pPr>
      <w:r>
        <w:t xml:space="preserve">To,</w:t>
      </w:r>
      <w:r>
        <w:br/>
      </w:r>
      <w:r>
        <w:t xml:space="preserve">[Legal name], GSTIN [ ], [address] (through the common portal and by e-mail to [registered e-mail])</w:t>
      </w:r>
    </w:p>
    <w:p>
      <w:pPr>
        <w:pStyle w:val="BodyText"/>
        <w:spacing w:before="0" w:after="120" w:line="269" w:lineRule="auto"/>
      </w:pPr>
      <w:r>
        <w:t xml:space="preserve">Copy to: Guard file.</w:t>
      </w:r>
    </w:p>
    <w:p>
      <w:pPr>
        <w:pStyle w:val="BlockText"/>
        <w:shd w:val="clear" w:color="auto" w:fill="E7E6E6"/>
      </w:pPr>
      <w:r>
        <w:rPr>
          <w:bCs/>
          <w:b/>
          <w:sz w:val="21"/>
        </w:rPr>
        <w:t xml:space="preserve">Drafting note: final check.</w:t>
      </w:r>
      <w:r>
        <w:rPr>
          <w:sz w:val="21"/>
        </w:rPr>
        <w:t xml:space="preserve"> </w:t>
      </w:r>
      <w:r>
        <w:rPr>
          <w:sz w:val="21"/>
        </w:rPr>
        <w:t xml:space="preserve">(1) Only one option remains. (2) For Option B, every return due on the date of the notice is in the table and the payments are verified in the ledgers. (3) The suspension date in para 3.2 matches the portal. (4) No square bracket or drafting note remains.</w:t>
      </w:r>
    </w:p>
    <w:p>
      <w:pPr>
        <w:pStyle w:val="BlockText"/>
        <w:shd w:val="clear" w:color="auto" w:fill="E7E6E6"/>
        <w:spacing w:before="360"/>
      </w:pPr>
      <w:r>
        <w:rPr>
          <w:bCs/>
          <w:b/>
          <w:sz w:val="21"/>
        </w:rPr>
        <w:t xml:space="preserve">How to use this template.</w:t>
      </w:r>
      <w:r>
        <w:rPr>
          <w:sz w:val="21"/>
        </w:rPr>
        <w:t xml:space="preserve"> </w:t>
      </w:r>
      <w:r>
        <w:rPr>
          <w:sz w:val="21"/>
        </w:rPr>
        <w:t xml:space="preserve">Use it when (A) the reply to a REG-17 or REG-31 is satisfactory; (B) a non-filer has filed</w:t>
      </w:r>
      <w:r>
        <w:rPr>
          <w:sz w:val="21"/>
        </w:rPr>
        <w:t xml:space="preserve"> </w:t>
      </w:r>
      <w:r>
        <w:rPr>
          <w:bCs/>
          <w:b/>
          <w:sz w:val="21"/>
        </w:rPr>
        <w:t xml:space="preserve">all</w:t>
      </w:r>
      <w:r>
        <w:rPr>
          <w:sz w:val="21"/>
        </w:rPr>
        <w:t xml:space="preserve"> </w:t>
      </w:r>
      <w:r>
        <w:rPr>
          <w:sz w:val="21"/>
        </w:rPr>
        <w:t xml:space="preserve">pending returns and paid tax, interest and late fee, in which case dropping is</w:t>
      </w:r>
      <w:r>
        <w:rPr>
          <w:sz w:val="21"/>
        </w:rPr>
        <w:t xml:space="preserve"> </w:t>
      </w:r>
      <w:r>
        <w:rPr>
          <w:bCs/>
          <w:b/>
          <w:sz w:val="21"/>
        </w:rPr>
        <w:t xml:space="preserve">mandatory</w:t>
      </w:r>
      <w:r>
        <w:rPr>
          <w:sz w:val="21"/>
        </w:rPr>
        <w:t xml:space="preserve"> </w:t>
      </w:r>
      <w:r>
        <w:rPr>
          <w:sz w:val="21"/>
        </w:rPr>
        <w:t xml:space="preserve">(proviso to rule 22(4)); (C) a rule 10A defaulter has furnished valid bank details; or (D) you are prima facie satisfied with a REG-31 reply and want to revoke the suspension while verification continues (Circular No. 145/01/2021-GST para 5.4). Keep the one option that applies. Copy the reason line into the portal REG-20 and attach this order.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before issue.</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R5: Order dropping cancellation proceedings and revoking suspension (FORM GST REG-20, rule 22(4) and rule 21A(4))</dc:title>
  <dc:creator>Sangareddy CGST Division</dc:creator>
  <cp:keywords/>
  <dcterms:created xsi:type="dcterms:W3CDTF">2026-10-14T21:58:24Z</dcterms:created>
  <dcterms:modified xsi:type="dcterms:W3CDTF">2026-10-14T21:58:24Z</dcterms:modified>
</cp:coreProperties>
</file>

<file path=docProps/custom.xml><?xml version="1.0" encoding="utf-8"?>
<Properties xmlns="http://schemas.openxmlformats.org/officeDocument/2006/custom-properties" xmlns:vt="http://schemas.openxmlformats.org/officeDocument/2006/docPropsVTypes"/>
</file>