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Bdr>
          <w:top w:val="single" w:sz="36" w:space="6" w:color="FF9933"/>
        </w:pBdr>
      </w:pPr>
      <w:r>
        <w:rPr>
          <w:rFonts w:ascii="Nirmala UI" w:hAnsi="Nirmala UI" w:cs="Nirmala UI" w:hint="cs"/>
          <w:b/>
          <w:color w:val="1F3864"/>
          <w:sz w:val="22"/>
          <w:szCs w:val="22"/>
          <w:bCs/>
        </w:rPr>
        <w:t xml:space="preserve">भारत सरकार  </w:t>
      </w:r>
      <w:r>
        <w:rPr>
          <w:b/>
          <w:color w:val="1F3864"/>
          <w:sz w:val="22"/>
          <w:szCs w:val="22"/>
          <w:bCs/>
        </w:rPr>
        <w:t>|  GOVERNMENT OF INDIA</w:t>
      </w:r>
    </w:p>
    <w:p>
      <w:pPr>
        <w:spacing w:before="0" w:after="0" w:line="240" w:lineRule="auto"/>
        <w:jc w:val="center"/>
      </w:pPr>
      <w:r>
        <w:rPr>
          <w:rFonts w:ascii="Nirmala UI" w:hAnsi="Nirmala UI" w:cs="Nirmala UI" w:hint="cs"/>
          <w:b w:val="0"/>
          <w:color w:val="595959"/>
          <w:sz w:val="18"/>
          <w:szCs w:val="18"/>
        </w:rPr>
        <w:t xml:space="preserve">वित्त मंत्रालय, राजस्व विभाग  </w:t>
      </w:r>
      <w:r>
        <w:rPr>
          <w:b w:val="0"/>
          <w:color w:val="595959"/>
          <w:sz w:val="18"/>
          <w:szCs w:val="18"/>
        </w:rPr>
        <w:t>|  MINISTRY OF FINANCE, DEPARTMENT OF REVENUE</w:t>
      </w:r>
    </w:p>
    <w:p>
      <w:pPr>
        <w:spacing w:before="0" w:after="0" w:line="240" w:lineRule="auto"/>
        <w:jc w:val="center"/>
      </w:pPr>
      <w:r>
        <w:rPr>
          <w:rFonts w:ascii="Nirmala UI" w:hAnsi="Nirmala UI" w:cs="Nirmala UI" w:hint="cs"/>
          <w:b/>
          <w:sz w:val="22"/>
          <w:szCs w:val="22"/>
          <w:bCs/>
        </w:rPr>
        <w:t>केन्द्रीय कर अधीक्षक का कार्यालय</w:t>
      </w:r>
    </w:p>
    <w:p>
      <w:pPr>
        <w:spacing w:before="0" w:after="0" w:line="240" w:lineRule="auto"/>
        <w:jc w:val="center"/>
      </w:pPr>
      <w:r>
        <w:rPr>
          <w:b/>
          <w:sz w:val="23"/>
          <w:szCs w:val="23"/>
          <w:bCs/>
        </w:rPr>
        <w:t>OFFICE OF THE SUPERINTENDENT OF CENTRAL TAX, [        ] RANGE</w:t>
      </w:r>
    </w:p>
    <w:p>
      <w:pPr>
        <w:spacing w:before="0" w:after="0" w:line="240" w:lineRule="auto"/>
        <w:jc w:val="center"/>
      </w:pPr>
      <w:r>
        <w:rPr>
          <w:b/>
          <w:color w:val="1F3864"/>
          <w:sz w:val="32"/>
          <w:szCs w:val="32"/>
          <w:bCs/>
        </w:rPr>
        <w:t>SANGAREDDY CGST DIVISION</w:t>
      </w:r>
    </w:p>
    <w:p>
      <w:pPr>
        <w:spacing w:before="0" w:after="0" w:line="240" w:lineRule="auto"/>
        <w:jc w:val="center"/>
      </w:pPr>
      <w:r>
        <w:rPr>
          <w:b/>
          <w:color w:val="1F3864"/>
          <w:sz w:val="22"/>
          <w:szCs w:val="22"/>
          <w:bCs/>
        </w:rPr>
        <w:t>MEDCHAL CGST COMMISSIONERATE</w:t>
      </w:r>
    </w:p>
    <w:p>
      <w:pPr>
        <w:spacing w:before="0" w:after="0" w:line="240" w:lineRule="auto"/>
        <w:jc w:val="center"/>
      </w:pPr>
      <w:r>
        <w:rPr>
          <w:b w:val="0"/>
          <w:color w:val="595959"/>
          <w:sz w:val="18"/>
          <w:szCs w:val="18"/>
        </w:rPr>
        <w:t>Plot No. 328, SSR Arcade, Mathrusri Nagar, Miyapur, Hyderabad – 500 049</w:t>
      </w:r>
    </w:p>
    <w:p>
      <w:pPr>
        <w:spacing w:before="0" w:after="120" w:line="240" w:lineRule="auto"/>
        <w:jc w:val="center"/>
      </w:pPr>
      <w:r>
        <w:rPr>
          <w:b w:val="0"/>
          <w:color w:val="595959"/>
          <w:sz w:val="18"/>
          <w:szCs w:val="18"/>
        </w:rPr>
        <w:t>Telephone: 79012 43259   |   E-mail: cgst.sgrdiv@gov.in</w:t>
      </w:r>
    </w:p>
    <w:p>
      <w:pPr>
        <w:spacing w:before="0" w:after="280" w:line="240" w:lineRule="auto"/>
        <w:jc w:val="center"/>
        <w:shd w:val="clear" w:color="auto" w:fill="1F3864"/>
        <w:pBdr>
          <w:bottom w:val="single" w:sz="36" w:space="0" w:color="138808"/>
        </w:pBdr>
      </w:pPr>
      <w:r>
        <w:rPr>
          <w:b/>
          <w:color w:val="FFFFFF"/>
          <w:sz w:val="21"/>
          <w:szCs w:val="21"/>
          <w:bCs/>
        </w:rPr>
        <w:t xml:space="preserve">GST  ★  ONE NATION, ONE TAX  ★  </w:t>
      </w:r>
      <w:r>
        <w:rPr>
          <w:rFonts w:ascii="Nirmala UI" w:hAnsi="Nirmala UI" w:cs="Nirmala UI" w:hint="cs"/>
          <w:b/>
          <w:color w:val="FFFFFF"/>
          <w:sz w:val="21"/>
          <w:szCs w:val="21"/>
          <w:bCs/>
        </w:rPr>
        <w:t>जीएसटी: एक राष्ट्र, एक कर</w:t>
      </w:r>
    </w:p>
    <w:p>
      <w:pPr>
        <w:pStyle w:val="Title"/>
      </w:pPr>
      <w:r>
        <w:t xml:space="preserve">OFFICE NOTE: REASONS TO BELIEVE FOR SUSPENSION OF REGISTRATION</w:t>
      </w:r>
      <w:r>
        <w:br/>
      </w:r>
      <w:r>
        <w:t xml:space="preserve">[rule 21A(2) of the CGST Rules, 2017; Circular No. 145/01/2021-GST]</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094"/>
        <w:gridCol w:w="7544"/>
      </w:tblGrid>
      <w:tr>
        <w:trPr>
          <w:tblHeader w:val="true"/>
          <w:tblHeader/>
        </w:trPr>
        <w:tc>
          <w:tcPr>
            <w:tcW w:type="dxa" w:w="2094"/>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7544"/>
            <w:shd w:val="clear" w:color="auto" w:fill="DCE6F1"/>
          </w:tcPr>
          <w:p>
            <w:pPr>
              <w:pStyle w:val="Compact"/>
              <w:spacing w:before="0" w:after="0" w:line="240" w:lineRule="auto"/>
              <w:jc w:val="left"/>
            </w:pPr>
            <w:r>
              <w:rPr>
                <w:b/>
                <w:color w:val="1F3864"/>
                <w:sz w:val="21"/>
              </w:rPr>
              <w:t xml:space="preserve">Details</w:t>
            </w:r>
          </w:p>
        </w:tc>
      </w:tr>
      <w:tr>
        <w:tc>
          <w:tcPr>
            <w:tcW w:type="dxa" w:w="2094"/>
            <w:shd w:val="clear" w:color="auto" w:fill="F5F8FC"/>
          </w:tcPr>
          <w:p>
            <w:pPr>
              <w:pStyle w:val="Compact"/>
              <w:spacing w:before="0" w:after="0" w:line="240" w:lineRule="auto"/>
              <w:jc w:val="left"/>
            </w:pPr>
            <w:r>
              <w:rPr>
                <w:b/>
                <w:sz w:val="21"/>
              </w:rPr>
              <w:t xml:space="preserve">Note No. and date</w:t>
            </w:r>
          </w:p>
        </w:tc>
        <w:tc>
          <w:tcPr>
            <w:tcW w:type="dxa" w:w="7544"/>
          </w:tcPr>
          <w:p>
            <w:pPr>
              <w:pStyle w:val="Compact"/>
              <w:spacing w:before="0" w:after="0" w:line="240" w:lineRule="auto"/>
              <w:jc w:val="left"/>
            </w:pPr>
            <w:r>
              <w:rPr>
                <w:sz w:val="21"/>
              </w:rPr>
              <w:t xml:space="preserve">[ ] dated [DD.MM.YYYY]</w:t>
            </w:r>
          </w:p>
        </w:tc>
      </w:tr>
      <w:tr>
        <w:tc>
          <w:tcPr>
            <w:tcW w:type="dxa" w:w="2094"/>
            <w:shd w:val="clear" w:color="auto" w:fill="F5F8FC"/>
          </w:tcPr>
          <w:p>
            <w:pPr>
              <w:pStyle w:val="Compact"/>
              <w:spacing w:before="0" w:after="0" w:line="240" w:lineRule="auto"/>
              <w:jc w:val="left"/>
            </w:pPr>
            <w:r>
              <w:rPr>
                <w:b/>
                <w:sz w:val="21"/>
              </w:rPr>
              <w:t xml:space="preserve">GSTIN and name</w:t>
            </w:r>
          </w:p>
        </w:tc>
        <w:tc>
          <w:tcPr>
            <w:tcW w:type="dxa" w:w="7544"/>
          </w:tcPr>
          <w:p>
            <w:pPr>
              <w:pStyle w:val="Compact"/>
              <w:spacing w:before="0" w:after="0" w:line="240" w:lineRule="auto"/>
              <w:jc w:val="left"/>
            </w:pPr>
            <w:r>
              <w:rPr>
                <w:sz w:val="21"/>
              </w:rPr>
              <w:t xml:space="preserve">[ ] / [ ]</w:t>
            </w:r>
          </w:p>
        </w:tc>
      </w:tr>
      <w:tr>
        <w:tc>
          <w:tcPr>
            <w:tcW w:type="dxa" w:w="2094"/>
            <w:shd w:val="clear" w:color="auto" w:fill="F5F8FC"/>
          </w:tcPr>
          <w:p>
            <w:pPr>
              <w:pStyle w:val="Compact"/>
              <w:spacing w:before="0" w:after="0" w:line="240" w:lineRule="auto"/>
              <w:jc w:val="left"/>
            </w:pPr>
            <w:r>
              <w:rPr>
                <w:b/>
                <w:sz w:val="21"/>
              </w:rPr>
              <w:t xml:space="preserve">Range / jurisdiction</w:t>
            </w:r>
          </w:p>
        </w:tc>
        <w:tc>
          <w:tcPr>
            <w:tcW w:type="dxa" w:w="7544"/>
          </w:tcPr>
          <w:p>
            <w:pPr>
              <w:pStyle w:val="Compact"/>
              <w:spacing w:before="0" w:after="0" w:line="240" w:lineRule="auto"/>
              <w:jc w:val="left"/>
            </w:pPr>
            <w:r>
              <w:rPr>
                <w:sz w:val="21"/>
              </w:rPr>
              <w:t xml:space="preserve">[ ] Range, Sangareddy CGST Division (Central Tax allotment confirmed on the portal on [DD.MM.YYYY])</w:t>
            </w:r>
          </w:p>
        </w:tc>
      </w:tr>
      <w:tr>
        <w:tc>
          <w:tcPr>
            <w:tcW w:type="dxa" w:w="2094"/>
            <w:shd w:val="clear" w:color="auto" w:fill="F5F8FC"/>
          </w:tcPr>
          <w:p>
            <w:pPr>
              <w:pStyle w:val="Compact"/>
              <w:spacing w:before="0" w:after="0" w:line="240" w:lineRule="auto"/>
              <w:jc w:val="left"/>
            </w:pPr>
            <w:r>
              <w:rPr>
                <w:b/>
                <w:sz w:val="21"/>
              </w:rPr>
              <w:t xml:space="preserve">Source of information</w:t>
            </w:r>
          </w:p>
        </w:tc>
        <w:tc>
          <w:tcPr>
            <w:tcW w:type="dxa" w:w="7544"/>
          </w:tcPr>
          <w:p>
            <w:pPr>
              <w:pStyle w:val="Compact"/>
              <w:spacing w:before="0" w:after="0" w:line="240" w:lineRule="auto"/>
              <w:jc w:val="left"/>
            </w:pPr>
            <w:r>
              <w:rPr>
                <w:sz w:val="21"/>
              </w:rPr>
              <w:t xml:space="preserve">[verification report No. [ ] dated [ ] / intimation from [ ] dated [ ] / DGARM or GSTN list dated [ ] / REG-31 dated [ ] / own analysis of [returns, e-way bills]]</w:t>
            </w:r>
          </w:p>
        </w:tc>
      </w:tr>
    </w:tbl>
    <w:p>
      <w:pPr>
        <w:pStyle w:val="BodyText"/>
        <w:keepNext/>
        <w:spacing w:before="240" w:after="80"/>
        <w:pBdr>
          <w:bottom w:val="single" w:sz="6" w:space="1" w:color="B4C6E7"/>
        </w:pBdr>
      </w:pPr>
      <w:r>
        <w:rPr>
          <w:bCs/>
          <w:b/>
          <w:color w:val="1F3864"/>
          <w:sz w:val="25"/>
        </w:rPr>
        <w:t xml:space="preserve">Part A: Suspension under rule 21A(2) with a notice in FORM GST REG-17</w:t>
      </w:r>
    </w:p>
    <w:p>
      <w:pPr>
        <w:pStyle w:val="BodyText"/>
        <w:keepNext/>
        <w:spacing w:before="240" w:after="80"/>
        <w:pBdr>
          <w:bottom w:val="single" w:sz="6" w:space="1" w:color="B4C6E7"/>
        </w:pBdr>
      </w:pPr>
      <w:r>
        <w:rPr>
          <w:bCs/>
          <w:b/>
          <w:color w:val="1F3864"/>
          <w:sz w:val="25"/>
        </w:rPr>
        <w:t xml:space="preserve">1. Ground(s) on which cancellation is proposed</w:t>
      </w:r>
    </w:p>
    <w:p>
      <w:pPr>
        <w:pStyle w:val="BodyText"/>
        <w:spacing w:before="0" w:after="120" w:line="269" w:lineRule="auto"/>
      </w:pPr>
      <w:r>
        <w:t xml:space="preserve">1.1 [Section 29(2)([ ]) read with rule 21([ ])]: [one line; full facts in the draft REG-17 No. [ ]].</w:t>
      </w:r>
    </w:p>
    <w:p>
      <w:pPr>
        <w:pStyle w:val="BodyText"/>
        <w:keepNext/>
        <w:spacing w:before="240" w:after="80"/>
        <w:pBdr>
          <w:bottom w:val="single" w:sz="6" w:space="1" w:color="B4C6E7"/>
        </w:pBdr>
      </w:pPr>
      <w:r>
        <w:rPr>
          <w:bCs/>
          <w:b/>
          <w:color w:val="1F3864"/>
          <w:sz w:val="25"/>
        </w:rPr>
        <w:t xml:space="preserve">2. Why there is reason to believe the registration is liable to be cancelled</w:t>
      </w:r>
    </w:p>
    <w:p>
      <w:pPr>
        <w:pStyle w:val="BodyText"/>
        <w:spacing w:before="0" w:after="120" w:line="269" w:lineRule="auto"/>
        <w:jc w:val="both"/>
      </w:pPr>
      <w:r>
        <w:t xml:space="preserve">2.1 [Facts, with dates and documents: e.g. On [date], the declared principal place of business at [address] was found to be [a residence of [named person] / locked with no signboard, and the owner [named] stated it was never let to the taxpayer]. GSTR-1 for [months] shows outward supplies of ₹[ ] to [ ] recipients, with no e-way bills for goods of that value and no matching inward supplies in GSTR-2B.]</w:t>
      </w:r>
    </w:p>
    <w:p>
      <w:pPr>
        <w:pStyle w:val="BodyText"/>
        <w:keepNext/>
        <w:spacing w:before="240" w:after="80"/>
        <w:pBdr>
          <w:bottom w:val="single" w:sz="6" w:space="1" w:color="B4C6E7"/>
        </w:pBdr>
      </w:pPr>
      <w:r>
        <w:rPr>
          <w:bCs/>
          <w:b/>
          <w:color w:val="1F3864"/>
          <w:sz w:val="25"/>
        </w:rPr>
        <w:t xml:space="preserve">3. Why suspension is needed now, pending the decision</w:t>
      </w:r>
    </w:p>
    <w:p>
      <w:pPr>
        <w:pStyle w:val="BlockText"/>
        <w:shd w:val="clear" w:color="auto" w:fill="E7E6E6"/>
      </w:pPr>
      <w:r>
        <w:rPr>
          <w:bCs/>
          <w:b/>
          <w:sz w:val="21"/>
        </w:rPr>
        <w:t xml:space="preserve">Drafting note.</w:t>
      </w:r>
      <w:r>
        <w:rPr>
          <w:sz w:val="21"/>
        </w:rPr>
        <w:t xml:space="preserve"> </w:t>
      </w:r>
      <w:r>
        <w:rPr>
          <w:sz w:val="21"/>
        </w:rPr>
        <w:t xml:space="preserve">Suspension stops the person from issuing tax invoices and from getting refunds. It is justified where continuing the registration until the decision would cause loss that cannot be undone. It is rarely justified for non-filing, GSTR-1/3B differences or rule 10A alone, which the person can cure (and for which the system REG-31 route already exists).</w:t>
      </w:r>
    </w:p>
    <w:p>
      <w:pPr>
        <w:pStyle w:val="FirstParagraph"/>
        <w:spacing w:before="0" w:after="120" w:line="269" w:lineRule="auto"/>
        <w:jc w:val="both"/>
      </w:pPr>
      <w:r>
        <w:t xml:space="preserve">3.1 [e.g. Invoices continue to be uploaded on the GSTIN: ₹[ ] of tax in [last month], passed on as ITC to recipients. Refund application ARN [ ] for ₹[ ] is pending and would otherwise have to be processed. The person cannot be found at the declared address, so recovery after the decision would be difficult.]</w:t>
      </w:r>
    </w:p>
    <w:p>
      <w:pPr>
        <w:pStyle w:val="BodyText"/>
        <w:spacing w:before="0" w:after="120" w:line="269" w:lineRule="auto"/>
        <w:jc w:val="both"/>
      </w:pPr>
      <w:r>
        <w:t xml:space="preserve">3.2 Alternatives considered: [blocking of ITC under rule 86A for ₹[ ]: [taken on [date] / not sufficient because [ ]]; provisional attachment under section 83: [ ]].</w:t>
      </w:r>
    </w:p>
    <w:p>
      <w:pPr>
        <w:pStyle w:val="BodyText"/>
        <w:keepNext/>
        <w:spacing w:before="240" w:after="80"/>
        <w:pBdr>
          <w:bottom w:val="single" w:sz="6" w:space="1" w:color="B4C6E7"/>
        </w:pBdr>
      </w:pPr>
      <w:r>
        <w:rPr>
          <w:bCs/>
          <w:b/>
          <w:color w:val="1F3864"/>
          <w:sz w:val="25"/>
        </w:rPr>
        <w:t xml:space="preserve">4. Decision</w:t>
      </w:r>
    </w:p>
    <w:p>
      <w:pPr>
        <w:pStyle w:val="BodyText"/>
        <w:spacing w:before="0" w:after="120" w:line="269" w:lineRule="auto"/>
        <w:jc w:val="both"/>
      </w:pPr>
      <w:r>
        <w:t xml:space="preserve">4.1 For the reasons in paras 2 and 3, I have reason to believe that the registration is liable to be cancelled, and that it should be suspended pending the decision. The registration is suspended with effect from</w:t>
      </w:r>
      <w:r>
        <w:t xml:space="preserve"> </w:t>
      </w:r>
      <w:r>
        <w:rPr>
          <w:bCs/>
          <w:b/>
        </w:rPr>
        <w:t xml:space="preserve">[DD.MM.YYYY]</w:t>
      </w:r>
      <w:r>
        <w:t xml:space="preserve"> </w:t>
      </w:r>
      <w:r>
        <w:t xml:space="preserve">under rule 21A(2), read with the second proviso to section 29(2). The REG-17 is to be issued today with the suspension note, and the decision is to be taken within thirty days of the reply (rule 22(3)).</w:t>
      </w:r>
    </w:p>
    <w:p>
      <w:pPr>
        <w:pStyle w:val="BodyText"/>
        <w:spacing w:before="0" w:after="120" w:line="269" w:lineRule="auto"/>
      </w:pPr>
      <w:r>
        <w:t xml:space="preserve">4.2 Diary: reply due [DD.MM.YYYY]; hearing [DD.MM.YYYY]; order by [DD.MM.YYYY].</w:t>
      </w:r>
    </w:p>
    <w:p>
      <w:pPr>
        <w:pStyle w:val="BodyText"/>
        <w:keepNext/>
        <w:spacing w:before="240" w:after="80"/>
        <w:pBdr>
          <w:bottom w:val="single" w:sz="6" w:space="1" w:color="B4C6E7"/>
        </w:pBdr>
      </w:pPr>
      <w:r>
        <w:rPr>
          <w:bCs/>
          <w:b/>
          <w:color w:val="1F3864"/>
          <w:sz w:val="25"/>
        </w:rPr>
        <w:t xml:space="preserve">Part B: Record of examination of a reply to a system FORM GST REG-31 (rule 21A(2A))</w:t>
      </w:r>
    </w:p>
    <w:p>
      <w:pPr>
        <w:pStyle w:val="BodyText"/>
        <w:keepNext/>
        <w:spacing w:before="240" w:after="80"/>
        <w:pBdr>
          <w:bottom w:val="single" w:sz="6" w:space="1" w:color="B4C6E7"/>
        </w:pBdr>
      </w:pPr>
      <w:r>
        <w:rPr>
          <w:bCs/>
          <w:b/>
          <w:color w:val="1F3864"/>
          <w:sz w:val="25"/>
        </w:rPr>
        <w:t xml:space="preserve">5. The REG-31</w:t>
      </w:r>
    </w:p>
    <w:p>
      <w:pPr>
        <w:pStyle w:val="BodyText"/>
        <w:spacing w:before="0" w:after="120" w:line="269" w:lineRule="auto"/>
        <w:jc w:val="both"/>
      </w:pPr>
      <w:r>
        <w:t xml:space="preserve">5.1 REG-31 Reference No. [ ] dated [DD.MM.YYYY] (system-generated) suspended the registration from [DD.MM.YYYY] on the ground of [significant differences between [GSTR-3B and GSTR-1] / [GSTR-3B and GSTR-2B] for [period]: [observations as listed in the REG-31]] / [rule 10A: bank account not furnished or not matching] / [non-filing under rule 21(h) or (i): [periods]]. The reply was due within thirty days, by [DD.MM.YYYY].</w:t>
      </w:r>
    </w:p>
    <w:p>
      <w:pPr>
        <w:pStyle w:val="BodyText"/>
        <w:keepNext/>
        <w:spacing w:before="240" w:after="80"/>
        <w:pBdr>
          <w:bottom w:val="single" w:sz="6" w:space="1" w:color="B4C6E7"/>
        </w:pBdr>
      </w:pPr>
      <w:r>
        <w:rPr>
          <w:bCs/>
          <w:b/>
          <w:color w:val="1F3864"/>
          <w:sz w:val="25"/>
        </w:rPr>
        <w:t xml:space="preserve">6. Reply</w:t>
      </w:r>
    </w:p>
    <w:p>
      <w:pPr>
        <w:pStyle w:val="BodyText"/>
        <w:spacing w:before="0" w:after="120" w:line="269" w:lineRule="auto"/>
      </w:pPr>
      <w:r>
        <w:t xml:space="preserve">6.1 [Reply in REG-18 / by letter dated [ ]: summary.] / [No reply.]</w:t>
      </w:r>
    </w:p>
    <w:p>
      <w:pPr>
        <w:pStyle w:val="BodyText"/>
        <w:spacing w:before="0" w:after="120" w:line="269" w:lineRule="auto"/>
        <w:jc w:val="both"/>
      </w:pPr>
      <w:r>
        <w:t xml:space="preserve">6.2 [Deemed revocation check: for REG-31 on non-filing, have all pending returns been furnished? [Yes, on [date], so the suspension is deemed revoked under the second proviso to rule 21A(4)] / [No]. For rule 10A, have valid bank details been furnished? [Yes, on [date], deemed revoked under the third proviso] / [No].]</w:t>
      </w:r>
    </w:p>
    <w:p>
      <w:pPr>
        <w:pStyle w:val="BodyText"/>
        <w:keepNext/>
        <w:spacing w:before="240" w:after="80"/>
        <w:pBdr>
          <w:bottom w:val="single" w:sz="6" w:space="1" w:color="B4C6E7"/>
        </w:pBdr>
      </w:pPr>
      <w:r>
        <w:rPr>
          <w:bCs/>
          <w:b/>
          <w:color w:val="1F3864"/>
          <w:sz w:val="25"/>
        </w:rPr>
        <w:t xml:space="preserve">7. Examination</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632"/>
        <w:gridCol w:w="1632"/>
        <w:gridCol w:w="3978"/>
        <w:gridCol w:w="2397"/>
      </w:tblGrid>
      <w:tr>
        <w:trPr>
          <w:tblHeader w:val="true"/>
          <w:tblHeader/>
        </w:trPr>
        <w:tc>
          <w:tcPr>
            <w:tcW w:type="dxa" w:w="1632"/>
            <w:shd w:val="clear" w:color="auto" w:fill="DCE6F1"/>
          </w:tcPr>
          <w:p>
            <w:pPr>
              <w:pStyle w:val="Compact"/>
              <w:spacing w:before="0" w:after="0" w:line="240" w:lineRule="auto"/>
              <w:jc w:val="left"/>
            </w:pPr>
            <w:r>
              <w:rPr>
                <w:b/>
                <w:color w:val="1F3864"/>
                <w:sz w:val="21"/>
              </w:rPr>
              <w:t xml:space="preserve">Observation in the REG-31</w:t>
            </w:r>
          </w:p>
        </w:tc>
        <w:tc>
          <w:tcPr>
            <w:tcW w:type="dxa" w:w="1632"/>
            <w:shd w:val="clear" w:color="auto" w:fill="DCE6F1"/>
          </w:tcPr>
          <w:p>
            <w:pPr>
              <w:pStyle w:val="Compact"/>
              <w:spacing w:before="0" w:after="0" w:line="240" w:lineRule="auto"/>
              <w:jc w:val="left"/>
            </w:pPr>
            <w:r>
              <w:rPr>
                <w:b/>
                <w:color w:val="1F3864"/>
                <w:sz w:val="21"/>
              </w:rPr>
              <w:t xml:space="preserve">Explanation given</w:t>
            </w:r>
          </w:p>
        </w:tc>
        <w:tc>
          <w:tcPr>
            <w:tcW w:type="dxa" w:w="3978"/>
            <w:shd w:val="clear" w:color="auto" w:fill="DCE6F1"/>
          </w:tcPr>
          <w:p>
            <w:pPr>
              <w:pStyle w:val="Compact"/>
              <w:spacing w:before="0" w:after="0" w:line="240" w:lineRule="auto"/>
              <w:jc w:val="left"/>
            </w:pPr>
            <w:r>
              <w:rPr>
                <w:b/>
                <w:color w:val="1F3864"/>
                <w:sz w:val="21"/>
              </w:rPr>
              <w:t xml:space="preserve">Verification done</w:t>
            </w:r>
          </w:p>
        </w:tc>
        <w:tc>
          <w:tcPr>
            <w:tcW w:type="dxa" w:w="2397"/>
            <w:shd w:val="clear" w:color="auto" w:fill="DCE6F1"/>
          </w:tcPr>
          <w:p>
            <w:pPr>
              <w:pStyle w:val="Compact"/>
              <w:spacing w:before="0" w:after="0" w:line="240" w:lineRule="auto"/>
              <w:jc w:val="left"/>
            </w:pPr>
            <w:r>
              <w:rPr>
                <w:b/>
                <w:color w:val="1F3864"/>
                <w:sz w:val="21"/>
              </w:rPr>
              <w:t xml:space="preserve">Finding</w:t>
            </w:r>
          </w:p>
        </w:tc>
      </w:tr>
      <w:tr>
        <w:tc>
          <w:tcPr>
            <w:tcW w:type="dxa" w:w="1632"/>
          </w:tcPr>
          <w:p>
            <w:pPr>
              <w:pStyle w:val="Compact"/>
              <w:spacing w:before="0" w:after="0" w:line="240" w:lineRule="auto"/>
              <w:jc w:val="left"/>
            </w:pPr>
            <w:r>
              <w:rPr>
                <w:sz w:val="21"/>
              </w:rPr>
              <w:t xml:space="preserve">[ ]</w:t>
            </w:r>
          </w:p>
        </w:tc>
        <w:tc>
          <w:tcPr>
            <w:tcW w:type="dxa" w:w="1632"/>
          </w:tcPr>
          <w:p>
            <w:pPr>
              <w:pStyle w:val="Compact"/>
              <w:spacing w:before="0" w:after="0" w:line="240" w:lineRule="auto"/>
              <w:jc w:val="left"/>
            </w:pPr>
            <w:r>
              <w:rPr>
                <w:sz w:val="21"/>
              </w:rPr>
              <w:t xml:space="preserve">[ ]</w:t>
            </w:r>
          </w:p>
        </w:tc>
        <w:tc>
          <w:tcPr>
            <w:tcW w:type="dxa" w:w="3978"/>
          </w:tcPr>
          <w:p>
            <w:pPr>
              <w:pStyle w:val="Compact"/>
              <w:spacing w:before="0" w:after="0" w:line="240" w:lineRule="auto"/>
              <w:jc w:val="left"/>
            </w:pPr>
            <w:r>
              <w:rPr>
                <w:sz w:val="21"/>
              </w:rPr>
              <w:t xml:space="preserve">[returns, ledgers, invoices examined; verification on [date]]</w:t>
            </w:r>
          </w:p>
        </w:tc>
        <w:tc>
          <w:tcPr>
            <w:tcW w:type="dxa" w:w="2397"/>
          </w:tcPr>
          <w:p>
            <w:pPr>
              <w:pStyle w:val="Compact"/>
              <w:spacing w:before="0" w:after="0" w:line="240" w:lineRule="auto"/>
              <w:jc w:val="left"/>
            </w:pPr>
            <w:r>
              <w:rPr>
                <w:sz w:val="21"/>
              </w:rPr>
              <w:t xml:space="preserve">[explained / not explained, because [ ]]</w:t>
            </w:r>
          </w:p>
        </w:tc>
      </w:tr>
    </w:tbl>
    <w:p>
      <w:pPr>
        <w:pStyle w:val="BodyText"/>
        <w:keepNext/>
        <w:spacing w:before="240" w:after="80"/>
        <w:pBdr>
          <w:bottom w:val="single" w:sz="6" w:space="1" w:color="B4C6E7"/>
        </w:pBdr>
      </w:pPr>
      <w:r>
        <w:rPr>
          <w:bCs/>
          <w:b/>
          <w:color w:val="1F3864"/>
          <w:sz w:val="25"/>
        </w:rPr>
        <w:t xml:space="preserve">8. Decision</w:t>
      </w:r>
    </w:p>
    <w:p>
      <w:pPr>
        <w:pStyle w:val="BodyText"/>
        <w:spacing w:before="0" w:after="120" w:line="269" w:lineRule="auto"/>
        <w:jc w:val="both"/>
      </w:pPr>
      <w:r>
        <w:t xml:space="preserve">8.1 [Explanation satisfactory: drop the proceedings and revoke the suspension by REG-20 (template R5, Option A or D).] / [Prima facie satisfactory: revoke the suspension by REG-20 (R5, Option D); verification of [ ] to continue; if needed, a fresh REG-17 will follow.] / [Not explained: the registration is liable to be cancelled under [section 29(2)([ ]) read with rule 21([ ])]; pass REG-19 (template R4) on the grounds stated in the REG-31, which were put to the taxpayer.]</w:t>
      </w:r>
    </w:p>
    <w:p>
      <w:pPr>
        <w:pStyle w:val="BlockText"/>
        <w:shd w:val="clear" w:color="auto" w:fill="E7E6E6"/>
      </w:pPr>
      <w:r>
        <w:rPr>
          <w:bCs/>
          <w:b/>
          <w:sz w:val="21"/>
        </w:rPr>
        <w:t xml:space="preserve">Drafting note (Part B).</w:t>
      </w:r>
      <w:r>
        <w:rPr>
          <w:sz w:val="21"/>
        </w:rPr>
        <w:t xml:space="preserve"> </w:t>
      </w:r>
      <w:r>
        <w:rPr>
          <w:sz w:val="21"/>
        </w:rPr>
        <w:t xml:space="preserve">A REG-19 after a REG-31 must rest on the observations in the REG-31. If you rely on any other ground or material, first issue a REG-17 (template R3) putting it to the taxpayer.</w:t>
      </w:r>
    </w:p>
    <w:p>
      <w:pPr>
        <w:pStyle w:val="FirstParagraph"/>
        <w:keepLines/>
        <w:spacing w:before="480" w:after="120" w:line="269" w:lineRule="auto"/>
        <w:jc w:val="right"/>
      </w:pPr>
      <w:r>
        <w:rPr>
          <w:bCs/>
          <w:b/>
        </w:rPr>
        <w:t xml:space="preserve">(Signature)</w:t>
      </w:r>
      <w:r>
        <w:br/>
      </w:r>
      <w:r>
        <w:rPr>
          <w:bCs/>
          <w:b/>
        </w:rPr>
        <w:t xml:space="preserve">([Name of the Superintendent])</w:t>
      </w:r>
      <w:r>
        <w:br/>
      </w:r>
      <w:r>
        <w:t xml:space="preserve">Superintendent of Central Tax, [ ] Range</w:t>
      </w:r>
      <w:r>
        <w:br/>
      </w:r>
      <w:r>
        <w:t xml:space="preserve">Sangareddy CGST Division</w:t>
      </w:r>
      <w:r>
        <w:br/>
      </w:r>
      <w:r>
        <w:t xml:space="preserve">[DD.MM.YYYY]</w:t>
      </w:r>
    </w:p>
    <w:p>
      <w:pPr>
        <w:pStyle w:val="BodyText"/>
        <w:spacing w:before="0" w:after="120" w:line="269" w:lineRule="auto"/>
      </w:pPr>
      <w:r>
        <w:t xml:space="preserve">Seen. (Assistant Commissioner, with date, where the Commissionerate requires the AC to see suspension notes.)</w:t>
      </w:r>
    </w:p>
    <w:p>
      <w:pPr>
        <w:pStyle w:val="BlockText"/>
        <w:shd w:val="clear" w:color="auto" w:fill="E7E6E6"/>
        <w:spacing w:before="360"/>
      </w:pPr>
      <w:r>
        <w:rPr>
          <w:bCs/>
          <w:b/>
          <w:sz w:val="21"/>
        </w:rPr>
        <w:t xml:space="preserve">How to use this template.</w:t>
      </w:r>
      <w:r>
        <w:rPr>
          <w:sz w:val="21"/>
        </w:rPr>
        <w:t xml:space="preserve"> </w:t>
      </w:r>
      <w:r>
        <w:rPr>
          <w:sz w:val="21"/>
        </w:rPr>
        <w:t xml:space="preserve">This is an</w:t>
      </w:r>
      <w:r>
        <w:rPr>
          <w:sz w:val="21"/>
        </w:rPr>
        <w:t xml:space="preserve"> </w:t>
      </w:r>
      <w:r>
        <w:rPr>
          <w:bCs/>
          <w:b/>
          <w:sz w:val="21"/>
        </w:rPr>
        <w:t xml:space="preserve">office note</w:t>
      </w:r>
      <w:r>
        <w:rPr>
          <w:sz w:val="21"/>
        </w:rPr>
        <w:t xml:space="preserve">, kept on the case file, not served on the taxpayer.</w:t>
      </w:r>
      <w:r>
        <w:rPr>
          <w:sz w:val="21"/>
        </w:rPr>
        <w:t xml:space="preserve"> </w:t>
      </w:r>
      <w:r>
        <w:rPr>
          <w:bCs/>
          <w:b/>
          <w:sz w:val="21"/>
        </w:rPr>
        <w:t xml:space="preserve">Part A</w:t>
      </w:r>
      <w:r>
        <w:rPr>
          <w:sz w:val="21"/>
        </w:rPr>
        <w:t xml:space="preserve"> </w:t>
      </w:r>
      <w:r>
        <w:rPr>
          <w:sz w:val="21"/>
        </w:rPr>
        <w:t xml:space="preserve">records the reasons to believe before suspending under rule 21A(2) with a REG-17 (template R3, para 5). The short reason in R3 para 5 must be taken from it.</w:t>
      </w:r>
      <w:r>
        <w:rPr>
          <w:sz w:val="21"/>
        </w:rPr>
        <w:t xml:space="preserve"> </w:t>
      </w:r>
      <w:r>
        <w:rPr>
          <w:bCs/>
          <w:b/>
          <w:sz w:val="21"/>
        </w:rPr>
        <w:t xml:space="preserve">Part B</w:t>
      </w:r>
      <w:r>
        <w:rPr>
          <w:sz w:val="21"/>
        </w:rPr>
        <w:t xml:space="preserve"> </w:t>
      </w:r>
      <w:r>
        <w:rPr>
          <w:sz w:val="21"/>
        </w:rPr>
        <w:t xml:space="preserve">records the examination of a reply to a system-generated FORM GST REG-31 (rule 21A(2A)) and the decision to drop (R5) or to cancel (R4). Courts quash suspensions that are automatic or have no stated basis (Madras HC</w:t>
      </w:r>
      <w:r>
        <w:rPr>
          <w:sz w:val="21"/>
        </w:rPr>
        <w:t xml:space="preserve"> </w:t>
      </w:r>
      <w:r>
        <w:rPr>
          <w:iCs/>
          <w:i/>
          <w:sz w:val="21"/>
        </w:rPr>
        <w:t xml:space="preserve">El Tech Power System</w:t>
      </w:r>
      <w:r>
        <w:rPr>
          <w:sz w:val="21"/>
        </w:rPr>
        <w:t xml:space="preserve">, W.P. 9579/2026; Telangana HC</w:t>
      </w:r>
      <w:r>
        <w:rPr>
          <w:sz w:val="21"/>
        </w:rPr>
        <w:t xml:space="preserve"> </w:t>
      </w:r>
      <w:r>
        <w:rPr>
          <w:iCs/>
          <w:i/>
          <w:sz w:val="21"/>
        </w:rPr>
        <w:t xml:space="preserve">Rayees Metals</w:t>
      </w:r>
      <w:r>
        <w:rPr>
          <w:sz w:val="21"/>
        </w:rPr>
        <w:t xml:space="preserve">, W.P. 17400/2024), and a suspension falls with a vague notice (</w:t>
      </w:r>
      <w:r>
        <w:rPr>
          <w:iCs/>
          <w:i/>
          <w:sz w:val="21"/>
        </w:rPr>
        <w:t xml:space="preserve">A1 Adil Traders</w:t>
      </w:r>
      <w:r>
        <w:rPr>
          <w:sz w:val="21"/>
        </w:rPr>
        <w:t xml:space="preserve">, W.P. 4539/2025). A dated note written before the suspension is the best answer if the suspension is challenged. Delete every</w:t>
      </w:r>
      <w:r>
        <w:rPr>
          <w:sz w:val="21"/>
        </w:rPr>
        <w:t xml:space="preserve"> </w:t>
      </w:r>
      <w:r>
        <w:rPr>
          <w:sz w:val="21"/>
        </w:rPr>
        <w:t xml:space="preserve">“</w:t>
      </w:r>
      <w:r>
        <w:rPr>
          <w:sz w:val="21"/>
        </w:rPr>
        <w:t xml:space="preserve">Drafting note</w:t>
      </w:r>
      <w:r>
        <w:rPr>
          <w:sz w:val="21"/>
        </w:rPr>
        <w:t xml:space="preserve">”</w:t>
      </w:r>
      <w:r>
        <w:rPr>
          <w:sz w:val="21"/>
        </w:rPr>
        <w:t xml:space="preserve"> </w:t>
      </w:r>
      <w:r>
        <w:rPr>
          <w:sz w:val="21"/>
        </w:rPr>
        <w:t xml:space="preserve">before signing.</w:t>
      </w:r>
    </w:p>
    <w:sectPr>
      <w:headerReference w:type="default" r:id="rId9"/>
      <w:footerReference w:type="default" r:id="rId10"/>
      <w:footerReference w:type="first" r:id="rId11"/>
      <w:pgSz w:w="11906" w:h="16838"/>
      <w:pgMar w:bottom="1134" w:left="1134" w:right="1134" w:top="1134" w:header="567" w:footer="56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6" w:space="2" w:color="B4C6E7"/>
      </w:pBdr>
    </w:pPr>
    <w:r/>
    <w:r>
      <w:rPr>
        <w:color w:val="595959"/>
        <w:sz w:val="17"/>
      </w:rPr>
      <w:t>Sangareddy CGST Division, Medchal CGST Commissionerate</w:t>
    </w:r>
    <w:r>
      <w:rPr>
        <w:color w:val="595959"/>
        <w:sz w:val="17"/>
      </w:rPr>
      <w:tab/>
      <w:t>Note No. [ ] dated [DD.MM.YYYY]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R6: Recorded reasons to believe for suspension of registration (rule 21A(2)), and record of examination of a reply to a system FORM GST REG-31 (rule 21A(2A))</dc:title>
  <dc:creator>Sangareddy CGST Division</dc:creator>
  <cp:keywords/>
  <dcterms:created xsi:type="dcterms:W3CDTF">2026-10-14T21:59:04Z</dcterms:created>
  <dcterms:modified xsi:type="dcterms:W3CDTF">2026-10-14T21:59:04Z</dcterms:modified>
</cp:coreProperties>
</file>

<file path=docProps/custom.xml><?xml version="1.0" encoding="utf-8"?>
<Properties xmlns="http://schemas.openxmlformats.org/officeDocument/2006/custom-properties" xmlns:vt="http://schemas.openxmlformats.org/officeDocument/2006/docPropsVTypes"/>
</file>