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jc w:val="center"/>
        <w:pBdr>
          <w:top w:val="single" w:sz="36" w:space="6" w:color="FF9933"/>
        </w:pBdr>
      </w:pPr>
      <w:r>
        <w:rPr>
          <w:rFonts w:ascii="Nirmala UI" w:hAnsi="Nirmala UI" w:cs="Nirmala UI" w:hint="cs"/>
          <w:b/>
          <w:color w:val="1F3864"/>
          <w:sz w:val="22"/>
          <w:szCs w:val="22"/>
          <w:bCs/>
        </w:rPr>
        <w:t xml:space="preserve">भारत सरकार  </w:t>
      </w:r>
      <w:r>
        <w:rPr>
          <w:b/>
          <w:color w:val="1F3864"/>
          <w:sz w:val="22"/>
          <w:szCs w:val="22"/>
          <w:bCs/>
        </w:rPr>
        <w:t>|  GOVERNMENT OF INDIA</w:t>
      </w:r>
    </w:p>
    <w:p>
      <w:pPr>
        <w:spacing w:before="0" w:after="0" w:line="240" w:lineRule="auto"/>
        <w:jc w:val="center"/>
      </w:pPr>
      <w:r>
        <w:rPr>
          <w:rFonts w:ascii="Nirmala UI" w:hAnsi="Nirmala UI" w:cs="Nirmala UI" w:hint="cs"/>
          <w:b w:val="0"/>
          <w:color w:val="595959"/>
          <w:sz w:val="18"/>
          <w:szCs w:val="18"/>
        </w:rPr>
        <w:t xml:space="preserve">वित्त मंत्रालय, राजस्व विभाग  </w:t>
      </w:r>
      <w:r>
        <w:rPr>
          <w:b w:val="0"/>
          <w:color w:val="595959"/>
          <w:sz w:val="18"/>
          <w:szCs w:val="18"/>
        </w:rPr>
        <w:t>|  MINISTRY OF FINANCE, DEPARTMENT OF REVENUE</w:t>
      </w:r>
    </w:p>
    <w:p>
      <w:pPr>
        <w:spacing w:before="0" w:after="0" w:line="240" w:lineRule="auto"/>
        <w:jc w:val="center"/>
      </w:pPr>
      <w:r>
        <w:rPr>
          <w:rFonts w:ascii="Nirmala UI" w:hAnsi="Nirmala UI" w:cs="Nirmala UI" w:hint="cs"/>
          <w:b/>
          <w:sz w:val="22"/>
          <w:szCs w:val="22"/>
          <w:bCs/>
        </w:rPr>
        <w:t>केन्द्रीय कर अधीक्षक का कार्यालय</w:t>
      </w:r>
    </w:p>
    <w:p>
      <w:pPr>
        <w:spacing w:before="0" w:after="0" w:line="240" w:lineRule="auto"/>
        <w:jc w:val="center"/>
      </w:pPr>
      <w:r>
        <w:rPr>
          <w:b/>
          <w:sz w:val="23"/>
          <w:szCs w:val="23"/>
          <w:bCs/>
        </w:rPr>
        <w:t>OFFICE OF THE SUPERINTENDENT OF CENTRAL TAX, [        ] RANGE</w:t>
      </w:r>
    </w:p>
    <w:p>
      <w:pPr>
        <w:spacing w:before="0" w:after="0" w:line="240" w:lineRule="auto"/>
        <w:jc w:val="center"/>
      </w:pPr>
      <w:r>
        <w:rPr>
          <w:b/>
          <w:color w:val="1F3864"/>
          <w:sz w:val="32"/>
          <w:szCs w:val="32"/>
          <w:bCs/>
        </w:rPr>
        <w:t>SANGAREDDY CGST DIVISION</w:t>
      </w:r>
    </w:p>
    <w:p>
      <w:pPr>
        <w:spacing w:before="0" w:after="0" w:line="240" w:lineRule="auto"/>
        <w:jc w:val="center"/>
      </w:pPr>
      <w:r>
        <w:rPr>
          <w:b/>
          <w:color w:val="1F3864"/>
          <w:sz w:val="22"/>
          <w:szCs w:val="22"/>
          <w:bCs/>
        </w:rPr>
        <w:t>MEDCHAL CGST COMMISSIONERATE</w:t>
      </w:r>
    </w:p>
    <w:p>
      <w:pPr>
        <w:spacing w:before="0" w:after="0" w:line="240" w:lineRule="auto"/>
        <w:jc w:val="center"/>
      </w:pPr>
      <w:r>
        <w:rPr>
          <w:b w:val="0"/>
          <w:color w:val="595959"/>
          <w:sz w:val="18"/>
          <w:szCs w:val="18"/>
        </w:rPr>
        <w:t>Plot No. 328, SSR Arcade, Mathrusri Nagar, Miyapur, Hyderabad – 500 049</w:t>
      </w:r>
    </w:p>
    <w:p>
      <w:pPr>
        <w:spacing w:before="0" w:after="120" w:line="240" w:lineRule="auto"/>
        <w:jc w:val="center"/>
      </w:pPr>
      <w:r>
        <w:rPr>
          <w:b w:val="0"/>
          <w:color w:val="595959"/>
          <w:sz w:val="18"/>
          <w:szCs w:val="18"/>
        </w:rPr>
        <w:t>Telephone: 79012 43259   |   E-mail: cgst.sgrdiv@gov.in</w:t>
      </w:r>
    </w:p>
    <w:p>
      <w:pPr>
        <w:spacing w:before="0" w:after="280" w:line="240" w:lineRule="auto"/>
        <w:jc w:val="center"/>
        <w:shd w:val="clear" w:color="auto" w:fill="1F3864"/>
        <w:pBdr>
          <w:bottom w:val="single" w:sz="36" w:space="0" w:color="138808"/>
        </w:pBdr>
      </w:pPr>
      <w:r>
        <w:rPr>
          <w:b/>
          <w:color w:val="FFFFFF"/>
          <w:sz w:val="21"/>
          <w:szCs w:val="21"/>
          <w:bCs/>
        </w:rPr>
        <w:t xml:space="preserve">GST  ★  ONE NATION, ONE TAX  ★  </w:t>
      </w:r>
      <w:r>
        <w:rPr>
          <w:rFonts w:ascii="Nirmala UI" w:hAnsi="Nirmala UI" w:cs="Nirmala UI" w:hint="cs"/>
          <w:b/>
          <w:color w:val="FFFFFF"/>
          <w:sz w:val="21"/>
          <w:szCs w:val="21"/>
          <w:bCs/>
        </w:rPr>
        <w:t>जीएसटी: एक राष्ट्र, एक कर</w:t>
      </w:r>
    </w:p>
    <w:p>
      <w:pPr>
        <w:pStyle w:val="Title"/>
      </w:pPr>
      <w:r>
        <w:t xml:space="preserve">SHOW CAUSE NOTICE FOR REJECTION OF APPLICATION FOR REVOCATION OF CANCELLATION OF REGISTRATION</w:t>
      </w:r>
      <w:r>
        <w:br/>
      </w:r>
      <w:r>
        <w:t xml:space="preserve">FORM GST REG-23 [section 30(2) of the CGST Act, 2017 read with rule 23(3) of the CGST Rules, 2017]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793"/>
        <w:gridCol w:w="7845"/>
      </w:tblGrid>
      <w:tr>
        <w:trPr>
          <w:tblHeader w:val="true"/>
          <w:tblHeader/>
        </w:trPr>
        <w:tc>
          <w:tcPr>
            <w:tcW w:type="dxa" w:w="1793"/>
            <w:shd w:val="clear" w:color="auto" w:fill="DCE6F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Particulars</w:t>
            </w:r>
          </w:p>
        </w:tc>
        <w:tc>
          <w:tcPr>
            <w:tcW w:type="dxa" w:w="7845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Details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Reference No. and date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 dated [DD.MM.YYYY]; RFN [ ]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To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[Legal name] ([trade name]), GSTIN [ ], [address]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Cancellation order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REG-19 No. [ ] dated [DD.MM.YYYY], served on [DD.MM.YYYY]; ground: [ ]; effective from [DD.MM.YYYY]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Revocation application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REG-21, ARN [ ] dated [DD.MM.YYYY] / [physical application dated [DD.MM.YYYY] received on [DD.MM.YYYY] under the order of the High Court of Telangana in W.P. No. [ ] of [YYYY] dated [DD.MM.YYYY]]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Reply by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[DD.MM.YYYY]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(seven working days from service), in FORM GST REG-24</w:t>
            </w:r>
          </w:p>
        </w:tc>
      </w:tr>
      <w:tr>
        <w:tc>
          <w:tcPr>
            <w:tcW w:type="dxa" w:w="1793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Personal hearing</w:t>
            </w:r>
          </w:p>
        </w:tc>
        <w:tc>
          <w:tcPr>
            <w:tcW w:type="dxa" w:w="784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[DD.MM.YYYY] at [HH:MM]</w:t>
            </w:r>
            <w:r>
              <w:rPr>
                <w:sz w:val="21"/>
              </w:rPr>
              <w:t xml:space="preserve">, [place / video link]</w:t>
            </w:r>
          </w:p>
        </w:tc>
      </w:tr>
    </w:tbl>
    <w:p>
      <w:pPr>
        <w:pStyle w:val="BodyText"/>
        <w:keepNext/>
        <w:spacing w:before="240" w:after="80"/>
        <w:pBdr>
          <w:bottom w:val="single" w:sz="6" w:space="1" w:color="B4C6E7"/>
        </w:pBdr>
      </w:pPr>
      <w:r>
        <w:rPr>
          <w:bCs/>
          <w:b/>
          <w:color w:val="1F3864"/>
          <w:sz w:val="25"/>
        </w:rPr>
        <w:t xml:space="preserve">1. Your application</w:t>
      </w:r>
    </w:p>
    <w:p>
      <w:pPr>
        <w:pStyle w:val="BodyText"/>
        <w:spacing w:before="0" w:after="120" w:line="269" w:lineRule="auto"/>
        <w:jc w:val="both"/>
      </w:pPr>
      <w:r>
        <w:t xml:space="preserve">1.1 You have applied for revocation of the cancellation of your registration on the grounds that [summary of the grounds in the REG-21].</w:t>
      </w:r>
    </w:p>
    <w:p>
      <w:pPr>
        <w:pStyle w:val="BodyText"/>
        <w:keepNext/>
        <w:spacing w:before="240" w:after="80"/>
        <w:pBdr>
          <w:bottom w:val="single" w:sz="6" w:space="1" w:color="B4C6E7"/>
        </w:pBdr>
      </w:pPr>
      <w:r>
        <w:rPr>
          <w:bCs/>
          <w:b/>
          <w:color w:val="1F3864"/>
          <w:sz w:val="25"/>
        </w:rPr>
        <w:t xml:space="preserve">2. Examination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439"/>
        <w:gridCol w:w="3826"/>
        <w:gridCol w:w="3826"/>
        <w:gridCol w:w="547"/>
      </w:tblGrid>
      <w:tr>
        <w:trPr>
          <w:tblHeader w:val="true"/>
          <w:tblHeader/>
        </w:trPr>
        <w:tc>
          <w:tcPr>
            <w:tcW w:type="dxa" w:w="1439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Condition</w:t>
            </w:r>
          </w:p>
        </w:tc>
        <w:tc>
          <w:tcPr>
            <w:tcW w:type="dxa" w:w="382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Requirement</w:t>
            </w:r>
          </w:p>
        </w:tc>
        <w:tc>
          <w:tcPr>
            <w:tcW w:type="dxa" w:w="382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Position found</w:t>
            </w:r>
          </w:p>
        </w:tc>
        <w:tc>
          <w:tcPr>
            <w:tcW w:type="dxa" w:w="54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Met?</w:t>
            </w:r>
          </w:p>
        </w:tc>
      </w:tr>
      <w:tr>
        <w:tc>
          <w:tcPr>
            <w:tcW w:type="dxa" w:w="143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Cancellation was on the officer’s own motion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Section 30(1); rule 23(1)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[Yes / No: cancelled on your application in REG-16 dated [ ]]</w:t>
            </w:r>
          </w:p>
        </w:tc>
        <w:tc>
          <w:tcPr>
            <w:tcW w:type="dxa" w:w="54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3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Time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Within 90 days of service of the cancellation order, i.e. by [DD.MM.YYYY] (rule 23(1)); or within an extension of up to 180 days granted by the Commissioner or an authorised Additional/Joint Commissioner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[Filed on [date], [ ] days after service; extension [granted by order No. [ ] dated [ ] up to [ ] / not sought / refused by order dated [ ]]] [Filed under the High Court’s order dated [ ]]</w:t>
            </w:r>
          </w:p>
        </w:tc>
        <w:tc>
          <w:tcPr>
            <w:tcW w:type="dxa" w:w="54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3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Returns and dues (where cancelled for non-filing)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All returns furnished and tax, interest, penalty and late fee paid before the application (second proviso to rule 23(1))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[Returns pending: [list periods]] / [tax of ₹[ ] for [periods] / interest / late fee of ₹[ ] unpaid]</w:t>
            </w:r>
          </w:p>
        </w:tc>
        <w:tc>
          <w:tcPr>
            <w:tcW w:type="dxa" w:w="54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3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Aadhaar authentication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Rule 10B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[Done on [date] / not done]</w:t>
            </w:r>
          </w:p>
        </w:tc>
        <w:tc>
          <w:tcPr>
            <w:tcW w:type="dxa" w:w="54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3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Ground of cancellation removed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[e.g. for non-existence: business now carried on from a verified place]</w:t>
            </w:r>
          </w:p>
        </w:tc>
        <w:tc>
          <w:tcPr>
            <w:tcW w:type="dxa" w:w="38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[Re-verification on [date] (report No. [ ]): [ ]]</w:t>
            </w:r>
          </w:p>
        </w:tc>
        <w:tc>
          <w:tcPr>
            <w:tcW w:type="dxa" w:w="54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</w:tbl>
    <w:p>
      <w:pPr>
        <w:pStyle w:val="BodyText"/>
        <w:keepNext/>
        <w:spacing w:before="240" w:after="80"/>
        <w:pBdr>
          <w:bottom w:val="single" w:sz="6" w:space="1" w:color="B4C6E7"/>
        </w:pBdr>
      </w:pPr>
      <w:r>
        <w:rPr>
          <w:bCs/>
          <w:b/>
          <w:color w:val="1F3864"/>
          <w:sz w:val="25"/>
        </w:rPr>
        <w:t xml:space="preserve">3. Reasons for which the application is proposed to be rejected</w:t>
      </w:r>
    </w:p>
    <w:p>
      <w:pPr>
        <w:pStyle w:val="BodyText"/>
        <w:spacing w:before="0" w:after="120" w:line="269" w:lineRule="auto"/>
        <w:jc w:val="both"/>
      </w:pPr>
      <w:r>
        <w:t xml:space="preserve">3.1 [Reason 1, with facts: e.g. The GSTR-3B returns for [Month YYYY] to [Month YYYY] have not been furnished. The second proviso to rule 23(1) bars an application unless all returns are furnished and the tax due is paid.]</w:t>
      </w:r>
    </w:p>
    <w:p>
      <w:pPr>
        <w:pStyle w:val="BodyText"/>
        <w:spacing w:before="0" w:after="120" w:line="269" w:lineRule="auto"/>
        <w:jc w:val="both"/>
      </w:pPr>
      <w:r>
        <w:t xml:space="preserve">3.2 [Reason 2: e.g. The cancellation was ordered because no business was found at the declared place (verification on [date]). The application does not state any place from which business is now carried on, and re-verification on [date] at the address given in the application found [ ].]</w:t>
      </w:r>
    </w:p>
    <w:p>
      <w:pPr>
        <w:pStyle w:val="BodyText"/>
        <w:spacing w:before="0" w:after="120" w:line="269" w:lineRule="auto"/>
        <w:jc w:val="both"/>
      </w:pPr>
      <w:r>
        <w:t xml:space="preserve">3.3 [Reason 3: e.g. The application was filed on [date], [ ] days after service of the cancellation order on [date], beyond ninety days, and no extension has been granted under the first proviso to rule 23(1).]</w:t>
      </w:r>
    </w:p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Drafting note.</w:t>
      </w:r>
      <w:r>
        <w:rPr>
          <w:sz w:val="21"/>
        </w:rPr>
        <w:t xml:space="preserve"> </w:t>
      </w:r>
      <w:r>
        <w:rPr>
          <w:sz w:val="21"/>
        </w:rPr>
        <w:t xml:space="preserve">Give only reasons from the table that are actually not met. If the application was filed under a High Court direction, do not use Reason 3. Say what would cure each defect: e.g. </w:t>
      </w:r>
      <w:r>
        <w:rPr>
          <w:sz w:val="21"/>
        </w:rPr>
        <w:t xml:space="preserve">“</w:t>
      </w:r>
      <w:r>
        <w:rPr>
          <w:sz w:val="21"/>
        </w:rPr>
        <w:t xml:space="preserve">If the returns are filed and the dues paid before the reply date, the application will be considered on that basis.</w:t>
      </w:r>
      <w:r>
        <w:rPr>
          <w:sz w:val="21"/>
        </w:rPr>
        <w:t xml:space="preserve">”</w:t>
      </w:r>
    </w:p>
    <w:p>
      <w:pPr>
        <w:pStyle w:val="FirstParagraph"/>
        <w:keepNext/>
        <w:spacing w:before="240" w:after="80"/>
        <w:pBdr>
          <w:bottom w:val="single" w:sz="6" w:space="1" w:color="B4C6E7"/>
        </w:pBdr>
      </w:pPr>
      <w:r>
        <w:rPr>
          <w:bCs/>
          <w:b/>
          <w:color w:val="1F3864"/>
          <w:sz w:val="25"/>
        </w:rPr>
        <w:t xml:space="preserve">4. Your reply</w:t>
      </w:r>
    </w:p>
    <w:p>
      <w:pPr>
        <w:pStyle w:val="BodyText"/>
        <w:spacing w:before="0" w:after="120" w:line="269" w:lineRule="auto"/>
        <w:jc w:val="both"/>
      </w:pPr>
      <w:r>
        <w:t xml:space="preserve">4.1 You are asked to show cause by</w:t>
      </w:r>
      <w:r>
        <w:t xml:space="preserve"> </w:t>
      </w:r>
      <w:r>
        <w:rPr>
          <w:bCs/>
          <w:b/>
        </w:rPr>
        <w:t xml:space="preserve">[DD.MM.YYYY]</w:t>
      </w:r>
      <w:r>
        <w:t xml:space="preserve">, in FORM GST REG-24, why your application should not be rejected for the reasons in para 3, and to appear for a personal hearing on</w:t>
      </w:r>
      <w:r>
        <w:t xml:space="preserve"> </w:t>
      </w:r>
      <w:r>
        <w:rPr>
          <w:bCs/>
          <w:b/>
        </w:rPr>
        <w:t xml:space="preserve">[DD.MM.YYYY] at [HH:MM]</w:t>
      </w:r>
      <w:r>
        <w:t xml:space="preserve">. You may file returns, pay dues and complete Aadhaar authentication before that date and give the details in your reply.</w:t>
      </w:r>
    </w:p>
    <w:p>
      <w:pPr>
        <w:pStyle w:val="BodyText"/>
        <w:spacing w:before="0" w:after="120" w:line="269" w:lineRule="auto"/>
        <w:jc w:val="both"/>
      </w:pPr>
      <w:r>
        <w:t xml:space="preserve">4.2 If you do not reply or appear, the application will be decided on the record, on merits, within thirty days of the reply date (rule 23(4)).</w:t>
      </w:r>
    </w:p>
    <w:p>
      <w:pPr>
        <w:pStyle w:val="BodyText"/>
        <w:keepLines/>
        <w:spacing w:before="480" w:after="120" w:line="269" w:lineRule="auto"/>
        <w:jc w:val="right"/>
      </w:pPr>
      <w:r>
        <w:rPr>
          <w:bCs/>
          <w:b/>
        </w:rPr>
        <w:t xml:space="preserve">(Signature)</w:t>
      </w:r>
      <w:r>
        <w:br/>
      </w:r>
      <w:r>
        <w:rPr>
          <w:bCs/>
          <w:b/>
        </w:rPr>
        <w:t xml:space="preserve">([Name of the Superintendent])</w:t>
      </w:r>
      <w:r>
        <w:br/>
      </w:r>
      <w:r>
        <w:t xml:space="preserve">Superintendent of Central Tax, [ ] Range</w:t>
      </w:r>
      <w:r>
        <w:br/>
      </w:r>
      <w:r>
        <w:t xml:space="preserve">Sangareddy CGST Division, Medchal CGST Commissionerate</w:t>
      </w:r>
      <w:r>
        <w:br/>
      </w:r>
      <w:r>
        <w:t xml:space="preserve">(digitally signed)</w:t>
      </w:r>
    </w:p>
    <w:p>
      <w:pPr>
        <w:pStyle w:val="BodyText"/>
        <w:spacing w:before="0" w:after="120" w:line="269" w:lineRule="auto"/>
      </w:pPr>
      <w:r>
        <w:t xml:space="preserve">To,</w:t>
      </w:r>
      <w:r>
        <w:br/>
      </w:r>
      <w:r>
        <w:t xml:space="preserve">[Legal name], GSTIN [ ], [address] (through the common portal and by e-mail to [registered e-mail])</w:t>
      </w:r>
    </w:p>
    <w:p>
      <w:pPr>
        <w:pStyle w:val="BodyText"/>
        <w:spacing w:before="0" w:after="120" w:line="269" w:lineRule="auto"/>
      </w:pPr>
      <w:r>
        <w:t xml:space="preserve">Copy to: Guard file.</w:t>
      </w:r>
    </w:p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Drafting note: final check.</w:t>
      </w:r>
      <w:r>
        <w:rPr>
          <w:sz w:val="21"/>
        </w:rPr>
        <w:t xml:space="preserve"> </w:t>
      </w:r>
      <w:r>
        <w:rPr>
          <w:sz w:val="21"/>
        </w:rPr>
        <w:t xml:space="preserve">(1) The table in para 2 is fully filled from the records. (2) Each reason in para 3 is a condition actually not met, with facts. (3) Seven working days and a hearing date are given. (4) A court’s deadline, if any, is diarised. (5) No square bracket or drafting note remains.</w:t>
      </w:r>
    </w:p>
    <w:p>
      <w:pPr>
        <w:pStyle w:val="BlockText"/>
        <w:shd w:val="clear" w:color="auto" w:fill="E7E6E6"/>
        <w:spacing w:before="360"/>
      </w:pPr>
      <w:r>
        <w:rPr>
          <w:bCs/>
          <w:b/>
          <w:sz w:val="21"/>
        </w:rPr>
        <w:t xml:space="preserve">How to use this template.</w:t>
      </w:r>
      <w:r>
        <w:rPr>
          <w:sz w:val="21"/>
        </w:rPr>
        <w:t xml:space="preserve"> </w:t>
      </w:r>
      <w:r>
        <w:rPr>
          <w:sz w:val="21"/>
        </w:rPr>
        <w:t xml:space="preserve">Rule 23(3) and the proviso to section 30(2) forbid rejecting a revocation application without this notice and a hearing. Issue it only after checking the points in the table in para 2. If everything is in order,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revoke by REG-22 (template R8, Part A)</w:t>
      </w:r>
      <w:r>
        <w:rPr>
          <w:sz w:val="21"/>
        </w:rPr>
        <w:t xml:space="preserve"> </w:t>
      </w:r>
      <w:r>
        <w:rPr>
          <w:sz w:val="21"/>
        </w:rPr>
        <w:t xml:space="preserve">within thirty days of the application instead. Since 10.07.2024 the proper officer for section 30 and rule 23 is the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Superintendent</w:t>
      </w:r>
      <w:r>
        <w:rPr>
          <w:sz w:val="21"/>
        </w:rPr>
        <w:t xml:space="preserve"> </w:t>
      </w:r>
      <w:r>
        <w:rPr>
          <w:sz w:val="21"/>
        </w:rPr>
        <w:t xml:space="preserve">(Circular No. 223/17/2024-GST). Where the application has been filed under a High Court direction after the portal limit (Telangana HC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KBG Associates</w:t>
      </w:r>
      <w:r>
        <w:rPr>
          <w:sz w:val="21"/>
        </w:rPr>
        <w:t xml:space="preserve">, W.P. 23897/2026;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Check Security Force</w:t>
      </w:r>
      <w:r>
        <w:rPr>
          <w:sz w:val="21"/>
        </w:rPr>
        <w:t xml:space="preserve">, W.P. 22632/2026;</w:t>
      </w:r>
      <w:r>
        <w:rPr>
          <w:sz w:val="21"/>
        </w:rPr>
        <w:t xml:space="preserve"> </w:t>
      </w:r>
      <w:r>
        <w:rPr>
          <w:iCs/>
          <w:i/>
          <w:sz w:val="21"/>
        </w:rPr>
        <w:t xml:space="preserve">Adarsha Transport</w:t>
      </w:r>
      <w:r>
        <w:rPr>
          <w:sz w:val="21"/>
        </w:rPr>
        <w:t xml:space="preserve">, W.P. 31578/2026), do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not</w:t>
      </w:r>
      <w:r>
        <w:rPr>
          <w:sz w:val="21"/>
        </w:rPr>
        <w:t xml:space="preserve"> </w:t>
      </w:r>
      <w:r>
        <w:rPr>
          <w:sz w:val="21"/>
        </w:rPr>
        <w:t xml:space="preserve">propose rejection on limitation alone; decide the conditions on merits within the court’s time. Delete every</w:t>
      </w:r>
      <w:r>
        <w:rPr>
          <w:sz w:val="21"/>
        </w:rPr>
        <w:t xml:space="preserve"> </w:t>
      </w:r>
      <w:r>
        <w:rPr>
          <w:sz w:val="21"/>
        </w:rPr>
        <w:t xml:space="preserve">“</w:t>
      </w:r>
      <w:r>
        <w:rPr>
          <w:sz w:val="21"/>
        </w:rPr>
        <w:t xml:space="preserve">Drafting note</w:t>
      </w:r>
      <w:r>
        <w:rPr>
          <w:sz w:val="21"/>
        </w:rPr>
        <w:t xml:space="preserve">”</w:t>
      </w:r>
      <w:r>
        <w:rPr>
          <w:sz w:val="21"/>
        </w:rPr>
        <w:t xml:space="preserve"> </w:t>
      </w:r>
      <w:r>
        <w:rPr>
          <w:sz w:val="21"/>
        </w:rPr>
        <w:t xml:space="preserve">before issue.</w:t>
      </w:r>
    </w:p>
    <w:sectPr>
      <w:headerReference w:type="default" r:id="rId9"/>
      <w:footerReference w:type="default" r:id="rId10"/>
      <w:footerReference w:type="first" r:id="rId11"/>
      <w:pgSz w:w="11906" w:h="16838"/>
      <w:pgMar w:bottom="1134" w:left="1134" w:right="1134" w:top="1134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6" w:space="2" w:color="FF9933"/>
      </w:pBdr>
    </w:pPr>
    <w:r/>
    <w:r>
      <w:rPr>
        <w:b/>
        <w:color w:val="1F3864"/>
        <w:sz w:val="17"/>
      </w:rPr>
      <w:t>GST: One Nation, One Tax</w:t>
    </w:r>
    <w:r>
      <w:rPr>
        <w:color w:val="595959"/>
        <w:sz w:val="17"/>
      </w:rPr>
      <w:tab/>
      <w:t xml:space="preserve">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6" w:space="2" w:color="FF9933"/>
      </w:pBdr>
    </w:pPr>
    <w:r/>
    <w:r>
      <w:rPr>
        <w:b/>
        <w:color w:val="1F3864"/>
        <w:sz w:val="17"/>
      </w:rPr>
      <w:t>GST: One Nation, One Tax</w:t>
    </w:r>
    <w:r>
      <w:rPr>
        <w:color w:val="595959"/>
        <w:sz w:val="17"/>
      </w:rPr>
      <w:tab/>
      <w:t xml:space="preserve">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2" w:color="B4C6E7"/>
      </w:pBdr>
    </w:pPr>
    <w:r/>
    <w:r>
      <w:rPr>
        <w:color w:val="595959"/>
        <w:sz w:val="17"/>
      </w:rPr>
      <w:t>Sangareddy CGST Division, Medchal CGST Commissionerate</w:t>
    </w:r>
    <w:r>
      <w:rPr>
        <w:color w:val="595959"/>
        <w:sz w:val="17"/>
      </w:rPr>
      <w:tab/>
      <w:t>Notice No. [ ] dated [DD.MM.YYYY]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R7: Show cause notice for rejection of an application for revocation of cancellation (FORM GST REG-23, rule 23(3))</dc:title>
  <dc:creator>Sangareddy CGST Division</dc:creator>
  <cp:keywords/>
  <dcterms:created xsi:type="dcterms:W3CDTF">2026-10-14T21:58:24Z</dcterms:created>
  <dcterms:modified xsi:type="dcterms:W3CDTF">2026-10-14T21:58:24Z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