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अधीक्षक का कार्यालय</w:t>
      </w:r>
    </w:p>
    <w:p>
      <w:pPr>
        <w:spacing w:before="0" w:after="0" w:line="240" w:lineRule="auto"/>
        <w:jc w:val="center"/>
      </w:pPr>
      <w:r>
        <w:rPr>
          <w:b/>
          <w:sz w:val="23"/>
          <w:szCs w:val="23"/>
          <w:bCs/>
        </w:rPr>
        <w:t>OFFICE OF THE SUPERINTENDENT OF CENTRAL TAX, [        ] RANGE</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ORDER ON APPLICATION FOR REVOCATION OF CANCELLATION OF REGISTRATION</w:t>
      </w:r>
      <w:r>
        <w:br/>
      </w:r>
      <w:r>
        <w:t xml:space="preserve">[Part A: FORM GST REG-22] [Part B: FORM GST REG-05] [section 30 of the CGST Act, 2017 read with rule 23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793"/>
        <w:gridCol w:w="7845"/>
      </w:tblGrid>
      <w:tr>
        <w:trPr>
          <w:tblHeader w:val="true"/>
          <w:tblHeader/>
        </w:trPr>
        <w:tc>
          <w:tcPr>
            <w:tcW w:type="dxa" w:w="1793"/>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845"/>
            <w:shd w:val="clear" w:color="auto" w:fill="DCE6F1"/>
          </w:tcPr>
          <w:p>
            <w:pPr>
              <w:pStyle w:val="Compact"/>
              <w:spacing w:before="0" w:after="0" w:line="240" w:lineRule="auto"/>
              <w:jc w:val="left"/>
            </w:pPr>
            <w:r>
              <w:rPr>
                <w:b/>
                <w:color w:val="1F3864"/>
                <w:sz w:val="21"/>
              </w:rPr>
              <w:t xml:space="preserve">Details</w:t>
            </w:r>
          </w:p>
        </w:tc>
      </w:tr>
      <w:tr>
        <w:tc>
          <w:tcPr>
            <w:tcW w:type="dxa" w:w="1793"/>
            <w:shd w:val="clear" w:color="auto" w:fill="F5F8FC"/>
          </w:tcPr>
          <w:p>
            <w:pPr>
              <w:pStyle w:val="Compact"/>
              <w:spacing w:before="0" w:after="0" w:line="240" w:lineRule="auto"/>
              <w:jc w:val="left"/>
            </w:pPr>
            <w:r>
              <w:rPr>
                <w:b/>
                <w:sz w:val="21"/>
              </w:rPr>
              <w:t xml:space="preserve">Order No. and date</w:t>
            </w:r>
          </w:p>
        </w:tc>
        <w:tc>
          <w:tcPr>
            <w:tcW w:type="dxa" w:w="7845"/>
          </w:tcPr>
          <w:p>
            <w:pPr>
              <w:pStyle w:val="Compact"/>
              <w:spacing w:before="0" w:after="0" w:line="240" w:lineRule="auto"/>
              <w:jc w:val="left"/>
            </w:pPr>
            <w:r>
              <w:rPr>
                <w:sz w:val="21"/>
              </w:rPr>
              <w:t xml:space="preserve">[ ] dated [DD.MM.YYYY]; RFN [ ]</w:t>
            </w:r>
          </w:p>
        </w:tc>
      </w:tr>
      <w:tr>
        <w:tc>
          <w:tcPr>
            <w:tcW w:type="dxa" w:w="1793"/>
            <w:shd w:val="clear" w:color="auto" w:fill="F5F8FC"/>
          </w:tcPr>
          <w:p>
            <w:pPr>
              <w:pStyle w:val="Compact"/>
              <w:spacing w:before="0" w:after="0" w:line="240" w:lineRule="auto"/>
              <w:jc w:val="left"/>
            </w:pPr>
            <w:r>
              <w:rPr>
                <w:b/>
                <w:sz w:val="21"/>
              </w:rPr>
              <w:t xml:space="preserve">To</w:t>
            </w:r>
          </w:p>
        </w:tc>
        <w:tc>
          <w:tcPr>
            <w:tcW w:type="dxa" w:w="7845"/>
          </w:tcPr>
          <w:p>
            <w:pPr>
              <w:pStyle w:val="Compact"/>
              <w:spacing w:before="0" w:after="0" w:line="240" w:lineRule="auto"/>
              <w:jc w:val="left"/>
            </w:pPr>
            <w:r>
              <w:rPr>
                <w:sz w:val="21"/>
              </w:rPr>
              <w:t xml:space="preserve">[Legal name] ([trade name]), GSTIN [ ], [address]</w:t>
            </w:r>
          </w:p>
        </w:tc>
      </w:tr>
      <w:tr>
        <w:tc>
          <w:tcPr>
            <w:tcW w:type="dxa" w:w="1793"/>
            <w:shd w:val="clear" w:color="auto" w:fill="F5F8FC"/>
          </w:tcPr>
          <w:p>
            <w:pPr>
              <w:pStyle w:val="Compact"/>
              <w:spacing w:before="0" w:after="0" w:line="240" w:lineRule="auto"/>
              <w:jc w:val="left"/>
            </w:pPr>
            <w:r>
              <w:rPr>
                <w:b/>
                <w:sz w:val="21"/>
              </w:rPr>
              <w:t xml:space="preserve">Cancellation order</w:t>
            </w:r>
          </w:p>
        </w:tc>
        <w:tc>
          <w:tcPr>
            <w:tcW w:type="dxa" w:w="7845"/>
          </w:tcPr>
          <w:p>
            <w:pPr>
              <w:pStyle w:val="Compact"/>
              <w:spacing w:before="0" w:after="0" w:line="240" w:lineRule="auto"/>
              <w:jc w:val="left"/>
            </w:pPr>
            <w:r>
              <w:rPr>
                <w:sz w:val="21"/>
              </w:rPr>
              <w:t xml:space="preserve">REG-19 No. [ ] dated [DD.MM.YYYY], served on [DD.MM.YYYY]; ground: [ ]; effective from [DD.MM.YYYY]</w:t>
            </w:r>
          </w:p>
        </w:tc>
      </w:tr>
      <w:tr>
        <w:tc>
          <w:tcPr>
            <w:tcW w:type="dxa" w:w="1793"/>
            <w:shd w:val="clear" w:color="auto" w:fill="F5F8FC"/>
          </w:tcPr>
          <w:p>
            <w:pPr>
              <w:pStyle w:val="Compact"/>
              <w:spacing w:before="0" w:after="0" w:line="240" w:lineRule="auto"/>
              <w:jc w:val="left"/>
            </w:pPr>
            <w:r>
              <w:rPr>
                <w:b/>
                <w:sz w:val="21"/>
              </w:rPr>
              <w:t xml:space="preserve">Application</w:t>
            </w:r>
          </w:p>
        </w:tc>
        <w:tc>
          <w:tcPr>
            <w:tcW w:type="dxa" w:w="7845"/>
          </w:tcPr>
          <w:p>
            <w:pPr>
              <w:pStyle w:val="Compact"/>
              <w:spacing w:before="0" w:after="0" w:line="240" w:lineRule="auto"/>
              <w:jc w:val="left"/>
            </w:pPr>
            <w:r>
              <w:rPr>
                <w:sz w:val="21"/>
              </w:rPr>
              <w:t xml:space="preserve">REG-21, ARN [ ] dated [DD.MM.YYYY] / [physical application dated [ ] under the High Court’s order in W.P. No. [ ] of [YYYY] dated [DD.MM.YYYY]]</w:t>
            </w:r>
          </w:p>
        </w:tc>
      </w:tr>
      <w:tr>
        <w:tc>
          <w:tcPr>
            <w:tcW w:type="dxa" w:w="1793"/>
            <w:shd w:val="clear" w:color="auto" w:fill="F5F8FC"/>
          </w:tcPr>
          <w:p>
            <w:pPr>
              <w:pStyle w:val="Compact"/>
              <w:spacing w:before="0" w:after="0" w:line="240" w:lineRule="auto"/>
              <w:jc w:val="left"/>
            </w:pPr>
            <w:r>
              <w:rPr>
                <w:b/>
                <w:sz w:val="21"/>
              </w:rPr>
              <w:t xml:space="preserve">[Part B] Notice and reply</w:t>
            </w:r>
          </w:p>
        </w:tc>
        <w:tc>
          <w:tcPr>
            <w:tcW w:type="dxa" w:w="7845"/>
          </w:tcPr>
          <w:p>
            <w:pPr>
              <w:pStyle w:val="Compact"/>
              <w:spacing w:before="0" w:after="0" w:line="240" w:lineRule="auto"/>
              <w:jc w:val="left"/>
            </w:pPr>
            <w:r>
              <w:rPr>
                <w:sz w:val="21"/>
              </w:rPr>
              <w:t xml:space="preserve">REG-23 No. [ ] dated [DD.MM.YYYY]; [REG-24 reply dated [DD.MM.YYYY] / no reply]; hearing [held on [ ] / not attended on [ ]]</w:t>
            </w:r>
          </w:p>
        </w:tc>
      </w:tr>
    </w:tbl>
    <w:p>
      <w:pPr>
        <w:pStyle w:val="BodyText"/>
        <w:keepNext/>
        <w:spacing w:before="240" w:after="80"/>
        <w:pBdr>
          <w:bottom w:val="single" w:sz="6" w:space="1" w:color="B4C6E7"/>
        </w:pBdr>
      </w:pPr>
      <w:r>
        <w:rPr>
          <w:bCs/>
          <w:b/>
          <w:color w:val="1F3864"/>
          <w:sz w:val="25"/>
        </w:rPr>
        <w:t xml:space="preserve">1. The application</w:t>
      </w:r>
    </w:p>
    <w:p>
      <w:pPr>
        <w:pStyle w:val="BodyText"/>
        <w:spacing w:before="0" w:after="120" w:line="269" w:lineRule="auto"/>
        <w:jc w:val="both"/>
      </w:pPr>
      <w:r>
        <w:t xml:space="preserve">1.1 Your registration was cancelled on the officer’s own motion by the order referred to above, on the ground that [ ]. You applied for revocation on [DD.MM.YYYY], stating that [summary].</w:t>
      </w:r>
    </w:p>
    <w:p>
      <w:pPr>
        <w:pStyle w:val="BodyText"/>
        <w:spacing w:before="0" w:after="120" w:line="269" w:lineRule="auto"/>
        <w:jc w:val="both"/>
      </w:pPr>
      <w:r>
        <w:t xml:space="preserve">1.2 [The application was filed under the order of the High Court of Telangana dated [DD.MM.YYYY] in W.P. No. [ ] of [YYYY], which directed that it be entertained and decided in accordance with law within [three weeks]. It is decided accordingly.]</w:t>
      </w:r>
    </w:p>
    <w:p>
      <w:pPr>
        <w:pStyle w:val="BodyText"/>
        <w:keepNext/>
        <w:spacing w:before="240" w:after="80"/>
        <w:pBdr>
          <w:bottom w:val="single" w:sz="6" w:space="1" w:color="B4C6E7"/>
        </w:pBdr>
      </w:pPr>
      <w:r>
        <w:rPr>
          <w:bCs/>
          <w:b/>
          <w:color w:val="1F3864"/>
          <w:sz w:val="25"/>
        </w:rPr>
        <w:t xml:space="preserve">Part A: Revocation (FORM GST REG-22)</w:t>
      </w:r>
    </w:p>
    <w:p>
      <w:pPr>
        <w:pStyle w:val="BodyText"/>
        <w:keepNext/>
        <w:spacing w:before="240" w:after="80"/>
        <w:pBdr>
          <w:bottom w:val="single" w:sz="6" w:space="1" w:color="B4C6E7"/>
        </w:pBdr>
      </w:pPr>
      <w:r>
        <w:rPr>
          <w:bCs/>
          <w:b/>
          <w:color w:val="1F3864"/>
          <w:sz w:val="25"/>
        </w:rPr>
        <w:t xml:space="preserve">2. Reasons for revocation</w:t>
      </w:r>
    </w:p>
    <w:p>
      <w:pPr>
        <w:pStyle w:val="BodyText"/>
        <w:spacing w:before="0" w:after="120" w:line="269" w:lineRule="auto"/>
      </w:pPr>
      <w:r>
        <w:t xml:space="preserve">2.1 I have verified the following:</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923"/>
        <w:gridCol w:w="5183"/>
        <w:gridCol w:w="1532"/>
      </w:tblGrid>
      <w:tr>
        <w:trPr>
          <w:tblHeader w:val="true"/>
          <w:tblHeader/>
        </w:trPr>
        <w:tc>
          <w:tcPr>
            <w:tcW w:type="dxa" w:w="2923"/>
            <w:shd w:val="clear" w:color="auto" w:fill="DCE6F1"/>
          </w:tcPr>
          <w:p>
            <w:pPr>
              <w:pStyle w:val="Compact"/>
              <w:spacing w:before="0" w:after="0" w:line="240" w:lineRule="auto"/>
              <w:jc w:val="left"/>
            </w:pPr>
            <w:r>
              <w:rPr>
                <w:b/>
                <w:color w:val="1F3864"/>
                <w:sz w:val="21"/>
              </w:rPr>
              <w:t xml:space="preserve">Condition</w:t>
            </w:r>
          </w:p>
        </w:tc>
        <w:tc>
          <w:tcPr>
            <w:tcW w:type="dxa" w:w="5183"/>
            <w:shd w:val="clear" w:color="auto" w:fill="DCE6F1"/>
          </w:tcPr>
          <w:p>
            <w:pPr>
              <w:pStyle w:val="Compact"/>
              <w:spacing w:before="0" w:after="0" w:line="240" w:lineRule="auto"/>
              <w:jc w:val="left"/>
            </w:pPr>
            <w:r>
              <w:rPr>
                <w:b/>
                <w:color w:val="1F3864"/>
                <w:sz w:val="21"/>
              </w:rPr>
              <w:t xml:space="preserve">Position</w:t>
            </w:r>
          </w:p>
        </w:tc>
        <w:tc>
          <w:tcPr>
            <w:tcW w:type="dxa" w:w="1532"/>
            <w:shd w:val="clear" w:color="auto" w:fill="DCE6F1"/>
          </w:tcPr>
          <w:p>
            <w:pPr>
              <w:pStyle w:val="Compact"/>
              <w:spacing w:before="0" w:after="0" w:line="240" w:lineRule="auto"/>
              <w:jc w:val="left"/>
            </w:pPr>
            <w:r>
              <w:rPr>
                <w:b/>
                <w:color w:val="1F3864"/>
                <w:sz w:val="21"/>
              </w:rPr>
              <w:t xml:space="preserve">Source checked</w:t>
            </w:r>
          </w:p>
        </w:tc>
      </w:tr>
      <w:tr>
        <w:tc>
          <w:tcPr>
            <w:tcW w:type="dxa" w:w="2923"/>
          </w:tcPr>
          <w:p>
            <w:pPr>
              <w:pStyle w:val="Compact"/>
              <w:spacing w:before="0" w:after="0" w:line="240" w:lineRule="auto"/>
              <w:jc w:val="left"/>
            </w:pPr>
            <w:r>
              <w:rPr>
                <w:sz w:val="21"/>
              </w:rPr>
              <w:t xml:space="preserve">Cancellation was suo motu</w:t>
            </w:r>
          </w:p>
        </w:tc>
        <w:tc>
          <w:tcPr>
            <w:tcW w:type="dxa" w:w="5183"/>
          </w:tcPr>
          <w:p>
            <w:pPr>
              <w:pStyle w:val="Compact"/>
              <w:spacing w:before="0" w:after="0" w:line="240" w:lineRule="auto"/>
              <w:jc w:val="left"/>
            </w:pPr>
            <w:r>
              <w:rPr>
                <w:sz w:val="21"/>
              </w:rPr>
              <w:t xml:space="preserve">Yes</w:t>
            </w:r>
          </w:p>
        </w:tc>
        <w:tc>
          <w:tcPr>
            <w:tcW w:type="dxa" w:w="1532"/>
          </w:tcPr>
          <w:p>
            <w:pPr>
              <w:pStyle w:val="Compact"/>
              <w:spacing w:before="0" w:after="0" w:line="240" w:lineRule="auto"/>
              <w:jc w:val="left"/>
            </w:pPr>
            <w:r>
              <w:rPr>
                <w:sz w:val="21"/>
              </w:rPr>
              <w:t xml:space="preserve">REG-19 dated [ ]</w:t>
            </w:r>
          </w:p>
        </w:tc>
      </w:tr>
      <w:tr>
        <w:tc>
          <w:tcPr>
            <w:tcW w:type="dxa" w:w="2923"/>
          </w:tcPr>
          <w:p>
            <w:pPr>
              <w:pStyle w:val="Compact"/>
              <w:spacing w:before="0" w:after="0" w:line="240" w:lineRule="auto"/>
              <w:jc w:val="left"/>
            </w:pPr>
            <w:r>
              <w:rPr>
                <w:sz w:val="21"/>
              </w:rPr>
              <w:t xml:space="preserve">Time</w:t>
            </w:r>
          </w:p>
        </w:tc>
        <w:tc>
          <w:tcPr>
            <w:tcW w:type="dxa" w:w="5183"/>
          </w:tcPr>
          <w:p>
            <w:pPr>
              <w:pStyle w:val="Compact"/>
              <w:spacing w:before="0" w:after="0" w:line="240" w:lineRule="auto"/>
              <w:jc w:val="left"/>
            </w:pPr>
            <w:r>
              <w:rPr>
                <w:sz w:val="21"/>
              </w:rPr>
              <w:t xml:space="preserve">Filed [ ] days after service [within ninety days] / [within the extension up to [date] granted by [Commissioner / Additional or Joint Commissioner] by order No. [ ] dated [ ]] / [under the High Court’s order dated [ ]]</w:t>
            </w:r>
          </w:p>
        </w:tc>
        <w:tc>
          <w:tcPr>
            <w:tcW w:type="dxa" w:w="1532"/>
          </w:tcPr>
          <w:p>
            <w:pPr>
              <w:pStyle w:val="Compact"/>
              <w:spacing w:before="0" w:after="0" w:line="240" w:lineRule="auto"/>
              <w:jc w:val="left"/>
            </w:pPr>
            <w:r>
              <w:rPr>
                <w:sz w:val="21"/>
              </w:rPr>
              <w:t xml:space="preserve">Portal; order of extension</w:t>
            </w:r>
          </w:p>
        </w:tc>
      </w:tr>
      <w:tr>
        <w:tc>
          <w:tcPr>
            <w:tcW w:type="dxa" w:w="2923"/>
          </w:tcPr>
          <w:p>
            <w:pPr>
              <w:pStyle w:val="Compact"/>
              <w:spacing w:before="0" w:after="0" w:line="240" w:lineRule="auto"/>
              <w:jc w:val="left"/>
            </w:pPr>
            <w:r>
              <w:rPr>
                <w:sz w:val="21"/>
              </w:rPr>
              <w:t xml:space="preserve">Returns up to the cancellation (if cancelled for non-filing)</w:t>
            </w:r>
          </w:p>
        </w:tc>
        <w:tc>
          <w:tcPr>
            <w:tcW w:type="dxa" w:w="5183"/>
          </w:tcPr>
          <w:p>
            <w:pPr>
              <w:pStyle w:val="Compact"/>
              <w:spacing w:before="0" w:after="0" w:line="240" w:lineRule="auto"/>
              <w:jc w:val="left"/>
            </w:pPr>
            <w:r>
              <w:rPr>
                <w:sz w:val="21"/>
              </w:rPr>
              <w:t xml:space="preserve">All furnished: [last ARN [ ] dated [ ]]</w:t>
            </w:r>
          </w:p>
        </w:tc>
        <w:tc>
          <w:tcPr>
            <w:tcW w:type="dxa" w:w="1532"/>
          </w:tcPr>
          <w:p>
            <w:pPr>
              <w:pStyle w:val="Compact"/>
              <w:spacing w:before="0" w:after="0" w:line="240" w:lineRule="auto"/>
              <w:jc w:val="left"/>
            </w:pPr>
            <w:r>
              <w:rPr>
                <w:sz w:val="21"/>
              </w:rPr>
              <w:t xml:space="preserve">Return dashboard as on [date]</w:t>
            </w:r>
          </w:p>
        </w:tc>
      </w:tr>
      <w:tr>
        <w:tc>
          <w:tcPr>
            <w:tcW w:type="dxa" w:w="2923"/>
          </w:tcPr>
          <w:p>
            <w:pPr>
              <w:pStyle w:val="Compact"/>
              <w:spacing w:before="0" w:after="0" w:line="240" w:lineRule="auto"/>
              <w:jc w:val="left"/>
            </w:pPr>
            <w:r>
              <w:rPr>
                <w:sz w:val="21"/>
              </w:rPr>
              <w:t xml:space="preserve">Tax, interest, penalty and late fee on those returns</w:t>
            </w:r>
          </w:p>
        </w:tc>
        <w:tc>
          <w:tcPr>
            <w:tcW w:type="dxa" w:w="5183"/>
          </w:tcPr>
          <w:p>
            <w:pPr>
              <w:pStyle w:val="Compact"/>
              <w:spacing w:before="0" w:after="0" w:line="240" w:lineRule="auto"/>
              <w:jc w:val="left"/>
            </w:pPr>
            <w:r>
              <w:rPr>
                <w:sz w:val="21"/>
              </w:rPr>
              <w:t xml:space="preserve">Paid: [challans / DRC-03 [ ]]</w:t>
            </w:r>
          </w:p>
        </w:tc>
        <w:tc>
          <w:tcPr>
            <w:tcW w:type="dxa" w:w="1532"/>
          </w:tcPr>
          <w:p>
            <w:pPr>
              <w:pStyle w:val="Compact"/>
              <w:spacing w:before="0" w:after="0" w:line="240" w:lineRule="auto"/>
              <w:jc w:val="left"/>
            </w:pPr>
            <w:r>
              <w:rPr>
                <w:sz w:val="21"/>
              </w:rPr>
              <w:t xml:space="preserve">Cash and liability ledgers</w:t>
            </w:r>
          </w:p>
        </w:tc>
      </w:tr>
      <w:tr>
        <w:tc>
          <w:tcPr>
            <w:tcW w:type="dxa" w:w="2923"/>
          </w:tcPr>
          <w:p>
            <w:pPr>
              <w:pStyle w:val="Compact"/>
              <w:spacing w:before="0" w:after="0" w:line="240" w:lineRule="auto"/>
              <w:jc w:val="left"/>
            </w:pPr>
            <w:r>
              <w:rPr>
                <w:sz w:val="21"/>
              </w:rPr>
              <w:t xml:space="preserve">Aadhaar authentication (rule 10B)</w:t>
            </w:r>
          </w:p>
        </w:tc>
        <w:tc>
          <w:tcPr>
            <w:tcW w:type="dxa" w:w="5183"/>
          </w:tcPr>
          <w:p>
            <w:pPr>
              <w:pStyle w:val="Compact"/>
              <w:spacing w:before="0" w:after="0" w:line="240" w:lineRule="auto"/>
              <w:jc w:val="left"/>
            </w:pPr>
            <w:r>
              <w:rPr>
                <w:sz w:val="21"/>
              </w:rPr>
              <w:t xml:space="preserve">Done on [DD.MM.YYYY]</w:t>
            </w:r>
          </w:p>
        </w:tc>
        <w:tc>
          <w:tcPr>
            <w:tcW w:type="dxa" w:w="1532"/>
          </w:tcPr>
          <w:p>
            <w:pPr>
              <w:pStyle w:val="Compact"/>
              <w:spacing w:before="0" w:after="0" w:line="240" w:lineRule="auto"/>
              <w:jc w:val="left"/>
            </w:pPr>
            <w:r>
              <w:rPr>
                <w:sz w:val="21"/>
              </w:rPr>
              <w:t xml:space="preserve">Portal</w:t>
            </w:r>
          </w:p>
        </w:tc>
      </w:tr>
      <w:tr>
        <w:tc>
          <w:tcPr>
            <w:tcW w:type="dxa" w:w="2923"/>
          </w:tcPr>
          <w:p>
            <w:pPr>
              <w:pStyle w:val="Compact"/>
              <w:spacing w:before="0" w:after="0" w:line="240" w:lineRule="auto"/>
              <w:jc w:val="left"/>
            </w:pPr>
            <w:r>
              <w:rPr>
                <w:sz w:val="21"/>
              </w:rPr>
              <w:t xml:space="preserve">Ground of cancellation removed (other grounds)</w:t>
            </w:r>
          </w:p>
        </w:tc>
        <w:tc>
          <w:tcPr>
            <w:tcW w:type="dxa" w:w="5183"/>
          </w:tcPr>
          <w:p>
            <w:pPr>
              <w:pStyle w:val="Compact"/>
              <w:spacing w:before="0" w:after="0" w:line="240" w:lineRule="auto"/>
              <w:jc w:val="left"/>
            </w:pPr>
            <w:r>
              <w:rPr>
                <w:sz w:val="21"/>
              </w:rPr>
              <w:t xml:space="preserve">[e.g. re-verification on [date] (report No. [ ]) found business functioning at [address]]</w:t>
            </w:r>
          </w:p>
        </w:tc>
        <w:tc>
          <w:tcPr>
            <w:tcW w:type="dxa" w:w="1532"/>
          </w:tcPr>
          <w:p>
            <w:pPr>
              <w:pStyle w:val="Compact"/>
              <w:spacing w:before="0" w:after="0" w:line="240" w:lineRule="auto"/>
              <w:jc w:val="left"/>
            </w:pPr>
            <w:r>
              <w:rPr>
                <w:sz w:val="21"/>
              </w:rPr>
              <w:t xml:space="preserve">[ ]</w:t>
            </w:r>
          </w:p>
        </w:tc>
      </w:tr>
    </w:tbl>
    <w:p>
      <w:pPr>
        <w:pStyle w:val="BodyText"/>
        <w:spacing w:before="0" w:after="120" w:line="269" w:lineRule="auto"/>
      </w:pPr>
      <w:r>
        <w:t xml:space="preserve">2.2 On the above I am satisfied that there are sufficient grounds for revocation (rule 23(2)(a)).</w:t>
      </w:r>
    </w:p>
    <w:p>
      <w:pPr>
        <w:pStyle w:val="BodyText"/>
        <w:keepNext/>
        <w:spacing w:before="240" w:after="80"/>
        <w:pBdr>
          <w:bottom w:val="single" w:sz="6" w:space="1" w:color="B4C6E7"/>
        </w:pBdr>
      </w:pPr>
      <w:r>
        <w:rPr>
          <w:bCs/>
          <w:b/>
          <w:color w:val="1F3864"/>
          <w:sz w:val="25"/>
        </w:rPr>
        <w:t xml:space="preserve">3. Order</w:t>
      </w:r>
    </w:p>
    <w:p>
      <w:pPr>
        <w:pStyle w:val="BodyText"/>
        <w:spacing w:before="0" w:after="120" w:line="269" w:lineRule="auto"/>
        <w:jc w:val="both"/>
      </w:pPr>
      <w:r>
        <w:t xml:space="preserve">3.1</w:t>
      </w:r>
      <w:r>
        <w:t xml:space="preserve"> </w:t>
      </w:r>
      <w:r>
        <w:rPr>
          <w:bCs/>
          <w:b/>
        </w:rPr>
        <w:t xml:space="preserve">The cancellation of your registration (GSTIN [ ]) by order dated [DD.MM.YYYY] is revoked, and your registration is restored</w:t>
      </w:r>
      <w:r>
        <w:t xml:space="preserve">, under section 30(2) read with rule 23(2)(a).</w:t>
      </w:r>
    </w:p>
    <w:p>
      <w:pPr>
        <w:pStyle w:val="BodyText"/>
        <w:spacing w:before="0" w:after="120" w:line="269" w:lineRule="auto"/>
        <w:jc w:val="both"/>
      </w:pPr>
      <w:r>
        <w:t xml:space="preserve">3.2</w:t>
      </w:r>
      <w:r>
        <w:t xml:space="preserve"> </w:t>
      </w:r>
      <w:r>
        <w:rPr>
          <w:bCs/>
          <w:b/>
        </w:rPr>
        <w:t xml:space="preserve">Returns for the gap period.</w:t>
      </w:r>
      <w:r>
        <w:t xml:space="preserve"> </w:t>
      </w:r>
      <w:r>
        <w:t xml:space="preserve">You must furnish, within</w:t>
      </w:r>
      <w:r>
        <w:t xml:space="preserve"> </w:t>
      </w:r>
      <w:r>
        <w:rPr>
          <w:bCs/>
          <w:b/>
        </w:rPr>
        <w:t xml:space="preserve">thirty days of this order</w:t>
      </w:r>
      <w:r>
        <w:t xml:space="preserve">, all returns for the period from [the date of the cancellation order, [DD.MM.YYYY]] / [the effective date of cancellation, [DD.MM.YYYY], as the cancellation was retrospective] up to the date of this order (third and fourth provisos to rule 23(1)). If you do not, your registration is liable to be cancelled again under rule 21(ga).</w:t>
      </w:r>
    </w:p>
    <w:p>
      <w:pPr>
        <w:pStyle w:val="BodyText"/>
        <w:spacing w:before="0" w:after="120" w:line="269" w:lineRule="auto"/>
        <w:jc w:val="both"/>
      </w:pPr>
      <w:r>
        <w:t xml:space="preserve">3.3 Revocation does not affect any liability to tax, interest or penalty for any period, which may be determined separately (section 29(3)). [Any input tax credit in the electronic credit ledger may be used only after verification by this office.]</w:t>
      </w:r>
    </w:p>
    <w:p>
      <w:pPr>
        <w:pStyle w:val="BodyText"/>
        <w:keepNext/>
        <w:spacing w:before="240" w:after="80"/>
        <w:pBdr>
          <w:bottom w:val="single" w:sz="6" w:space="1" w:color="B4C6E7"/>
        </w:pBdr>
      </w:pPr>
      <w:r>
        <w:rPr>
          <w:bCs/>
          <w:b/>
          <w:color w:val="1F3864"/>
          <w:sz w:val="25"/>
        </w:rPr>
        <w:t xml:space="preserve">Part B: Rejection (FORM GST REG-05)</w:t>
      </w:r>
    </w:p>
    <w:p>
      <w:pPr>
        <w:pStyle w:val="BodyText"/>
        <w:keepNext/>
        <w:spacing w:before="240" w:after="80"/>
        <w:pBdr>
          <w:bottom w:val="single" w:sz="6" w:space="1" w:color="B4C6E7"/>
        </w:pBdr>
      </w:pPr>
      <w:r>
        <w:rPr>
          <w:bCs/>
          <w:b/>
          <w:color w:val="1F3864"/>
          <w:sz w:val="25"/>
        </w:rPr>
        <w:t xml:space="preserve">2. Notice, reply and hearing</w:t>
      </w:r>
    </w:p>
    <w:p>
      <w:pPr>
        <w:pStyle w:val="BodyText"/>
        <w:spacing w:before="0" w:after="120" w:line="269" w:lineRule="auto"/>
        <w:jc w:val="both"/>
      </w:pPr>
      <w:r>
        <w:t xml:space="preserve">2.1 By notice in FORM GST REG-23 dated [DD.MM.YYYY], you were asked to show cause why the application should not be rejected for these reasons: (i) [ ]; (ii) [ ]. [You replied on [DD.MM.YYYY] stating that [ ].] / [No reply was filed.] [At the hearing on [DD.MM.YYYY], [name] [stated [ ]] / [no one appeared].]</w:t>
      </w:r>
    </w:p>
    <w:p>
      <w:pPr>
        <w:pStyle w:val="BodyText"/>
        <w:keepNext/>
        <w:spacing w:before="240" w:after="80"/>
        <w:pBdr>
          <w:bottom w:val="single" w:sz="6" w:space="1" w:color="B4C6E7"/>
        </w:pBdr>
      </w:pPr>
      <w:r>
        <w:rPr>
          <w:bCs/>
          <w:b/>
          <w:color w:val="1F3864"/>
          <w:sz w:val="25"/>
        </w:rPr>
        <w:t xml:space="preserve">3. Findings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939"/>
        <w:gridCol w:w="1763"/>
        <w:gridCol w:w="2997"/>
        <w:gridCol w:w="2938"/>
      </w:tblGrid>
      <w:tr>
        <w:trPr>
          <w:tblHeader w:val="true"/>
          <w:tblHeader/>
        </w:trPr>
        <w:tc>
          <w:tcPr>
            <w:tcW w:type="dxa" w:w="1939"/>
            <w:shd w:val="clear" w:color="auto" w:fill="DCE6F1"/>
          </w:tcPr>
          <w:p>
            <w:pPr>
              <w:pStyle w:val="Compact"/>
              <w:spacing w:before="0" w:after="0" w:line="240" w:lineRule="auto"/>
              <w:jc w:val="left"/>
            </w:pPr>
            <w:r>
              <w:rPr>
                <w:b/>
                <w:color w:val="1F3864"/>
                <w:sz w:val="21"/>
              </w:rPr>
              <w:t xml:space="preserve">Reason in the REG-23</w:t>
            </w:r>
          </w:p>
        </w:tc>
        <w:tc>
          <w:tcPr>
            <w:tcW w:type="dxa" w:w="1763"/>
            <w:shd w:val="clear" w:color="auto" w:fill="DCE6F1"/>
          </w:tcPr>
          <w:p>
            <w:pPr>
              <w:pStyle w:val="Compact"/>
              <w:spacing w:before="0" w:after="0" w:line="240" w:lineRule="auto"/>
              <w:jc w:val="left"/>
            </w:pPr>
            <w:r>
              <w:rPr>
                <w:b/>
                <w:color w:val="1F3864"/>
                <w:sz w:val="21"/>
              </w:rPr>
              <w:t xml:space="preserve">Your reply</w:t>
            </w:r>
          </w:p>
        </w:tc>
        <w:tc>
          <w:tcPr>
            <w:tcW w:type="dxa" w:w="2997"/>
            <w:shd w:val="clear" w:color="auto" w:fill="DCE6F1"/>
          </w:tcPr>
          <w:p>
            <w:pPr>
              <w:pStyle w:val="Compact"/>
              <w:spacing w:before="0" w:after="0" w:line="240" w:lineRule="auto"/>
              <w:jc w:val="left"/>
            </w:pPr>
            <w:r>
              <w:rPr>
                <w:b/>
                <w:color w:val="1F3864"/>
                <w:sz w:val="21"/>
              </w:rPr>
              <w:t xml:space="preserve">Position as on [DD.MM.YYYY]</w:t>
            </w:r>
          </w:p>
        </w:tc>
        <w:tc>
          <w:tcPr>
            <w:tcW w:type="dxa" w:w="2938"/>
            <w:shd w:val="clear" w:color="auto" w:fill="DCE6F1"/>
          </w:tcPr>
          <w:p>
            <w:pPr>
              <w:pStyle w:val="Compact"/>
              <w:spacing w:before="0" w:after="0" w:line="240" w:lineRule="auto"/>
              <w:jc w:val="left"/>
            </w:pPr>
            <w:r>
              <w:rPr>
                <w:b/>
                <w:color w:val="1F3864"/>
                <w:sz w:val="21"/>
              </w:rPr>
              <w:t xml:space="preserve">Finding</w:t>
            </w:r>
          </w:p>
        </w:tc>
      </w:tr>
      <w:tr>
        <w:tc>
          <w:tcPr>
            <w:tcW w:type="dxa" w:w="1939"/>
          </w:tcPr>
          <w:p>
            <w:pPr>
              <w:pStyle w:val="Compact"/>
              <w:spacing w:before="0" w:after="0" w:line="240" w:lineRule="auto"/>
              <w:jc w:val="left"/>
            </w:pPr>
            <w:r>
              <w:rPr>
                <w:sz w:val="21"/>
              </w:rPr>
              <w:t xml:space="preserve">[ ]</w:t>
            </w:r>
          </w:p>
        </w:tc>
        <w:tc>
          <w:tcPr>
            <w:tcW w:type="dxa" w:w="1763"/>
          </w:tcPr>
          <w:p>
            <w:pPr>
              <w:pStyle w:val="Compact"/>
              <w:spacing w:before="0" w:after="0" w:line="240" w:lineRule="auto"/>
              <w:jc w:val="left"/>
            </w:pPr>
            <w:r>
              <w:rPr>
                <w:sz w:val="21"/>
              </w:rPr>
              <w:t xml:space="preserve">[ ] / [none]</w:t>
            </w:r>
          </w:p>
        </w:tc>
        <w:tc>
          <w:tcPr>
            <w:tcW w:type="dxa" w:w="2997"/>
          </w:tcPr>
          <w:p>
            <w:pPr>
              <w:pStyle w:val="Compact"/>
              <w:spacing w:before="0" w:after="0" w:line="240" w:lineRule="auto"/>
              <w:jc w:val="left"/>
            </w:pPr>
            <w:r>
              <w:rPr>
                <w:sz w:val="21"/>
              </w:rPr>
              <w:t xml:space="preserve">[ ]</w:t>
            </w:r>
          </w:p>
        </w:tc>
        <w:tc>
          <w:tcPr>
            <w:tcW w:type="dxa" w:w="2938"/>
          </w:tcPr>
          <w:p>
            <w:pPr>
              <w:pStyle w:val="Compact"/>
              <w:spacing w:before="0" w:after="0" w:line="240" w:lineRule="auto"/>
              <w:jc w:val="left"/>
            </w:pPr>
            <w:r>
              <w:rPr>
                <w:sz w:val="21"/>
              </w:rPr>
              <w:t xml:space="preserve">[still not met, because [ ]] / [now met]</w:t>
            </w:r>
          </w:p>
        </w:tc>
      </w:tr>
      <w:tr>
        <w:tc>
          <w:tcPr>
            <w:tcW w:type="dxa" w:w="1939"/>
          </w:tcPr>
          <w:p>
            <w:pPr>
              <w:pStyle w:val="Compact"/>
              <w:spacing w:before="0" w:after="0" w:line="240" w:lineRule="auto"/>
              <w:jc w:val="left"/>
            </w:pPr>
            <w:r>
              <w:rPr>
                <w:sz w:val="21"/>
              </w:rPr>
              <w:t xml:space="preserve">[ ]</w:t>
            </w:r>
          </w:p>
        </w:tc>
        <w:tc>
          <w:tcPr>
            <w:tcW w:type="dxa" w:w="1763"/>
          </w:tcPr>
          <w:p>
            <w:pPr>
              <w:pStyle w:val="Compact"/>
              <w:spacing w:before="0" w:after="0" w:line="240" w:lineRule="auto"/>
              <w:jc w:val="left"/>
            </w:pPr>
            <w:r>
              <w:rPr>
                <w:sz w:val="21"/>
              </w:rPr>
              <w:t xml:space="preserve">[ ]</w:t>
            </w:r>
          </w:p>
        </w:tc>
        <w:tc>
          <w:tcPr>
            <w:tcW w:type="dxa" w:w="2997"/>
          </w:tcPr>
          <w:p>
            <w:pPr>
              <w:pStyle w:val="Compact"/>
              <w:spacing w:before="0" w:after="0" w:line="240" w:lineRule="auto"/>
              <w:jc w:val="left"/>
            </w:pPr>
            <w:r>
              <w:rPr>
                <w:sz w:val="21"/>
              </w:rPr>
              <w:t xml:space="preserve">[ ]</w:t>
            </w:r>
          </w:p>
        </w:tc>
        <w:tc>
          <w:tcPr>
            <w:tcW w:type="dxa" w:w="2938"/>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Reject only on a reason that was in the REG-23 and is still unmet on the date of this order. If the reply cured every reason, use Part A.</w:t>
      </w:r>
    </w:p>
    <w:p>
      <w:pPr>
        <w:pStyle w:val="FirstParagraph"/>
        <w:keepNext/>
        <w:spacing w:before="240" w:after="80"/>
        <w:pBdr>
          <w:bottom w:val="single" w:sz="6" w:space="1" w:color="B4C6E7"/>
        </w:pBdr>
      </w:pPr>
      <w:r>
        <w:rPr>
          <w:bCs/>
          <w:b/>
          <w:color w:val="1F3864"/>
          <w:sz w:val="25"/>
        </w:rPr>
        <w:t xml:space="preserve">4. Order</w:t>
      </w:r>
    </w:p>
    <w:p>
      <w:pPr>
        <w:pStyle w:val="BodyText"/>
        <w:spacing w:before="0" w:after="120" w:line="269" w:lineRule="auto"/>
        <w:jc w:val="both"/>
      </w:pPr>
      <w:r>
        <w:t xml:space="preserve">4.1 For the reasons recorded above,</w:t>
      </w:r>
      <w:r>
        <w:t xml:space="preserve"> </w:t>
      </w:r>
      <w:r>
        <w:rPr>
          <w:bCs/>
          <w:b/>
        </w:rPr>
        <w:t xml:space="preserve">your application for revocation of cancellation of registration (ARN [ ] dated [DD.MM.YYYY]) is rejected</w:t>
      </w:r>
      <w:r>
        <w:t xml:space="preserve"> </w:t>
      </w:r>
      <w:r>
        <w:t xml:space="preserve">under rule 23(2)(b). The cancellation ordered on [DD.MM.YYYY] stands.</w:t>
      </w:r>
    </w:p>
    <w:p>
      <w:pPr>
        <w:pStyle w:val="BodyText"/>
        <w:spacing w:before="0" w:after="120" w:line="269" w:lineRule="auto"/>
        <w:jc w:val="both"/>
      </w:pPr>
      <w:r>
        <w:t xml:space="preserve">4.2 [If the only reason is pending returns or dues: you may, subject to the time limits in rule 23(1), file a fresh application after furnishing the returns and paying the dues.]</w:t>
      </w:r>
    </w:p>
    <w:p>
      <w:pPr>
        <w:pStyle w:val="BodyText"/>
        <w:spacing w:before="0" w:after="120" w:line="269" w:lineRule="auto"/>
      </w:pPr>
      <w:r>
        <w:rPr>
          <w:bCs/>
          <w:b/>
        </w:rPr>
        <w:t xml:space="preserve">Your right of appeal</w:t>
      </w:r>
    </w:p>
    <w:p>
      <w:pPr>
        <w:pStyle w:val="BodyText"/>
        <w:spacing w:before="0" w:after="120" w:line="269" w:lineRule="auto"/>
        <w:jc w:val="both"/>
      </w:pPr>
      <w:r>
        <w:t xml:space="preserve">This order is appealable under section 107 of the CGST Act, 2017. The appeal lies to</w:t>
      </w:r>
      <w:r>
        <w:t xml:space="preserve"> </w:t>
      </w:r>
      <w:r>
        <w:rPr>
          <w:bCs/>
          <w:b/>
        </w:rPr>
        <w:t xml:space="preserve">an officer not below the rank of Joint Commissioner (Appeals)</w:t>
      </w:r>
      <w:r>
        <w:t xml:space="preserve"> </w:t>
      </w:r>
      <w:r>
        <w:t xml:space="preserve">[in the office of the Commissioner (Appeals-II), Hyderabad, Headquarters Office, 7th Floor, L.B. Stadium Road, Basheerbagh, Hyderabad – 500 004], because this order is passed by a Superintendent (rule 109A(1)(b) of the CGST Rules, 2017). File it in FORM GST APL-01 on the common portal within</w:t>
      </w:r>
      <w:r>
        <w:t xml:space="preserve"> </w:t>
      </w:r>
      <w:r>
        <w:rPr>
          <w:bCs/>
          <w:b/>
        </w:rPr>
        <w:t xml:space="preserve">three months</w:t>
      </w:r>
      <w:r>
        <w:t xml:space="preserve"> </w:t>
      </w:r>
      <w:r>
        <w:t xml:space="preserve">of the date on which this order is communicated to you; the appellate authority may allow one further month for sufficient cause (section 107(4)).</w:t>
      </w:r>
    </w:p>
    <w:p>
      <w:pPr>
        <w:pStyle w:val="BodyText"/>
        <w:keepLines/>
        <w:spacing w:before="480" w:after="120" w:line="269" w:lineRule="auto"/>
        <w:jc w:val="right"/>
      </w:pPr>
      <w:r>
        <w:rPr>
          <w:bCs/>
          <w:b/>
        </w:rPr>
        <w:t xml:space="preserve">(Signature)</w:t>
      </w:r>
      <w:r>
        <w:br/>
      </w:r>
      <w:r>
        <w:rPr>
          <w:bCs/>
          <w:b/>
        </w:rPr>
        <w:t xml:space="preserve">([Name of the Superintendent])</w:t>
      </w:r>
      <w:r>
        <w:br/>
      </w:r>
      <w:r>
        <w:t xml:space="preserve">Superintendent of Central Tax, [ ] Range</w:t>
      </w:r>
      <w:r>
        <w:br/>
      </w:r>
      <w:r>
        <w:t xml:space="preserve">Sangareddy CGST Division, Medchal CGST Commissionerate</w:t>
      </w:r>
      <w:r>
        <w:br/>
      </w:r>
      <w:r>
        <w:t xml:space="preserve">(digitally signed)</w:t>
      </w:r>
    </w:p>
    <w:p>
      <w:pPr>
        <w:pStyle w:val="BodyText"/>
        <w:spacing w:before="0" w:after="120" w:line="269" w:lineRule="auto"/>
      </w:pPr>
      <w:r>
        <w:t xml:space="preserve">To,</w:t>
      </w:r>
      <w:r>
        <w:br/>
      </w:r>
      <w:r>
        <w:t xml:space="preserve">[Legal name], GSTIN [ ], [address] (through the common portal and by e-mail to [registered e-mail])</w:t>
      </w:r>
    </w:p>
    <w:p>
      <w:pPr>
        <w:pStyle w:val="BodyText"/>
        <w:spacing w:before="0" w:after="120" w:line="269" w:lineRule="auto"/>
      </w:pPr>
      <w:r>
        <w:t xml:space="preserve">Copy to:</w:t>
      </w:r>
    </w:p>
    <w:p>
      <w:pPr>
        <w:numPr>
          <w:ilvl w:val="0"/>
          <w:numId w:val="1001"/>
        </w:numPr>
        <w:pStyle w:val="Compact"/>
        <w:spacing w:before="0" w:after="120" w:line="269" w:lineRule="auto"/>
      </w:pPr>
      <w:r>
        <w:t xml:space="preserve">[Where decided under a High Court order: the Assistant Commissioner, Sangareddy CGST Division, and the standing counsel, for reporting compliance with the order in W.P. No. [ ] of [YYYY].]</w:t>
      </w:r>
    </w:p>
    <w:p>
      <w:pPr>
        <w:numPr>
          <w:ilvl w:val="0"/>
          <w:numId w:val="1001"/>
        </w:numPr>
        <w:pStyle w:val="Compact"/>
        <w:spacing w:before="0" w:after="120" w:line="269" w:lineRule="auto"/>
      </w:pPr>
      <w:r>
        <w:t xml:space="preserve">Guard file.</w:t>
      </w:r>
    </w:p>
    <w:p>
      <w:pPr>
        <w:pStyle w:val="BlockText"/>
        <w:shd w:val="clear" w:color="auto" w:fill="E7E6E6"/>
      </w:pPr>
      <w:r>
        <w:rPr>
          <w:bCs/>
          <w:b/>
          <w:sz w:val="21"/>
        </w:rPr>
        <w:t xml:space="preserve">Drafting note: final check.</w:t>
      </w:r>
      <w:r>
        <w:rPr>
          <w:sz w:val="21"/>
        </w:rPr>
        <w:t xml:space="preserve"> </w:t>
      </w:r>
      <w:r>
        <w:rPr>
          <w:sz w:val="21"/>
        </w:rPr>
        <w:t xml:space="preserve">(1) Only one part remains, and the title line shows only that form. (2) For Part A, each condition was checked in the ledgers and returns, and para 3.2 gives the correct start date of the gap period. (3) For Part B, every reason was in the REG-23 and the reply is answered. (4) Within thirty days of the application (A) or of the reply (B), and within any court deadline. (5) The appeal paragraph is kept for Part B (and may be deleted for Part A). (6) No square bracket or drafting note remains.</w:t>
      </w:r>
    </w:p>
    <w:p>
      <w:pPr>
        <w:pStyle w:val="BlockText"/>
        <w:shd w:val="clear" w:color="auto" w:fill="E7E6E6"/>
        <w:spacing w:before="360"/>
      </w:pPr>
      <w:r>
        <w:rPr>
          <w:bCs/>
          <w:b/>
          <w:sz w:val="21"/>
        </w:rPr>
        <w:t xml:space="preserve">How to use this template.</w:t>
      </w:r>
      <w:r>
        <w:rPr>
          <w:sz w:val="21"/>
        </w:rPr>
        <w:t xml:space="preserve"> </w:t>
      </w:r>
      <w:r>
        <w:rPr>
          <w:bCs/>
          <w:b/>
          <w:sz w:val="21"/>
        </w:rPr>
        <w:t xml:space="preserve">Part A</w:t>
      </w:r>
      <w:r>
        <w:rPr>
          <w:sz w:val="21"/>
        </w:rPr>
        <w:t xml:space="preserve"> </w:t>
      </w:r>
      <w:r>
        <w:rPr>
          <w:sz w:val="21"/>
        </w:rPr>
        <w:t xml:space="preserve">revokes the cancellation (REG-22) within</w:t>
      </w:r>
      <w:r>
        <w:rPr>
          <w:sz w:val="21"/>
        </w:rPr>
        <w:t xml:space="preserve"> </w:t>
      </w:r>
      <w:r>
        <w:rPr>
          <w:bCs/>
          <w:b/>
          <w:sz w:val="21"/>
        </w:rPr>
        <w:t xml:space="preserve">thirty days</w:t>
      </w:r>
      <w:r>
        <w:rPr>
          <w:sz w:val="21"/>
        </w:rPr>
        <w:t xml:space="preserve"> </w:t>
      </w:r>
      <w:r>
        <w:rPr>
          <w:sz w:val="21"/>
        </w:rPr>
        <w:t xml:space="preserve">of the application. Rule 23(2)(a) requires satisfaction</w:t>
      </w:r>
      <w:r>
        <w:rPr>
          <w:sz w:val="21"/>
        </w:rPr>
        <w:t xml:space="preserve"> </w:t>
      </w:r>
      <w:r>
        <w:rPr>
          <w:sz w:val="21"/>
        </w:rPr>
        <w:t xml:space="preserve">“</w:t>
      </w:r>
      <w:r>
        <w:rPr>
          <w:sz w:val="21"/>
        </w:rPr>
        <w:t xml:space="preserve">for reasons to be recorded in writing</w:t>
      </w:r>
      <w:r>
        <w:rPr>
          <w:sz w:val="21"/>
        </w:rPr>
        <w:t xml:space="preserve">”</w:t>
      </w:r>
      <w:r>
        <w:rPr>
          <w:sz w:val="21"/>
        </w:rPr>
        <w:t xml:space="preserve">, which the portal REG-22 (</w:t>
      </w:r>
      <w:r>
        <w:rPr>
          <w:sz w:val="21"/>
        </w:rPr>
        <w:t xml:space="preserve">“</w:t>
      </w:r>
      <w:r>
        <w:rPr>
          <w:sz w:val="21"/>
        </w:rPr>
        <w:t xml:space="preserve">found to be in order</w:t>
      </w:r>
      <w:r>
        <w:rPr>
          <w:sz w:val="21"/>
        </w:rPr>
        <w:t xml:space="preserve">”</w:t>
      </w:r>
      <w:r>
        <w:rPr>
          <w:sz w:val="21"/>
        </w:rPr>
        <w:t xml:space="preserve">) does not show, so attach this order.</w:t>
      </w:r>
      <w:r>
        <w:rPr>
          <w:sz w:val="21"/>
        </w:rPr>
        <w:t xml:space="preserve"> </w:t>
      </w:r>
      <w:r>
        <w:rPr>
          <w:bCs/>
          <w:b/>
          <w:sz w:val="21"/>
        </w:rPr>
        <w:t xml:space="preserve">Part B</w:t>
      </w:r>
      <w:r>
        <w:rPr>
          <w:sz w:val="21"/>
        </w:rPr>
        <w:t xml:space="preserve"> </w:t>
      </w:r>
      <w:r>
        <w:rPr>
          <w:sz w:val="21"/>
        </w:rPr>
        <w:t xml:space="preserve">rejects the application (REG-05) only after a REG-23 notice and hearing (template R7), within thirty days of the REG-24 reply (rule 23(4)). Keep only the part needed. Where the application was filed under a High Court direction, say so in para 1 and decide within the court’s time.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issue.</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R8: Order on an application for revocation of cancellation: Part A revocation (FORM GST REG-22) and Part B rejection (FORM GST REG-05) (rule 23(2))</dc:title>
  <dc:creator>Sangareddy CGST Division</dc:creator>
  <cp:keywords/>
  <dcterms:created xsi:type="dcterms:W3CDTF">2026-10-14T21:58:25Z</dcterms:created>
  <dcterms:modified xsi:type="dcterms:W3CDTF">2026-10-14T21:58:25Z</dcterms:modified>
</cp:coreProperties>
</file>

<file path=docProps/custom.xml><?xml version="1.0" encoding="utf-8"?>
<Properties xmlns="http://schemas.openxmlformats.org/officeDocument/2006/custom-properties" xmlns:vt="http://schemas.openxmlformats.org/officeDocument/2006/docPropsVTypes"/>
</file>