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अधीक्षक का कार्यालय</w:t>
      </w:r>
    </w:p>
    <w:p>
      <w:pPr>
        <w:spacing w:before="0" w:after="0" w:line="240" w:lineRule="auto"/>
        <w:jc w:val="center"/>
      </w:pPr>
      <w:r>
        <w:rPr>
          <w:b/>
          <w:sz w:val="23"/>
          <w:szCs w:val="23"/>
          <w:bCs/>
        </w:rPr>
        <w:t>OFFICE OF THE SUPERINTENDENT OF CENTRAL TAX, [        ] RANGE</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ORDER OF REJECTION OF APPLICATION FOR [REGISTRATION / AMENDMENT / CANCELLATION / WITHDRAWAL]</w:t>
      </w:r>
      <w:r>
        <w:br/>
      </w:r>
      <w:r>
        <w:t xml:space="preserve">FORM GST REG-05 [rules 9(4), 19(4) and 14A of the CGST Rules,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17"/>
        <w:gridCol w:w="7421"/>
      </w:tblGrid>
      <w:tr>
        <w:trPr>
          <w:tblHeader w:val="true"/>
          <w:tblHeader/>
        </w:trPr>
        <w:tc>
          <w:tcPr>
            <w:tcW w:type="dxa" w:w="2217"/>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421"/>
            <w:shd w:val="clear" w:color="auto" w:fill="DCE6F1"/>
          </w:tcPr>
          <w:p>
            <w:pPr>
              <w:pStyle w:val="Compact"/>
              <w:spacing w:before="0" w:after="0" w:line="240" w:lineRule="auto"/>
              <w:jc w:val="left"/>
            </w:pPr>
            <w:r>
              <w:rPr>
                <w:b/>
                <w:color w:val="1F3864"/>
                <w:sz w:val="21"/>
              </w:rPr>
              <w:t xml:space="preserve">Details</w:t>
            </w:r>
          </w:p>
        </w:tc>
      </w:tr>
      <w:tr>
        <w:tc>
          <w:tcPr>
            <w:tcW w:type="dxa" w:w="2217"/>
            <w:shd w:val="clear" w:color="auto" w:fill="F5F8FC"/>
          </w:tcPr>
          <w:p>
            <w:pPr>
              <w:pStyle w:val="Compact"/>
              <w:spacing w:before="0" w:after="0" w:line="240" w:lineRule="auto"/>
              <w:jc w:val="left"/>
            </w:pPr>
            <w:r>
              <w:rPr>
                <w:b/>
                <w:sz w:val="21"/>
              </w:rPr>
              <w:t xml:space="preserve">Order No. and date</w:t>
            </w:r>
          </w:p>
        </w:tc>
        <w:tc>
          <w:tcPr>
            <w:tcW w:type="dxa" w:w="7421"/>
          </w:tcPr>
          <w:p>
            <w:pPr>
              <w:pStyle w:val="Compact"/>
              <w:spacing w:before="0" w:after="0" w:line="240" w:lineRule="auto"/>
              <w:jc w:val="left"/>
            </w:pPr>
            <w:r>
              <w:rPr>
                <w:sz w:val="21"/>
              </w:rPr>
              <w:t xml:space="preserve">[ ] dated [DD.MM.YYYY]; RFN [ ]</w:t>
            </w:r>
          </w:p>
        </w:tc>
      </w:tr>
      <w:tr>
        <w:tc>
          <w:tcPr>
            <w:tcW w:type="dxa" w:w="2217"/>
            <w:shd w:val="clear" w:color="auto" w:fill="F5F8FC"/>
          </w:tcPr>
          <w:p>
            <w:pPr>
              <w:pStyle w:val="Compact"/>
              <w:spacing w:before="0" w:after="0" w:line="240" w:lineRule="auto"/>
              <w:jc w:val="left"/>
            </w:pPr>
            <w:r>
              <w:rPr>
                <w:b/>
                <w:sz w:val="21"/>
              </w:rPr>
              <w:t xml:space="preserve">To</w:t>
            </w:r>
          </w:p>
        </w:tc>
        <w:tc>
          <w:tcPr>
            <w:tcW w:type="dxa" w:w="7421"/>
          </w:tcPr>
          <w:p>
            <w:pPr>
              <w:pStyle w:val="Compact"/>
              <w:spacing w:before="0" w:after="0" w:line="240" w:lineRule="auto"/>
              <w:jc w:val="left"/>
            </w:pPr>
            <w:r>
              <w:rPr>
                <w:sz w:val="21"/>
              </w:rPr>
              <w:t xml:space="preserve">[Name of the applicant] ([trade name]), [address]; GSTIN / GSTP ID: [ ]</w:t>
            </w:r>
          </w:p>
        </w:tc>
      </w:tr>
      <w:tr>
        <w:tc>
          <w:tcPr>
            <w:tcW w:type="dxa" w:w="2217"/>
            <w:shd w:val="clear" w:color="auto" w:fill="F5F8FC"/>
          </w:tcPr>
          <w:p>
            <w:pPr>
              <w:pStyle w:val="Compact"/>
              <w:spacing w:before="0" w:after="0" w:line="240" w:lineRule="auto"/>
              <w:jc w:val="left"/>
            </w:pPr>
            <w:r>
              <w:rPr>
                <w:b/>
                <w:sz w:val="21"/>
              </w:rPr>
              <w:t xml:space="preserve">Application</w:t>
            </w:r>
          </w:p>
        </w:tc>
        <w:tc>
          <w:tcPr>
            <w:tcW w:type="dxa" w:w="7421"/>
          </w:tcPr>
          <w:p>
            <w:pPr>
              <w:pStyle w:val="Compact"/>
              <w:spacing w:before="0" w:after="0" w:line="240" w:lineRule="auto"/>
              <w:jc w:val="left"/>
            </w:pPr>
            <w:r>
              <w:rPr>
                <w:sz w:val="21"/>
              </w:rPr>
              <w:t xml:space="preserve">[REG-01] / [REG-14] / [REG-16] / [REG-32], ARN [ ] dated [DD.MM.YYYY]</w:t>
            </w:r>
          </w:p>
        </w:tc>
      </w:tr>
      <w:tr>
        <w:tc>
          <w:tcPr>
            <w:tcW w:type="dxa" w:w="2217"/>
            <w:shd w:val="clear" w:color="auto" w:fill="F5F8FC"/>
          </w:tcPr>
          <w:p>
            <w:pPr>
              <w:pStyle w:val="Compact"/>
              <w:spacing w:before="0" w:after="0" w:line="240" w:lineRule="auto"/>
              <w:jc w:val="left"/>
            </w:pPr>
            <w:r>
              <w:rPr>
                <w:b/>
                <w:sz w:val="21"/>
              </w:rPr>
              <w:t xml:space="preserve">Notice</w:t>
            </w:r>
          </w:p>
        </w:tc>
        <w:tc>
          <w:tcPr>
            <w:tcW w:type="dxa" w:w="7421"/>
          </w:tcPr>
          <w:p>
            <w:pPr>
              <w:pStyle w:val="Compact"/>
              <w:spacing w:before="0" w:after="0" w:line="240" w:lineRule="auto"/>
              <w:jc w:val="left"/>
            </w:pPr>
            <w:r>
              <w:rPr>
                <w:sz w:val="21"/>
              </w:rPr>
              <w:t xml:space="preserve">REG-03 No. [ ] dated [DD.MM.YYYY]; reply due by [DD.MM.YYYY]</w:t>
            </w:r>
          </w:p>
        </w:tc>
      </w:tr>
      <w:tr>
        <w:tc>
          <w:tcPr>
            <w:tcW w:type="dxa" w:w="2217"/>
            <w:shd w:val="clear" w:color="auto" w:fill="F5F8FC"/>
          </w:tcPr>
          <w:p>
            <w:pPr>
              <w:pStyle w:val="Compact"/>
              <w:spacing w:before="0" w:after="0" w:line="240" w:lineRule="auto"/>
              <w:jc w:val="left"/>
            </w:pPr>
            <w:r>
              <w:rPr>
                <w:b/>
                <w:sz w:val="21"/>
              </w:rPr>
              <w:t xml:space="preserve">Reply</w:t>
            </w:r>
          </w:p>
        </w:tc>
        <w:tc>
          <w:tcPr>
            <w:tcW w:type="dxa" w:w="7421"/>
          </w:tcPr>
          <w:p>
            <w:pPr>
              <w:pStyle w:val="Compact"/>
              <w:spacing w:before="0" w:after="0" w:line="240" w:lineRule="auto"/>
              <w:jc w:val="left"/>
            </w:pPr>
            <w:r>
              <w:rPr>
                <w:sz w:val="21"/>
              </w:rPr>
              <w:t xml:space="preserve">[REG-04, ARN [ ] dated [DD.MM.YYYY]] / [No reply received]</w:t>
            </w:r>
          </w:p>
        </w:tc>
      </w:tr>
      <w:tr>
        <w:tc>
          <w:tcPr>
            <w:tcW w:type="dxa" w:w="2217"/>
            <w:shd w:val="clear" w:color="auto" w:fill="F5F8FC"/>
          </w:tcPr>
          <w:p>
            <w:pPr>
              <w:pStyle w:val="Compact"/>
              <w:spacing w:before="0" w:after="0" w:line="240" w:lineRule="auto"/>
              <w:jc w:val="left"/>
            </w:pPr>
            <w:r>
              <w:rPr>
                <w:b/>
                <w:sz w:val="21"/>
              </w:rPr>
              <w:t xml:space="preserve">[Amendment / cancellation] Hearing</w:t>
            </w:r>
          </w:p>
        </w:tc>
        <w:tc>
          <w:tcPr>
            <w:tcW w:type="dxa" w:w="7421"/>
          </w:tcPr>
          <w:p>
            <w:pPr>
              <w:pStyle w:val="Compact"/>
              <w:spacing w:before="0" w:after="0" w:line="240" w:lineRule="auto"/>
              <w:jc w:val="left"/>
            </w:pPr>
            <w:r>
              <w:rPr>
                <w:sz w:val="21"/>
              </w:rPr>
              <w:t xml:space="preserve">[Held on [DD.MM.YYYY]; attended by [ ]] / [Fixed on [DD.MM.YYYY]; not attended]</w:t>
            </w:r>
          </w:p>
        </w:tc>
      </w:tr>
    </w:tbl>
    <w:p>
      <w:pPr>
        <w:pStyle w:val="BodyText"/>
        <w:keepNext/>
        <w:spacing w:before="240" w:after="80"/>
        <w:pBdr>
          <w:bottom w:val="single" w:sz="6" w:space="1" w:color="B4C6E7"/>
        </w:pBdr>
      </w:pPr>
      <w:r>
        <w:rPr>
          <w:bCs/>
          <w:b/>
          <w:color w:val="1F3864"/>
          <w:sz w:val="25"/>
        </w:rPr>
        <w:t xml:space="preserve">1. The application and the notice</w:t>
      </w:r>
    </w:p>
    <w:p>
      <w:pPr>
        <w:pStyle w:val="BodyText"/>
        <w:spacing w:before="0" w:after="120" w:line="269" w:lineRule="auto"/>
        <w:jc w:val="both"/>
      </w:pPr>
      <w:r>
        <w:t xml:space="preserve">1.1 You applied for [registration as [constitution] for [nature of business] at [principal place of business]] / [amendment of [particular] from</w:t>
      </w:r>
      <w:r>
        <w:t xml:space="preserve"> </w:t>
      </w:r>
      <w:r>
        <w:t xml:space="preserve">“</w:t>
      </w:r>
      <w:r>
        <w:t xml:space="preserve">[ ]</w:t>
      </w:r>
      <w:r>
        <w:t xml:space="preserve">”</w:t>
      </w:r>
      <w:r>
        <w:t xml:space="preserve"> </w:t>
      </w:r>
      <w:r>
        <w:t xml:space="preserve">to</w:t>
      </w:r>
      <w:r>
        <w:t xml:space="preserve"> </w:t>
      </w:r>
      <w:r>
        <w:t xml:space="preserve">“</w:t>
      </w:r>
      <w:r>
        <w:t xml:space="preserve">[ ]</w:t>
      </w:r>
      <w:r>
        <w:t xml:space="preserve">”</w:t>
      </w:r>
      <w:r>
        <w:t xml:space="preserve">] / [cancellation from [DD.MM.YYYY] on the ground that [ ]] / [withdrawal from the option under rule 14A].</w:t>
      </w:r>
    </w:p>
    <w:p>
      <w:pPr>
        <w:pStyle w:val="BodyText"/>
        <w:spacing w:before="0" w:after="120" w:line="269" w:lineRule="auto"/>
        <w:jc w:val="both"/>
      </w:pPr>
      <w:r>
        <w:t xml:space="preserve">1.2 By notice in FORM GST REG-03 dated [DD.MM.YYYY], you were asked to clarify or complete the following, by [DD.MM.YYYY]: (1) [point 1]; (2) [point 2]; [ ].</w:t>
      </w:r>
    </w:p>
    <w:p>
      <w:pPr>
        <w:pStyle w:val="BodyText"/>
        <w:keepNext/>
        <w:spacing w:before="240" w:after="80"/>
        <w:pBdr>
          <w:bottom w:val="single" w:sz="6" w:space="1" w:color="B4C6E7"/>
        </w:pBdr>
      </w:pPr>
      <w:r>
        <w:rPr>
          <w:bCs/>
          <w:b/>
          <w:color w:val="1F3864"/>
          <w:sz w:val="25"/>
        </w:rPr>
        <w:t xml:space="preserve">2. Reply</w:t>
      </w:r>
    </w:p>
    <w:p>
      <w:pPr>
        <w:pStyle w:val="BodyText"/>
        <w:spacing w:before="0" w:after="120" w:line="269" w:lineRule="auto"/>
      </w:pPr>
      <w:r>
        <w:t xml:space="preserve">2.1</w:t>
      </w:r>
      <w:r>
        <w:t xml:space="preserve"> </w:t>
      </w:r>
      <w:r>
        <w:rPr>
          <w:bCs/>
          <w:b/>
        </w:rPr>
        <w:t xml:space="preserve">[Reply filed]</w:t>
      </w:r>
      <w:r>
        <w:t xml:space="preserve"> </w:t>
      </w:r>
      <w:r>
        <w:t xml:space="preserve">You replied on [DD.MM.YYYY], [stating that [ ] and uploading [documents]].</w:t>
      </w:r>
    </w:p>
    <w:p>
      <w:pPr>
        <w:pStyle w:val="BodyText"/>
        <w:spacing w:before="0" w:after="120" w:line="269" w:lineRule="auto"/>
      </w:pPr>
      <w:r>
        <w:t xml:space="preserve">2.1</w:t>
      </w:r>
      <w:r>
        <w:t xml:space="preserve"> </w:t>
      </w:r>
      <w:r>
        <w:rPr>
          <w:bCs/>
          <w:b/>
        </w:rPr>
        <w:t xml:space="preserve">[No reply]</w:t>
      </w:r>
      <w:r>
        <w:t xml:space="preserve"> </w:t>
      </w:r>
      <w:r>
        <w:t xml:space="preserve">No reply was received by [DD.MM.YYYY] or later.</w:t>
      </w:r>
    </w:p>
    <w:p>
      <w:pPr>
        <w:pStyle w:val="BodyText"/>
        <w:spacing w:before="0" w:after="120" w:line="269" w:lineRule="auto"/>
        <w:jc w:val="both"/>
      </w:pPr>
      <w:r>
        <w:t xml:space="preserve">2.2 [Amendment and cancellation applications: a personal hearing was fixed on [DD.MM.YYYY] (second proviso to section 28(2) / Circular No. 69/43/2018-GST para 6). [Name] [attended and stated [ ]] / [did not attend].]</w:t>
      </w:r>
    </w:p>
    <w:p>
      <w:pPr>
        <w:pStyle w:val="BodyText"/>
        <w:keepNext/>
        <w:spacing w:before="240" w:after="80"/>
        <w:pBdr>
          <w:bottom w:val="single" w:sz="6" w:space="1" w:color="B4C6E7"/>
        </w:pBdr>
      </w:pPr>
      <w:r>
        <w:rPr>
          <w:bCs/>
          <w:b/>
          <w:color w:val="1F3864"/>
          <w:sz w:val="25"/>
        </w:rPr>
        <w:t xml:space="preserve">3. Findings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65"/>
        <w:gridCol w:w="1059"/>
        <w:gridCol w:w="7414"/>
      </w:tblGrid>
      <w:tr>
        <w:trPr>
          <w:tblHeader w:val="true"/>
          <w:tblHeader/>
        </w:trPr>
        <w:tc>
          <w:tcPr>
            <w:tcW w:type="dxa" w:w="1165"/>
            <w:shd w:val="clear" w:color="auto" w:fill="DCE6F1"/>
          </w:tcPr>
          <w:p>
            <w:pPr>
              <w:pStyle w:val="Compact"/>
              <w:spacing w:before="0" w:after="0" w:line="240" w:lineRule="auto"/>
              <w:jc w:val="left"/>
            </w:pPr>
            <w:r>
              <w:rPr>
                <w:b/>
                <w:color w:val="1F3864"/>
                <w:sz w:val="21"/>
              </w:rPr>
              <w:t xml:space="preserve">Point in the REG-03</w:t>
            </w:r>
          </w:p>
        </w:tc>
        <w:tc>
          <w:tcPr>
            <w:tcW w:type="dxa" w:w="1059"/>
            <w:shd w:val="clear" w:color="auto" w:fill="DCE6F1"/>
          </w:tcPr>
          <w:p>
            <w:pPr>
              <w:pStyle w:val="Compact"/>
              <w:spacing w:before="0" w:after="0" w:line="240" w:lineRule="auto"/>
              <w:jc w:val="left"/>
            </w:pPr>
            <w:r>
              <w:rPr>
                <w:b/>
                <w:color w:val="1F3864"/>
                <w:sz w:val="21"/>
              </w:rPr>
              <w:t xml:space="preserve">Reply</w:t>
            </w:r>
          </w:p>
        </w:tc>
        <w:tc>
          <w:tcPr>
            <w:tcW w:type="dxa" w:w="7414"/>
            <w:shd w:val="clear" w:color="auto" w:fill="DCE6F1"/>
          </w:tcPr>
          <w:p>
            <w:pPr>
              <w:pStyle w:val="Compact"/>
              <w:spacing w:before="0" w:after="0" w:line="240" w:lineRule="auto"/>
              <w:jc w:val="left"/>
            </w:pPr>
            <w:r>
              <w:rPr>
                <w:b/>
                <w:color w:val="1F3864"/>
                <w:sz w:val="21"/>
              </w:rPr>
              <w:t xml:space="preserve">Finding and reason</w:t>
            </w:r>
          </w:p>
        </w:tc>
      </w:tr>
      <w:tr>
        <w:tc>
          <w:tcPr>
            <w:tcW w:type="dxa" w:w="1165"/>
          </w:tcPr>
          <w:p>
            <w:pPr>
              <w:pStyle w:val="Compact"/>
              <w:spacing w:before="0" w:after="0" w:line="240" w:lineRule="auto"/>
              <w:jc w:val="left"/>
            </w:pPr>
            <w:r>
              <w:rPr>
                <w:sz w:val="21"/>
              </w:rPr>
              <w:t xml:space="preserve">1. [ ]</w:t>
            </w:r>
          </w:p>
        </w:tc>
        <w:tc>
          <w:tcPr>
            <w:tcW w:type="dxa" w:w="1059"/>
          </w:tcPr>
          <w:p>
            <w:pPr>
              <w:pStyle w:val="Compact"/>
              <w:spacing w:before="0" w:after="0" w:line="240" w:lineRule="auto"/>
              <w:jc w:val="left"/>
            </w:pPr>
            <w:r>
              <w:rPr>
                <w:sz w:val="21"/>
              </w:rPr>
              <w:t xml:space="preserve">[ ] / [none]</w:t>
            </w:r>
          </w:p>
        </w:tc>
        <w:tc>
          <w:tcPr>
            <w:tcW w:type="dxa" w:w="7414"/>
          </w:tcPr>
          <w:p>
            <w:pPr>
              <w:pStyle w:val="Compact"/>
              <w:spacing w:before="0" w:after="0" w:line="240" w:lineRule="auto"/>
              <w:jc w:val="left"/>
            </w:pPr>
            <w:r>
              <w:rPr>
                <w:sz w:val="21"/>
              </w:rPr>
              <w:t xml:space="preserve">[e.g. The rent agreement now uploaded is for premises at [address], which is not the address declared in the application; no document showing ownership or possession of the declared premises has been produced. The point remains unanswered.]</w:t>
            </w:r>
          </w:p>
        </w:tc>
      </w:tr>
      <w:tr>
        <w:tc>
          <w:tcPr>
            <w:tcW w:type="dxa" w:w="1165"/>
          </w:tcPr>
          <w:p>
            <w:pPr>
              <w:pStyle w:val="Compact"/>
              <w:spacing w:before="0" w:after="0" w:line="240" w:lineRule="auto"/>
              <w:jc w:val="left"/>
            </w:pPr>
            <w:r>
              <w:rPr>
                <w:sz w:val="21"/>
              </w:rPr>
              <w:t xml:space="preserve">2. [ ]</w:t>
            </w:r>
          </w:p>
        </w:tc>
        <w:tc>
          <w:tcPr>
            <w:tcW w:type="dxa" w:w="1059"/>
          </w:tcPr>
          <w:p>
            <w:pPr>
              <w:pStyle w:val="Compact"/>
              <w:spacing w:before="0" w:after="0" w:line="240" w:lineRule="auto"/>
              <w:jc w:val="left"/>
            </w:pPr>
            <w:r>
              <w:rPr>
                <w:sz w:val="21"/>
              </w:rPr>
              <w:t xml:space="preserve">[ ]</w:t>
            </w:r>
          </w:p>
        </w:tc>
        <w:tc>
          <w:tcPr>
            <w:tcW w:type="dxa" w:w="7414"/>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Decide only the points raised in the REG-03. A point that the reply answers must be recorded as answered. If the reply answers every point, approve the application instead (rule 9(3)).</w:t>
      </w:r>
    </w:p>
    <w:p>
      <w:pPr>
        <w:pStyle w:val="FirstParagraph"/>
        <w:keepNext/>
        <w:spacing w:before="240" w:after="80"/>
        <w:pBdr>
          <w:bottom w:val="single" w:sz="6" w:space="1" w:color="B4C6E7"/>
        </w:pBdr>
      </w:pPr>
      <w:r>
        <w:rPr>
          <w:bCs/>
          <w:b/>
          <w:color w:val="1F3864"/>
          <w:sz w:val="25"/>
        </w:rPr>
        <w:t xml:space="preserve">3A. [Fresh application by a person whose earlier registration was cancelled; Circular No. 95/14/2019-GST]</w:t>
      </w:r>
    </w:p>
    <w:p>
      <w:pPr>
        <w:pStyle w:val="BodyText"/>
        <w:spacing w:before="0" w:after="120" w:line="269" w:lineRule="auto"/>
        <w:jc w:val="both"/>
      </w:pPr>
      <w:r>
        <w:t xml:space="preserve">3A.1 Your earlier registration GSTIN [ ] on the same PAN [in this State] was cancelled by order dated [DD.MM.YYYY] under section 29(2)([b] / [c]) for non-furnishing of returns for [Month YYYY] to [Month YYYY].</w:t>
      </w:r>
    </w:p>
    <w:p>
      <w:pPr>
        <w:pStyle w:val="BodyText"/>
        <w:spacing w:before="0" w:after="120" w:line="269" w:lineRule="auto"/>
        <w:jc w:val="both"/>
      </w:pPr>
      <w:r>
        <w:t xml:space="preserve">3A.2 No application for revocation of that cancellation has been made. As on [DD.MM.YYYY], returns for [periods] under that registration remain unfiled and the tax due under them [is unpaid / is not known because the returns are not filed].</w:t>
      </w:r>
    </w:p>
    <w:p>
      <w:pPr>
        <w:pStyle w:val="BodyText"/>
        <w:spacing w:before="0" w:after="120" w:line="269" w:lineRule="auto"/>
        <w:jc w:val="both"/>
      </w:pPr>
      <w:r>
        <w:t xml:space="preserve">3A.3 [Your explanation was that [ ]. It does not justify a new registration because [ ].] Under Circular No. 95/14/2019-GST paras 4 and 5, not seeking revocation while the default under section 29(2)([b] / [c]) continues is a deficiency within rule 9(2), and is a ground to reject the application under rule 9(4).</w:t>
      </w:r>
    </w:p>
    <w:p>
      <w:pPr>
        <w:pStyle w:val="BlockText"/>
        <w:shd w:val="clear" w:color="auto" w:fill="E7E6E6"/>
      </w:pPr>
      <w:r>
        <w:rPr>
          <w:bCs/>
          <w:b/>
          <w:sz w:val="21"/>
        </w:rPr>
        <w:t xml:space="preserve">Drafting note (3A).</w:t>
      </w:r>
      <w:r>
        <w:rPr>
          <w:sz w:val="21"/>
        </w:rPr>
        <w:t xml:space="preserve"> </w:t>
      </w:r>
      <w:r>
        <w:rPr>
          <w:sz w:val="21"/>
        </w:rPr>
        <w:t xml:space="preserve">Earlier cancellation is not an automatic bar. Record the facts for each of the three questions (ground of cancellation, revocation not sought, default continuing). Delete 3A if not relevant.</w:t>
      </w:r>
    </w:p>
    <w:p>
      <w:pPr>
        <w:pStyle w:val="FirstParagraph"/>
        <w:keepNext/>
        <w:spacing w:before="240" w:after="80"/>
        <w:pBdr>
          <w:bottom w:val="single" w:sz="6" w:space="1" w:color="B4C6E7"/>
        </w:pBdr>
      </w:pPr>
      <w:r>
        <w:rPr>
          <w:bCs/>
          <w:b/>
          <w:color w:val="1F3864"/>
          <w:sz w:val="25"/>
        </w:rPr>
        <w:t xml:space="preserve">4. Order</w:t>
      </w:r>
    </w:p>
    <w:p>
      <w:pPr>
        <w:pStyle w:val="BodyText"/>
        <w:spacing w:before="0" w:after="120" w:line="269" w:lineRule="auto"/>
        <w:jc w:val="both"/>
      </w:pPr>
      <w:r>
        <w:t xml:space="preserve">4.1 For the reasons recorded in para 3 [and para 3A],</w:t>
      </w:r>
      <w:r>
        <w:t xml:space="preserve"> </w:t>
      </w:r>
      <w:r>
        <w:rPr>
          <w:bCs/>
          <w:b/>
        </w:rPr>
        <w:t xml:space="preserve">your application [ARN [ ] dated [DD.MM.YYYY]] for [registration / amendment / cancellation / withdrawal] is rejected</w:t>
      </w:r>
      <w:r>
        <w:t xml:space="preserve"> </w:t>
      </w:r>
      <w:r>
        <w:t xml:space="preserve">under [rule 9(4)] / [rule 19(4)] / [rule 14A(10)] of the CGST Rules, 2017.</w:t>
      </w:r>
    </w:p>
    <w:p>
      <w:pPr>
        <w:pStyle w:val="BodyText"/>
        <w:spacing w:before="0" w:after="120" w:line="269" w:lineRule="auto"/>
        <w:jc w:val="both"/>
      </w:pPr>
      <w:r>
        <w:t xml:space="preserve">4.2 [Registration: this does not prevent you from applying afresh with the documents listed in FORM GST REG-01.] [Cancellation: your registration continues; you remain liable to furnish returns.]</w:t>
      </w:r>
    </w:p>
    <w:p>
      <w:pPr>
        <w:pStyle w:val="BodyText"/>
        <w:spacing w:before="0" w:after="120" w:line="269" w:lineRule="auto"/>
      </w:pPr>
      <w:r>
        <w:rPr>
          <w:bCs/>
          <w:b/>
        </w:rPr>
        <w:t xml:space="preserve">Your right of appeal</w:t>
      </w:r>
    </w:p>
    <w:p>
      <w:pPr>
        <w:pStyle w:val="BodyText"/>
        <w:spacing w:before="0" w:after="120" w:line="269" w:lineRule="auto"/>
        <w:jc w:val="both"/>
      </w:pPr>
      <w:r>
        <w:t xml:space="preserve">This order is appealable under section 107 of the CGST Act, 2017. The appeal lies to</w:t>
      </w:r>
      <w:r>
        <w:t xml:space="preserve"> </w:t>
      </w:r>
      <w:r>
        <w:rPr>
          <w:bCs/>
          <w:b/>
        </w:rPr>
        <w:t xml:space="preserve">an officer not below the rank of Joint Commissioner (Appeals)</w:t>
      </w:r>
      <w:r>
        <w:t xml:space="preserve"> </w:t>
      </w:r>
      <w:r>
        <w:t xml:space="preserve">[in the office of the Commissioner (Appeals-II), Hyderabad, Headquarters Office, 7th Floor, L.B. Stadium Road, Basheerbagh, Hyderabad – 500 004], because this order is passed by a Superintendent (rule 109A(1)(b) of the CGST Rules, 2017). File it in FORM GST APL-01 on the common portal within</w:t>
      </w:r>
      <w:r>
        <w:t xml:space="preserve"> </w:t>
      </w:r>
      <w:r>
        <w:rPr>
          <w:bCs/>
          <w:b/>
        </w:rPr>
        <w:t xml:space="preserve">three months</w:t>
      </w:r>
      <w:r>
        <w:t xml:space="preserve"> </w:t>
      </w:r>
      <w:r>
        <w:t xml:space="preserve">of the date on which this order is communicated to you; the appellate authority may allow one further month for sufficient cause (section 107(4)).</w:t>
      </w:r>
    </w:p>
    <w:p>
      <w:pPr>
        <w:pStyle w:val="BodyText"/>
        <w:keepLines/>
        <w:spacing w:before="480" w:after="120" w:line="269" w:lineRule="auto"/>
        <w:jc w:val="right"/>
      </w:pPr>
      <w:r>
        <w:rPr>
          <w:bCs/>
          <w:b/>
        </w:rPr>
        <w:t xml:space="preserve">(Signature)</w:t>
      </w:r>
      <w:r>
        <w:br/>
      </w:r>
      <w:r>
        <w:rPr>
          <w:bCs/>
          <w:b/>
        </w:rPr>
        <w:t xml:space="preserve">([Name of the Superintendent])</w:t>
      </w:r>
      <w:r>
        <w:br/>
      </w:r>
      <w:r>
        <w:t xml:space="preserve">Superintendent of Central Tax, [ ] Range</w:t>
      </w:r>
      <w:r>
        <w:br/>
      </w:r>
      <w:r>
        <w:t xml:space="preserve">Sangareddy CGST Division, Medchal CGST Commissionerate</w:t>
      </w:r>
      <w:r>
        <w:br/>
      </w:r>
      <w:r>
        <w:t xml:space="preserve">(digitally signed)</w:t>
      </w:r>
    </w:p>
    <w:p>
      <w:pPr>
        <w:pStyle w:val="BodyText"/>
        <w:spacing w:before="0" w:after="120" w:line="269" w:lineRule="auto"/>
      </w:pPr>
      <w:r>
        <w:t xml:space="preserve">To,</w:t>
      </w:r>
      <w:r>
        <w:br/>
      </w:r>
      <w:r>
        <w:t xml:space="preserve">[Name of the applicant], [address] (through the common portal and by e-mail to [e-mail declared])</w:t>
      </w:r>
    </w:p>
    <w:p>
      <w:pPr>
        <w:pStyle w:val="BodyText"/>
        <w:spacing w:before="0" w:after="120" w:line="269" w:lineRule="auto"/>
      </w:pPr>
      <w:r>
        <w:t xml:space="preserve">Copy to: Guard file.</w:t>
      </w:r>
    </w:p>
    <w:p>
      <w:pPr>
        <w:pStyle w:val="BlockText"/>
        <w:shd w:val="clear" w:color="auto" w:fill="E7E6E6"/>
      </w:pPr>
      <w:r>
        <w:rPr>
          <w:bCs/>
          <w:b/>
          <w:sz w:val="21"/>
        </w:rPr>
        <w:t xml:space="preserve">Drafting note: final check.</w:t>
      </w:r>
      <w:r>
        <w:rPr>
          <w:sz w:val="21"/>
        </w:rPr>
        <w:t xml:space="preserve"> </w:t>
      </w:r>
      <w:r>
        <w:rPr>
          <w:sz w:val="21"/>
        </w:rPr>
        <w:t xml:space="preserve">(1) A REG-03 preceded this order and its reply period has passed. (2) Each finding refers to a REG-03 point and gives a reason. (3) Any document relied on that the applicant has not seen is enclosed. (4) Issued within seven working days of the reply or reply date. (5) No square bracket or drafting note remains.</w:t>
      </w:r>
    </w:p>
    <w:p>
      <w:pPr>
        <w:pStyle w:val="BlockText"/>
        <w:shd w:val="clear" w:color="auto" w:fill="E7E6E6"/>
        <w:spacing w:before="360"/>
      </w:pPr>
      <w:r>
        <w:rPr>
          <w:bCs/>
          <w:b/>
          <w:sz w:val="21"/>
        </w:rPr>
        <w:t xml:space="preserve">How to use this template.</w:t>
      </w:r>
      <w:r>
        <w:rPr>
          <w:sz w:val="21"/>
        </w:rPr>
        <w:t xml:space="preserve"> </w:t>
      </w:r>
      <w:r>
        <w:rPr>
          <w:sz w:val="21"/>
        </w:rPr>
        <w:t xml:space="preserve">Use it only after a REG-03 (template R1) and only when the reply did not cure a point in it, or no reply came by the date given. The portal REG-05 has a short reason box; attach this order and copy a one-line reason into the box. Time: within</w:t>
      </w:r>
      <w:r>
        <w:rPr>
          <w:sz w:val="21"/>
        </w:rPr>
        <w:t xml:space="preserve"> </w:t>
      </w:r>
      <w:r>
        <w:rPr>
          <w:bCs/>
          <w:b/>
          <w:sz w:val="21"/>
        </w:rPr>
        <w:t xml:space="preserve">seven working days</w:t>
      </w:r>
      <w:r>
        <w:rPr>
          <w:sz w:val="21"/>
        </w:rPr>
        <w:t xml:space="preserve"> </w:t>
      </w:r>
      <w:r>
        <w:rPr>
          <w:sz w:val="21"/>
        </w:rPr>
        <w:t xml:space="preserve">of the REG-04 reply, or of the last date for reply (Instruction No. 03/2025-GST para 8(vii)-(viii)). Courts set aside REG-05 orders that give no reasons or rely on documents not given to the applicant (Bombay HC</w:t>
      </w:r>
      <w:r>
        <w:rPr>
          <w:sz w:val="21"/>
        </w:rPr>
        <w:t xml:space="preserve"> </w:t>
      </w:r>
      <w:r>
        <w:rPr>
          <w:iCs/>
          <w:i/>
          <w:sz w:val="21"/>
        </w:rPr>
        <w:t xml:space="preserve">Om Impex</w:t>
      </w:r>
      <w:r>
        <w:rPr>
          <w:sz w:val="21"/>
        </w:rPr>
        <w:t xml:space="preserve">, 2024), and refusals of a new registration where the officer’s findings on an earlier cancellation appear only in a later affidavit (Patna HC</w:t>
      </w:r>
      <w:r>
        <w:rPr>
          <w:sz w:val="21"/>
        </w:rPr>
        <w:t xml:space="preserve"> </w:t>
      </w:r>
      <w:r>
        <w:rPr>
          <w:iCs/>
          <w:i/>
          <w:sz w:val="21"/>
        </w:rPr>
        <w:t xml:space="preserve">Maharaj Ji Enterprises</w:t>
      </w:r>
      <w:r>
        <w:rPr>
          <w:sz w:val="21"/>
        </w:rPr>
        <w:t xml:space="preserve">, 2025). For a revocation application, use template R8 Part B instead.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issue.</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R9: Order rejecting an application for registration, amendment or cancellation, or a rule 14A withdrawal (FORM GST REG-05, rules 9(4), 19(4) and 14A)</dc:title>
  <dc:creator>Sangareddy CGST Division</dc:creator>
  <cp:keywords/>
  <dcterms:created xsi:type="dcterms:W3CDTF">2026-10-14T21:58:25Z</dcterms:created>
  <dcterms:modified xsi:type="dcterms:W3CDTF">2026-10-14T21:58:25Z</dcterms:modified>
</cp:coreProperties>
</file>

<file path=docProps/custom.xml><?xml version="1.0" encoding="utf-8"?>
<Properties xmlns="http://schemas.openxmlformats.org/officeDocument/2006/custom-properties" xmlns:vt="http://schemas.openxmlformats.org/officeDocument/2006/docPropsVTypes"/>
</file>