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RFD-06 [See rules 92(1), 92(3), 92(4), 92(5) and 96(7)]</w:t>
      </w:r>
      <w:r>
        <w:rPr>
          <w:color w:val="1F3864"/>
        </w:rPr>
        <w:br/>
      </w:r>
      <w:r>
        <w:rPr>
          <w:bCs/>
          <w:b/>
          <w:color w:val="1F3864"/>
        </w:rPr>
        <w:t xml:space="preserve">SPEAKING ORDER ANNEXED TO THE REFUND SANCTION / REJECTION ORDER</w:t>
      </w:r>
      <w:r>
        <w:rPr>
          <w:color w:val="1F3864"/>
        </w:rPr>
        <w:br/>
      </w:r>
      <w:r>
        <w:rPr>
          <w:bCs/>
          <w:b/>
          <w:color w:val="1F3864"/>
        </w:rPr>
        <w:t xml:space="preserve">REFUND OF UNUTILISED INPUT TAX CREDIT ON ACCOUNT OF INVERTED DUTY STRUCTURE [SECTION 54(3)(ii) OF THE CGST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71"/>
        <w:gridCol w:w="7167"/>
      </w:tblGrid>
      <w:tr>
        <w:trPr>
          <w:tblHeader w:val="true"/>
          <w:tblHeader/>
        </w:trPr>
        <w:tc>
          <w:tcPr>
            <w:tcW w:type="dxa" w:w="247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167"/>
            <w:shd w:val="clear" w:color="auto" w:fill="DCE6F1"/>
          </w:tcPr>
          <w:p>
            <w:pPr>
              <w:pStyle w:val="Compact"/>
              <w:spacing w:before="0" w:after="0" w:line="240" w:lineRule="auto"/>
              <w:jc w:val="left"/>
            </w:pPr>
            <w:r>
              <w:rPr>
                <w:b/>
                <w:color w:val="1F3864"/>
                <w:sz w:val="21"/>
              </w:rPr>
              <w:t xml:space="preserve">Details</w:t>
            </w:r>
          </w:p>
        </w:tc>
      </w:tr>
      <w:tr>
        <w:tc>
          <w:tcPr>
            <w:tcW w:type="dxa" w:w="2471"/>
            <w:shd w:val="clear" w:color="auto" w:fill="F5F8FC"/>
          </w:tcPr>
          <w:p>
            <w:pPr>
              <w:pStyle w:val="Compact"/>
              <w:spacing w:before="0" w:after="0" w:line="240" w:lineRule="auto"/>
              <w:jc w:val="left"/>
            </w:pPr>
            <w:r>
              <w:rPr>
                <w:b/>
                <w:sz w:val="21"/>
              </w:rPr>
              <w:t xml:space="preserve">Order No. and date</w:t>
            </w:r>
          </w:p>
        </w:tc>
        <w:tc>
          <w:tcPr>
            <w:tcW w:type="dxa" w:w="7167"/>
          </w:tcPr>
          <w:p>
            <w:pPr>
              <w:pStyle w:val="Compact"/>
              <w:spacing w:before="0" w:after="0" w:line="240" w:lineRule="auto"/>
              <w:jc w:val="left"/>
            </w:pPr>
            <w:r>
              <w:rPr>
                <w:sz w:val="21"/>
              </w:rPr>
              <w:t xml:space="preserve">[Order No.] dated [DD.MM.YYYY]</w:t>
            </w:r>
          </w:p>
        </w:tc>
      </w:tr>
      <w:tr>
        <w:tc>
          <w:tcPr>
            <w:tcW w:type="dxa" w:w="2471"/>
            <w:shd w:val="clear" w:color="auto" w:fill="F5F8FC"/>
          </w:tcPr>
          <w:p>
            <w:pPr>
              <w:pStyle w:val="Compact"/>
              <w:spacing w:before="0" w:after="0" w:line="240" w:lineRule="auto"/>
              <w:jc w:val="left"/>
            </w:pPr>
            <w:r>
              <w:rPr>
                <w:b/>
                <w:sz w:val="21"/>
              </w:rPr>
              <w:t xml:space="preserve">Reference No. (RFN) / DIN</w:t>
            </w:r>
          </w:p>
        </w:tc>
        <w:tc>
          <w:tcPr>
            <w:tcW w:type="dxa" w:w="7167"/>
          </w:tcPr>
          <w:p>
            <w:pPr>
              <w:pStyle w:val="Compact"/>
              <w:spacing w:before="0" w:after="0" w:line="240" w:lineRule="auto"/>
              <w:jc w:val="left"/>
            </w:pPr>
            <w:r>
              <w:rPr>
                <w:sz w:val="21"/>
              </w:rPr>
              <w:t xml:space="preserve">RFN [ ] generated on the common portal. [A DIN is not required on a communication served through the portal that bears an RFN (Circular No. 249/06/2025-GST); quote a DIN on any copy sent outside the portal, such as by e-mail.]</w:t>
            </w:r>
          </w:p>
        </w:tc>
      </w:tr>
      <w:tr>
        <w:tc>
          <w:tcPr>
            <w:tcW w:type="dxa" w:w="2471"/>
            <w:shd w:val="clear" w:color="auto" w:fill="F5F8FC"/>
          </w:tcPr>
          <w:p>
            <w:pPr>
              <w:pStyle w:val="Compact"/>
              <w:spacing w:before="0" w:after="0" w:line="240" w:lineRule="auto"/>
              <w:jc w:val="left"/>
            </w:pPr>
            <w:r>
              <w:rPr>
                <w:b/>
                <w:sz w:val="21"/>
              </w:rPr>
              <w:t xml:space="preserve">Name and address of the applicant</w:t>
            </w:r>
          </w:p>
        </w:tc>
        <w:tc>
          <w:tcPr>
            <w:tcW w:type="dxa" w:w="7167"/>
          </w:tcPr>
          <w:p>
            <w:pPr>
              <w:pStyle w:val="Compact"/>
              <w:spacing w:before="0" w:after="0" w:line="240" w:lineRule="auto"/>
              <w:jc w:val="left"/>
            </w:pPr>
            <w:r>
              <w:rPr>
                <w:sz w:val="21"/>
              </w:rPr>
              <w:t xml:space="preserve">[Legal name] ([trade name]), [principal place of business]</w:t>
            </w:r>
          </w:p>
        </w:tc>
      </w:tr>
      <w:tr>
        <w:tc>
          <w:tcPr>
            <w:tcW w:type="dxa" w:w="2471"/>
            <w:shd w:val="clear" w:color="auto" w:fill="F5F8FC"/>
          </w:tcPr>
          <w:p>
            <w:pPr>
              <w:pStyle w:val="Compact"/>
              <w:spacing w:before="0" w:after="0" w:line="240" w:lineRule="auto"/>
              <w:jc w:val="left"/>
            </w:pPr>
            <w:r>
              <w:rPr>
                <w:b/>
                <w:sz w:val="21"/>
              </w:rPr>
              <w:t xml:space="preserve">GSTIN</w:t>
            </w:r>
          </w:p>
        </w:tc>
        <w:tc>
          <w:tcPr>
            <w:tcW w:type="dxa" w:w="7167"/>
          </w:tcPr>
          <w:p>
            <w:pPr>
              <w:pStyle w:val="Compact"/>
              <w:spacing w:before="0" w:after="0" w:line="240" w:lineRule="auto"/>
              <w:jc w:val="left"/>
            </w:pPr>
            <w:r>
              <w:rPr>
                <w:sz w:val="21"/>
              </w:rPr>
              <w:t xml:space="preserve">[GSTIN]</w:t>
            </w:r>
          </w:p>
        </w:tc>
      </w:tr>
      <w:tr>
        <w:tc>
          <w:tcPr>
            <w:tcW w:type="dxa" w:w="2471"/>
            <w:shd w:val="clear" w:color="auto" w:fill="F5F8FC"/>
          </w:tcPr>
          <w:p>
            <w:pPr>
              <w:pStyle w:val="Compact"/>
              <w:spacing w:before="0" w:after="0" w:line="240" w:lineRule="auto"/>
              <w:jc w:val="left"/>
            </w:pPr>
            <w:r>
              <w:rPr>
                <w:b/>
                <w:sz w:val="21"/>
              </w:rPr>
              <w:t xml:space="preserve">Refund category as selected in RFD-01</w:t>
            </w:r>
          </w:p>
        </w:tc>
        <w:tc>
          <w:tcPr>
            <w:tcW w:type="dxa" w:w="7167"/>
          </w:tcPr>
          <w:p>
            <w:pPr>
              <w:pStyle w:val="Compact"/>
              <w:spacing w:before="0" w:after="0" w:line="240" w:lineRule="auto"/>
              <w:jc w:val="left"/>
            </w:pPr>
            <w:r>
              <w:rPr>
                <w:sz w:val="21"/>
              </w:rPr>
              <w:t xml:space="preserve">Refund of ITC accumulated due to inverted tax structure</w:t>
            </w:r>
          </w:p>
        </w:tc>
      </w:tr>
      <w:tr>
        <w:tc>
          <w:tcPr>
            <w:tcW w:type="dxa" w:w="2471"/>
            <w:shd w:val="clear" w:color="auto" w:fill="F5F8FC"/>
          </w:tcPr>
          <w:p>
            <w:pPr>
              <w:pStyle w:val="Compact"/>
              <w:spacing w:before="0" w:after="0" w:line="240" w:lineRule="auto"/>
              <w:jc w:val="left"/>
            </w:pPr>
            <w:r>
              <w:rPr>
                <w:b/>
                <w:sz w:val="21"/>
              </w:rPr>
              <w:t xml:space="preserve">Tax period(s)</w:t>
            </w:r>
          </w:p>
        </w:tc>
        <w:tc>
          <w:tcPr>
            <w:tcW w:type="dxa" w:w="7167"/>
          </w:tcPr>
          <w:p>
            <w:pPr>
              <w:pStyle w:val="Compact"/>
              <w:spacing w:before="0" w:after="0" w:line="240" w:lineRule="auto"/>
              <w:jc w:val="left"/>
            </w:pPr>
            <w:r>
              <w:rPr>
                <w:sz w:val="21"/>
              </w:rPr>
              <w:t xml:space="preserve">[Month YYYY] to [Month YYYY]</w:t>
            </w:r>
          </w:p>
        </w:tc>
      </w:tr>
      <w:tr>
        <w:tc>
          <w:tcPr>
            <w:tcW w:type="dxa" w:w="2471"/>
            <w:shd w:val="clear" w:color="auto" w:fill="F5F8FC"/>
          </w:tcPr>
          <w:p>
            <w:pPr>
              <w:pStyle w:val="Compact"/>
              <w:spacing w:before="0" w:after="0" w:line="240" w:lineRule="auto"/>
              <w:jc w:val="left"/>
            </w:pPr>
            <w:r>
              <w:rPr>
                <w:b/>
                <w:sz w:val="21"/>
              </w:rPr>
              <w:t xml:space="preserve">ARN and date of filing of RFD-01</w:t>
            </w:r>
          </w:p>
        </w:tc>
        <w:tc>
          <w:tcPr>
            <w:tcW w:type="dxa" w:w="7167"/>
          </w:tcPr>
          <w:p>
            <w:pPr>
              <w:pStyle w:val="Compact"/>
              <w:spacing w:before="0" w:after="0" w:line="240" w:lineRule="auto"/>
              <w:jc w:val="left"/>
            </w:pPr>
            <w:r>
              <w:rPr>
                <w:sz w:val="21"/>
              </w:rPr>
              <w:t xml:space="preserve">[ARN] dated [DD.MM.YYYY]</w:t>
            </w:r>
          </w:p>
        </w:tc>
      </w:tr>
      <w:tr>
        <w:tc>
          <w:tcPr>
            <w:tcW w:type="dxa" w:w="2471"/>
            <w:shd w:val="clear" w:color="auto" w:fill="F5F8FC"/>
          </w:tcPr>
          <w:p>
            <w:pPr>
              <w:pStyle w:val="Compact"/>
              <w:spacing w:before="0" w:after="0" w:line="240" w:lineRule="auto"/>
              <w:jc w:val="left"/>
            </w:pPr>
            <w:r>
              <w:rPr>
                <w:b/>
                <w:sz w:val="21"/>
              </w:rPr>
              <w:t xml:space="preserve">Acknowledgement (RFD-02)</w:t>
            </w:r>
          </w:p>
        </w:tc>
        <w:tc>
          <w:tcPr>
            <w:tcW w:type="dxa" w:w="7167"/>
          </w:tcPr>
          <w:p>
            <w:pPr>
              <w:pStyle w:val="Compact"/>
              <w:spacing w:before="0" w:after="0" w:line="240" w:lineRule="auto"/>
              <w:jc w:val="left"/>
            </w:pPr>
            <w:r>
              <w:rPr>
                <w:sz w:val="21"/>
              </w:rPr>
              <w:t xml:space="preserve">Issued on [DD.MM.YYYY] [Option: after deficiency memo RFD-03 dated [DD.MM.YYYY] on the earlier ARN [ARN] dated [DD.MM.YYYY]]</w:t>
            </w:r>
          </w:p>
        </w:tc>
      </w:tr>
      <w:tr>
        <w:tc>
          <w:tcPr>
            <w:tcW w:type="dxa" w:w="2471"/>
            <w:shd w:val="clear" w:color="auto" w:fill="F5F8FC"/>
          </w:tcPr>
          <w:p>
            <w:pPr>
              <w:pStyle w:val="Compact"/>
              <w:spacing w:before="0" w:after="0" w:line="240" w:lineRule="auto"/>
              <w:jc w:val="left"/>
            </w:pPr>
            <w:r>
              <w:rPr>
                <w:b/>
                <w:sz w:val="21"/>
              </w:rPr>
              <w:t xml:space="preserve">Date of receipt of the application for section 54(7) and section 56</w:t>
            </w:r>
          </w:p>
        </w:tc>
        <w:tc>
          <w:tcPr>
            <w:tcW w:type="dxa" w:w="7167"/>
          </w:tcPr>
          <w:p>
            <w:pPr>
              <w:pStyle w:val="Compact"/>
              <w:spacing w:before="0" w:after="0" w:line="240" w:lineRule="auto"/>
              <w:jc w:val="left"/>
            </w:pPr>
            <w:r>
              <w:rPr>
                <w:sz w:val="21"/>
              </w:rPr>
              <w:t xml:space="preserve">[DD.MM.YYYY], the date of filing (ARN), as indicated in RFD-02 (rule 90(2)); sixty days end on [DD.MM.YYYY]</w:t>
            </w:r>
          </w:p>
        </w:tc>
      </w:tr>
      <w:tr>
        <w:tc>
          <w:tcPr>
            <w:tcW w:type="dxa" w:w="2471"/>
            <w:shd w:val="clear" w:color="auto" w:fill="F5F8FC"/>
          </w:tcPr>
          <w:p>
            <w:pPr>
              <w:pStyle w:val="Compact"/>
              <w:spacing w:before="0" w:after="0" w:line="240" w:lineRule="auto"/>
              <w:jc w:val="left"/>
            </w:pPr>
            <w:r>
              <w:rPr>
                <w:b/>
                <w:sz w:val="21"/>
              </w:rPr>
              <w:t xml:space="preserve">Provisional refund (RFD-04)</w:t>
            </w:r>
          </w:p>
        </w:tc>
        <w:tc>
          <w:tcPr>
            <w:tcW w:type="dxa" w:w="7167"/>
          </w:tcPr>
          <w:p>
            <w:pPr>
              <w:pStyle w:val="Compact"/>
              <w:spacing w:before="0" w:after="0" w:line="240" w:lineRule="auto"/>
              <w:jc w:val="left"/>
            </w:pPr>
            <w:r>
              <w:rPr>
                <w:sz w:val="21"/>
              </w:rPr>
              <w:t xml:space="preserve">[RFD-04 No. [ ] dated [DD.MM.YYYY] for ₹[ ]] / [Not granted, reasons in para 5]</w:t>
            </w:r>
          </w:p>
        </w:tc>
      </w:tr>
      <w:tr>
        <w:tc>
          <w:tcPr>
            <w:tcW w:type="dxa" w:w="2471"/>
            <w:shd w:val="clear" w:color="auto" w:fill="F5F8FC"/>
          </w:tcPr>
          <w:p>
            <w:pPr>
              <w:pStyle w:val="Compact"/>
              <w:spacing w:before="0" w:after="0" w:line="240" w:lineRule="auto"/>
              <w:jc w:val="left"/>
            </w:pPr>
            <w:r>
              <w:rPr>
                <w:b/>
                <w:sz w:val="21"/>
              </w:rPr>
              <w:t xml:space="preserve">Notice (RFD-08) and reply (RFD-09)</w:t>
            </w:r>
          </w:p>
        </w:tc>
        <w:tc>
          <w:tcPr>
            <w:tcW w:type="dxa" w:w="7167"/>
          </w:tcPr>
          <w:p>
            <w:pPr>
              <w:pStyle w:val="Compact"/>
              <w:spacing w:before="0" w:after="0" w:line="240" w:lineRule="auto"/>
              <w:jc w:val="left"/>
            </w:pPr>
            <w:r>
              <w:rPr>
                <w:sz w:val="21"/>
              </w:rPr>
              <w:t xml:space="preserve">[RFD-08 No. [ ] dated [DD.MM.YYYY]; reply dated [DD.MM.YYYY]] / [Not issued, as the claim is sanctioned in full]</w:t>
            </w:r>
          </w:p>
        </w:tc>
      </w:tr>
      <w:tr>
        <w:tc>
          <w:tcPr>
            <w:tcW w:type="dxa" w:w="2471"/>
            <w:shd w:val="clear" w:color="auto" w:fill="F5F8FC"/>
          </w:tcPr>
          <w:p>
            <w:pPr>
              <w:pStyle w:val="Compact"/>
              <w:spacing w:before="0" w:after="0" w:line="240" w:lineRule="auto"/>
              <w:jc w:val="left"/>
            </w:pPr>
            <w:r>
              <w:rPr>
                <w:b/>
                <w:sz w:val="21"/>
              </w:rPr>
              <w:t xml:space="preserve">Personal hearing</w:t>
            </w:r>
          </w:p>
        </w:tc>
        <w:tc>
          <w:tcPr>
            <w:tcW w:type="dxa" w:w="7167"/>
          </w:tcPr>
          <w:p>
            <w:pPr>
              <w:pStyle w:val="Compact"/>
              <w:spacing w:before="0" w:after="0" w:line="240" w:lineRule="auto"/>
              <w:jc w:val="left"/>
            </w:pPr>
            <w:r>
              <w:rPr>
                <w:sz w:val="21"/>
              </w:rPr>
              <w:t xml:space="preserve">[DD.MM.YYYY], attended by [designation of the authorised representative] / [Not required, as the claim is sanctioned in full]</w:t>
            </w:r>
          </w:p>
        </w:tc>
      </w:tr>
      <w:tr>
        <w:tc>
          <w:tcPr>
            <w:tcW w:type="dxa" w:w="2471"/>
            <w:shd w:val="clear" w:color="auto" w:fill="F5F8FC"/>
          </w:tcPr>
          <w:p>
            <w:pPr>
              <w:pStyle w:val="Compact"/>
              <w:spacing w:before="0" w:after="0" w:line="240" w:lineRule="auto"/>
              <w:jc w:val="left"/>
            </w:pPr>
            <w:r>
              <w:rPr>
                <w:b/>
                <w:sz w:val="21"/>
              </w:rPr>
              <w:t xml:space="preserve">Amount claimed</w:t>
            </w:r>
          </w:p>
        </w:tc>
        <w:tc>
          <w:tcPr>
            <w:tcW w:type="dxa" w:w="7167"/>
          </w:tcPr>
          <w:p>
            <w:pPr>
              <w:pStyle w:val="Compact"/>
              <w:spacing w:before="0" w:after="0" w:line="240" w:lineRule="auto"/>
              <w:jc w:val="left"/>
            </w:pPr>
            <w:r>
              <w:rPr>
                <w:sz w:val="21"/>
              </w:rPr>
              <w:t xml:space="preserve">IGST ₹[ ]; CGST ₹[ ]; SGST/UTGST ₹[ ]; Cess ₹[ ]; Total ₹[ ]</w:t>
            </w:r>
          </w:p>
        </w:tc>
      </w:tr>
      <w:tr>
        <w:tc>
          <w:tcPr>
            <w:tcW w:type="dxa" w:w="2471"/>
            <w:shd w:val="clear" w:color="auto" w:fill="F5F8FC"/>
          </w:tcPr>
          <w:p>
            <w:pPr>
              <w:pStyle w:val="Compact"/>
              <w:spacing w:before="0" w:after="0" w:line="240" w:lineRule="auto"/>
              <w:jc w:val="left"/>
            </w:pPr>
            <w:r>
              <w:rPr>
                <w:b/>
                <w:sz w:val="21"/>
              </w:rPr>
              <w:t xml:space="preserve">Result</w:t>
            </w:r>
          </w:p>
        </w:tc>
        <w:tc>
          <w:tcPr>
            <w:tcW w:type="dxa" w:w="7167"/>
          </w:tcPr>
          <w:p>
            <w:pPr>
              <w:pStyle w:val="Compact"/>
              <w:spacing w:before="0" w:after="0" w:line="240" w:lineRule="auto"/>
              <w:jc w:val="left"/>
            </w:pPr>
            <w:r>
              <w:rPr>
                <w:sz w:val="21"/>
              </w:rPr>
              <w:t xml:space="preserve">Sanctioned ₹[ ]; Rejected ₹[ ]; Adjusted against dues / withheld ₹[ ] (head-wise details in para 11)</w:t>
            </w:r>
          </w:p>
        </w:tc>
      </w:tr>
    </w:tbl>
    <w:p>
      <w:pPr>
        <w:pStyle w:val="BodyText"/>
        <w:keepNext/>
        <w:spacing w:before="240" w:after="80"/>
        <w:jc w:val="center"/>
        <w:pBdr>
          <w:bottom w:val="single" w:sz="6" w:space="1" w:color="B4C6E7"/>
        </w:pBdr>
      </w:pPr>
      <w:r>
        <w:rPr>
          <w:bCs/>
          <w:b/>
          <w:color w:val="1F3864"/>
          <w:sz w:val="25"/>
        </w:rPr>
        <w:t xml:space="preserve">IMPORTANT NOTE FOR THE APPLICANT</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to be filed</w:t>
      </w:r>
      <w:r>
        <w:t xml:space="preserve"> </w:t>
      </w:r>
      <w:r>
        <w:rPr>
          <w:bCs/>
          <w:b/>
        </w:rPr>
        <w:t xml:space="preserve">electronically in FORM GST APL-01 on the common portal</w:t>
      </w:r>
      <w:r>
        <w:t xml:space="preserve">, with the documents uploaded there (rule 108). No court fee stamp is required. As this order is available on the common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t xml:space="preserve">Under section 107(6), no appeal can be filed unless the appellant has paid (a) in full, the part of the tax, interest, fine, fee and penalty arising from this order that is admitted; and (b) ten per cent of the remaining</w:t>
      </w:r>
      <w:r>
        <w:t xml:space="preserve"> </w:t>
      </w:r>
      <w:r>
        <w:rPr>
          <w:bCs/>
          <w:b/>
        </w:rPr>
        <w:t xml:space="preserve">tax in dispute</w:t>
      </w:r>
      <w:r>
        <w:t xml:space="preserve"> </w:t>
      </w:r>
      <w:r>
        <w:t xml:space="preserve">arising from this order, subject to a maximum of twenty crore rupees. Where an order demands only a penalty without any demand of tax, ten per cent of that penalty is payable (proviso to section 107(6)). [Drafting note: where this order only sanctions or rejects a refund and confirms no demand, no tax is</w:t>
      </w:r>
      <w:r>
        <w:t xml:space="preserve"> </w:t>
      </w:r>
      <w:r>
        <w:t xml:space="preserve">“</w:t>
      </w:r>
      <w:r>
        <w:t xml:space="preserve">in dispute</w:t>
      </w:r>
      <w:r>
        <w:t xml:space="preserve">”</w:t>
      </w:r>
      <w:r>
        <w:t xml:space="preserve"> </w:t>
      </w:r>
      <w:r>
        <w:t xml:space="preserve">under section 107(6); keep this paragraph unchanged, as it is a general statement of the law.]</w:t>
      </w:r>
    </w:p>
    <w:p>
      <w:pPr>
        <w:numPr>
          <w:ilvl w:val="0"/>
          <w:numId w:val="1001"/>
        </w:numPr>
        <w:pStyle w:val="Compact"/>
        <w:spacing w:before="0" w:after="120" w:line="269" w:lineRule="auto"/>
      </w:pPr>
      <w:r>
        <w:t xml:space="preserve">This order is passed under the CGST Act and the CGST Rules, and also under the corresponding provisions of the [State] GST Act, 2017 / Union Territory GST Act, 2017 and the Integrated Goods and Services Tax Act, 2017 (the IGST Act), as applicable (the State or Union Territory portion is decided under section 6 of the State GST Act or the Union Territory GST Act, as the case may be; IGST under section 20 of the IGST Act). The sanction and payment orders for all tax heads are issued by this office, to which the application is assigned (para 27 of Circular No. 125/44/2019-GST).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Brief facts</w:t>
      </w:r>
    </w:p>
    <w:p>
      <w:pPr>
        <w:pStyle w:val="BodyText"/>
        <w:spacing w:before="0" w:after="120" w:line="269" w:lineRule="auto"/>
        <w:jc w:val="both"/>
      </w:pPr>
      <w:r>
        <w:t xml:space="preserve">1.1 [Legal name] (the applicant), registered under GSTIN [ ], is engaged in [manufacture / supply] of [description of outward supplies] falling under HSN [ ], taxed at [ ]% [IGST / CGST + SGST]. Its principal inputs are [description] under HSN [ ], taxed at [ ]%.</w:t>
      </w:r>
    </w:p>
    <w:p>
      <w:pPr>
        <w:pStyle w:val="BodyText"/>
        <w:spacing w:before="0" w:after="120" w:line="269" w:lineRule="auto"/>
        <w:jc w:val="both"/>
      </w:pPr>
      <w:r>
        <w:t xml:space="preserve">1.2 The applicant filed an application in FORM GST RFD-01 under ARN [ ] dated [DD.MM.YYYY] for refund of ₹[ ] (IGST ₹[ ], CGST ₹[ ], SGST ₹[ ], Cess ₹[ ]) for [period], claiming that input tax credit had accumulated because the rate of tax on inputs is higher than the rate of tax on output supplies. The application was acknowledged in FORM GST RFD-02 on [DD.MM.YYYY].</w:t>
      </w:r>
    </w:p>
    <w:p>
      <w:pPr>
        <w:pStyle w:val="BodyText"/>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Under clause (ii) of the first proviso to section 54(3) of the CGST Act, a registered person may claim refund of unutilised input tax credit at the end of a tax period where the credit has accumulated on account of the rate of tax on inputs being higher than the rate of tax on output supplies, other than nil-rated or fully exempt supplies, except supplies of goods or services or both notified by the Government on the recommendations of the Council. Supplies of goods so notified are in Notification No. 5/2017-Central Tax (Rate) dated 28.06.2017, as amended [including by Notification No. 9/2022-Central Tax (Rate) dated 13.07.2022 for goods of chapters 15 and 27, with effect from 18.07.2022, which applies to applications filed on or after that date (Circular No. 181/13/2022-GST)]; supplies of services so notified are in Notification No. 15/2017-Central Tax (Rate) dated 28.06.2017, as amended.</w:t>
      </w:r>
    </w:p>
    <w:p>
      <w:pPr>
        <w:pStyle w:val="BodyText"/>
        <w:spacing w:before="0" w:after="120" w:line="269" w:lineRule="auto"/>
        <w:jc w:val="both"/>
      </w:pPr>
      <w:r>
        <w:t xml:space="preserve">2.2 The refund is computed under rule 89(5) of the CGST Rules, as amended by Notification No. 14/2022-Central Tax dated 05.07.2022 (which applies to applications filed on or after 05.07.2022: Circular No. 181/13/2022-GST):</w:t>
      </w:r>
    </w:p>
    <w:p>
      <w:pPr>
        <w:pStyle w:val="BlockText"/>
        <w:shd w:val="clear" w:color="auto" w:fill="E7E6E6"/>
      </w:pPr>
      <w:r>
        <w:rPr>
          <w:bCs/>
          <w:b/>
          <w:sz w:val="21"/>
        </w:rPr>
        <w:t xml:space="preserve">Maximum Refund Amount = {(Turnover of inverted rated supply of goods and services) × Net ITC ÷ Adjusted Total Turnover} − {Tax payable on such inverted rated supply of goods and services × (Net ITC ÷ ITC availed on inputs and input services)}</w:t>
      </w:r>
    </w:p>
    <w:p>
      <w:pPr>
        <w:pStyle w:val="FirstParagraph"/>
        <w:spacing w:before="0" w:after="120" w:line="269" w:lineRule="auto"/>
        <w:jc w:val="both"/>
      </w:pPr>
      <w:r>
        <w:t xml:space="preserve">where</w:t>
      </w:r>
      <w:r>
        <w:t xml:space="preserve"> </w:t>
      </w:r>
      <w:r>
        <w:t xml:space="preserve">“</w:t>
      </w:r>
      <w:r>
        <w:t xml:space="preserve">Net ITC</w:t>
      </w:r>
      <w:r>
        <w:t xml:space="preserve">”</w:t>
      </w:r>
      <w:r>
        <w:t xml:space="preserve"> </w:t>
      </w:r>
      <w:r>
        <w:t xml:space="preserve">means input tax credit availed on</w:t>
      </w:r>
      <w:r>
        <w:t xml:space="preserve"> </w:t>
      </w:r>
      <w:r>
        <w:rPr>
          <w:bCs/>
          <w:b/>
        </w:rPr>
        <w:t xml:space="preserve">inputs</w:t>
      </w:r>
      <w:r>
        <w:t xml:space="preserve"> </w:t>
      </w:r>
      <w:r>
        <w:t xml:space="preserve">during the relevant period, and</w:t>
      </w:r>
      <w:r>
        <w:t xml:space="preserve"> </w:t>
      </w:r>
      <w:r>
        <w:t xml:space="preserve">“</w:t>
      </w:r>
      <w:r>
        <w:t xml:space="preserve">Adjusted Total Turnover</w:t>
      </w:r>
      <w:r>
        <w:t xml:space="preserve">”</w:t>
      </w:r>
      <w:r>
        <w:t xml:space="preserve"> </w:t>
      </w:r>
      <w:r>
        <w:t xml:space="preserve">and</w:t>
      </w:r>
      <w:r>
        <w:t xml:space="preserve"> </w:t>
      </w:r>
      <w:r>
        <w:t xml:space="preserve">“</w:t>
      </w:r>
      <w:r>
        <w:t xml:space="preserve">relevant period</w:t>
      </w:r>
      <w:r>
        <w:t xml:space="preserve">”</w:t>
      </w:r>
      <w:r>
        <w:t xml:space="preserve"> </w:t>
      </w:r>
      <w:r>
        <w:t xml:space="preserve">have the meanings in rule 89(4) (Explanation (b) to rule 89(5)): Adjusted Total Turnover is the sum of (a) the turnover in the State as defined in section 2(112), excluding the turnover of services, and (b) the turnover of zero-rated supply of services determined under rule 89(4)(D) and of non-zero-rated supply of services, excluding the value of exempt supplies other than zero-rated supplies, during the relevant period (rule 89(4)(E)).</w:t>
      </w:r>
    </w:p>
    <w:p>
      <w:pPr>
        <w:pStyle w:val="BodyText"/>
        <w:spacing w:before="0" w:after="120" w:line="269" w:lineRule="auto"/>
        <w:jc w:val="both"/>
      </w:pPr>
      <w:r>
        <w:t xml:space="preserve">2.3 Circular No. 125/44/2019-GST clarifies that refund under this head is not available for input services and capital goods (para 53); that Net ITC includes credit on all inputs, whatever their rate (para 54); that credit availed in the relevant period counts even if the invoice is of an earlier period (para 61); and that stores and spares charged to the revenue account are not capital goods (para 62). Under para 3.2 of Circular No. 135/05/2020-GST, as substituted by Circular No. 173/05/2022-GST dated 06.07.2022, credit does not accumulate on account of inverted duty structure where the input and the output are the same goods and the rates differ only because the rate changed over time; under para 3.3 so substituted, refund is admissible where the same goods are supplied under a concessional rate notification, so that the output rate is lower than the input rate at the same point of time (other than nil-rated or fully exempt supplies) under a concessional rate notification. Under para 37 of Circular No. 125/44/2019-GST, the refund is the least of (a) the amount computed by the formula, (b) the balance in the electronic credit ledger at the end of the tax period, and (c) the balance in the electronic credit ledger at the time of filing the claim.</w:t>
      </w:r>
    </w:p>
    <w:p>
      <w:pPr>
        <w:pStyle w:val="BodyText"/>
        <w:spacing w:before="0" w:after="120" w:line="269" w:lineRule="auto"/>
        <w:jc w:val="both"/>
      </w:pPr>
      <w:r>
        <w:t xml:space="preserve">2.4 Under rule 89(2)(h), the applicant files a statement of the invoices received and issued during the period (Annexure-B / Statement 1A on the portal) along with Statement 1 (the formula). Under clause (e) of Explanation 2 to section 54, the relevant date is the due date for furnishing the return under section 39 for the period in which the claim for refund arises.</w:t>
      </w:r>
    </w:p>
    <w:p>
      <w:pPr>
        <w:pStyle w:val="BlockText"/>
        <w:shd w:val="clear" w:color="auto" w:fill="E7E6E6"/>
      </w:pPr>
      <w:r>
        <w:rPr>
          <w:bCs/>
          <w:b/>
          <w:sz w:val="21"/>
        </w:rPr>
        <w:t xml:space="preserve">Drafting note:</w:t>
      </w:r>
      <w:r>
        <w:rPr>
          <w:sz w:val="21"/>
        </w:rPr>
        <w:t xml:space="preserve"> </w:t>
      </w:r>
      <w:r>
        <w:rPr>
          <w:sz w:val="21"/>
        </w:rPr>
        <w:t xml:space="preserve">the 57th GST Council meeting recommended allowing refund of credit on input services in inverted-duty claims. Until that is notified, Net ITC remains credit on inputs only. When it is notified, revise para 2.2, Table 1 and the formula working.</w:t>
      </w:r>
    </w:p>
    <w:p>
      <w:pPr>
        <w:pStyle w:val="FirstParagraph"/>
        <w:keepNext/>
        <w:spacing w:before="240" w:after="80"/>
        <w:pBdr>
          <w:bottom w:val="single" w:sz="6" w:space="1" w:color="B4C6E7"/>
        </w:pBdr>
      </w:pPr>
      <w:r>
        <w:rPr>
          <w:bCs/>
          <w:b/>
          <w:color w:val="1F3864"/>
          <w:sz w:val="25"/>
        </w:rPr>
        <w:t xml:space="preserve">3. Limitation</w:t>
      </w:r>
    </w:p>
    <w:p>
      <w:pPr>
        <w:pStyle w:val="BodyText"/>
        <w:spacing w:before="0" w:after="120" w:line="269" w:lineRule="auto"/>
        <w:jc w:val="both"/>
      </w:pPr>
      <w:r>
        <w:t xml:space="preserve">3.1 The claim relates to [period]. The earliest relevant date under clause (e) of Explanation 2 to section 54, the due date for filing the GSTR-3B for [the first month of the period], was [DD.MM.YYYY]; two years from it end on [DD.MM.YYYY]. The application was filed on [DD.MM.YYYY] [Option: the earlier application ARN [ ] dated [ ] was returned by RFD-03 dated [ ]; under the proviso to rule 90(3), the [ ] days from that filing to that RFD-03 are excluded]. The claim is within time for every month. [Option: The months of [ ] are beyond two years. The formula in para 7 is applied to the remaining months only, taking the turnover, Net ITC, ITC on inputs and input services, and tax payable of those months.]</w:t>
      </w:r>
    </w:p>
    <w:p>
      <w:pPr>
        <w:pStyle w:val="BlockText"/>
        <w:shd w:val="clear" w:color="auto" w:fill="E7E6E6"/>
      </w:pPr>
      <w:r>
        <w:rPr>
          <w:bCs/>
          <w:b/>
          <w:sz w:val="21"/>
        </w:rPr>
        <w:t xml:space="preserve">Drafting note:</w:t>
      </w:r>
      <w:r>
        <w:rPr>
          <w:sz w:val="21"/>
        </w:rPr>
        <w:t xml:space="preserve"> </w:t>
      </w:r>
      <w:r>
        <w:rPr>
          <w:sz w:val="21"/>
        </w:rPr>
        <w:t xml:space="preserve">where a claim covers several months (clubbing is allowed, para 8 of Circular 125 as modified by para 2 of Circular 135/05/2020), check limitation for each month’s due date. Exclude any month that is time-barred and say so.</w:t>
      </w:r>
    </w:p>
    <w:p>
      <w:pPr>
        <w:pStyle w:val="FirstParagraph"/>
        <w:keepNext/>
        <w:spacing w:before="240" w:after="80"/>
        <w:pBdr>
          <w:bottom w:val="single" w:sz="6" w:space="1" w:color="B4C6E7"/>
        </w:pBdr>
      </w:pPr>
      <w:r>
        <w:rPr>
          <w:bCs/>
          <w:b/>
          <w:color w:val="1F3864"/>
          <w:sz w:val="25"/>
        </w:rPr>
        <w:t xml:space="preserve">4. Other conditions for admissibility</w:t>
      </w:r>
    </w:p>
    <w:p>
      <w:pPr>
        <w:pStyle w:val="BodyText"/>
        <w:spacing w:before="0" w:after="120" w:line="269" w:lineRule="auto"/>
        <w:jc w:val="both"/>
      </w:pPr>
      <w:r>
        <w:t xml:space="preserve">4.1 The application was complete in terms of rule 89(2) and was acknowledged in RFD-02 within fifteen days under rule 90(2). The applicant has filed all returns in FORM GSTR-1 and GSTR-3B due up to the date of the application (para 6 of Circular 125). The amount claimed was debited from the electronic credit ledger by debit entry No. [ ] dated [DD.MM.YYYY] (rule 89(3)). The undertaking in relation to section 16(2)(c) has been filed online (para 2.4 of Circular No. 197/09/2023-GST). The back-office refund history shows no other claim for this period in this or any other category [Option: the claim of [category] for [overlapping period] has been taken into account as follows: …]. The applicant [has / has not] undergone Aadhaar authentication under rule 10B [if not, see para 5, Option D].</w:t>
      </w:r>
    </w:p>
    <w:p>
      <w:pPr>
        <w:pStyle w:val="BodyText"/>
        <w:keepNext/>
        <w:spacing w:before="240" w:after="80"/>
        <w:pBdr>
          <w:bottom w:val="single" w:sz="6" w:space="1" w:color="B4C6E7"/>
        </w:pBdr>
      </w:pPr>
      <w:r>
        <w:rPr>
          <w:bCs/>
          <w:b/>
          <w:color w:val="1F3864"/>
          <w:sz w:val="25"/>
        </w:rPr>
        <w:t xml:space="preserve">5. Provisional refund</w:t>
      </w:r>
    </w:p>
    <w:p>
      <w:pPr>
        <w:pStyle w:val="BodyText"/>
        <w:spacing w:before="0" w:after="120" w:line="269" w:lineRule="auto"/>
        <w:jc w:val="both"/>
      </w:pPr>
      <w:r>
        <w:t xml:space="preserve">5.1 Section 54(6) of the CGST Act provides for provisional refund of ninety per cent of claims on account of zero-rated supplies. By para 5.1 of Instruction No. 06/2025-GST dated 03.10.2025, the Central Government has decided, as an interim measure until section 54(6) is amended (the amendment made by section 155 of the Finance Act, 2026 has not yet been brought into force), that ninety per cent of claims on account of inverted duty structure filed on or after 01.10.2025 may be sanctioned provisionally in the same manner and on the same statutory conditions (para 5.2). Under rule 91(2), as substituted by Notification No. 13/2025-Central Tax dated 17.09.2025 with effect from 01.10.2025, the proper officer is to issue the provisional refund order in FORM GST RFD-04 within seven days of the acknowledgement, on the basis of the identification and evaluation of risk by the system. Under the first proviso to rule 91(2), the proper officer may, for reasons to be recorded in writing, decide that the applicant is not to be granted refund on a provisional basis. Instruction No. 06/2025-GST dated 03.10.2025 (paras 3.1 to 3.3) directs that ninety per cent of the amount claimed be sanctioned provisionally where the system categorises the application as</w:t>
      </w:r>
      <w:r>
        <w:t xml:space="preserve"> </w:t>
      </w:r>
      <w:r>
        <w:t xml:space="preserve">“</w:t>
      </w:r>
      <w:r>
        <w:t xml:space="preserve">low-risk</w:t>
      </w:r>
      <w:r>
        <w:t xml:space="preserve">”</w:t>
      </w:r>
      <w:r>
        <w:t xml:space="preserve">, without further scrutiny for that purpose; that applications not categorised as low-risk get no provisional refund and are scrutinised in detail; and that the first proviso to rule 91(2) be used sparingly, case by case, and not on presumptive grounds or merely because routine proceedings such as scrutiny have begun. Provisional refund is not available to the categories notified under section 54(6) by Notification No. 14/2025-Central Tax dated 17.09.2025, namely a person who has not undergone Aadhaar authentication under rule 10B, and a person engaged in the supply of areca nuts (0802 80), pan masala (2106 90 20), tobacco and manufactured tobacco substitutes (chapter 24) or essential oils (3301); nor, under rule 91(1), to a person prosecuted, during the five years before the tax period of the claim, for an offence where the tax evaded exceeds two hundred and fifty lakh rupees.</w:t>
      </w:r>
    </w:p>
    <w:p>
      <w:pPr>
        <w:pStyle w:val="BlockText"/>
        <w:shd w:val="clear" w:color="auto" w:fill="E7E6E6"/>
      </w:pPr>
      <w:r>
        <w:rPr>
          <w:bCs/>
          <w:b/>
          <w:sz w:val="21"/>
        </w:rPr>
        <w:t xml:space="preserve">Drafting note:</w:t>
      </w:r>
      <w:r>
        <w:rPr>
          <w:sz w:val="21"/>
        </w:rPr>
        <w:t xml:space="preserve"> </w:t>
      </w:r>
      <w:r>
        <w:rPr>
          <w:sz w:val="21"/>
        </w:rPr>
        <w:t xml:space="preserve">keep one of Options A to D. Record the system risk category exactly as shown on the back-office screen. Under para 3.2 of Instruction 06/2025, no amount can be adjusted or withheld under section 54(10) or 54(11) from a provisional refund; where the applicant has such dues, the Instruction allows the officer to decide the claim finally at the earliest instead, and recover the dues from the final sanction. Provisional refund may also be refused where, on an earlier refund of the applicant, the issue is pending in appeal, a show cause notice has been issued, or an order has not attained finality.</w:t>
      </w:r>
    </w:p>
    <w:p>
      <w:pPr>
        <w:pStyle w:val="FirstParagraph"/>
        <w:spacing w:before="0" w:after="120" w:line="269" w:lineRule="auto"/>
        <w:jc w:val="both"/>
      </w:pPr>
      <w:r>
        <w:t xml:space="preserve">5.2</w:t>
      </w:r>
      <w:r>
        <w:t xml:space="preserve"> </w:t>
      </w:r>
      <w:r>
        <w:rPr>
          <w:bCs/>
          <w:b/>
        </w:rPr>
        <w:t xml:space="preserve">[Option A: provisional refund granted]</w:t>
      </w:r>
      <w:r>
        <w:t xml:space="preserve"> </w:t>
      </w:r>
      <w:r>
        <w:t xml:space="preserve">The claim was marked</w:t>
      </w:r>
      <w:r>
        <w:t xml:space="preserve"> </w:t>
      </w:r>
      <w:r>
        <w:t xml:space="preserve">“</w:t>
      </w:r>
      <w:r>
        <w:t xml:space="preserve">low-risk</w:t>
      </w:r>
      <w:r>
        <w:t xml:space="preserve">”</w:t>
      </w:r>
      <w:r>
        <w:t xml:space="preserve"> </w:t>
      </w:r>
      <w:r>
        <w:t xml:space="preserve">by the system. Provisional refund of ₹[ ] (IGST ₹[ ], CGST ₹[ ], SGST ₹[ ], Cess ₹[ ]), being ninety per cent of the amount claimed, was sanctioned by RFD-04 No. [ ] dated [DD.MM.YYYY] and paid by RFD-05 dated [DD.MM.YYYY]. That amount is accounted for in the final sanction in para 11 under rule 92(1). [Option, where the amount finally admissible is less than the provisional refund paid: the excess of ₹[ ] was proposed for recovery in the RFD-08 notice, with its summary in FORM GST DRC-01 (rule 142(1)(a)), under section 54 read with section [73 / 74 / 74A] (para 3.4 of Instruction No. 06/2025-GST; paras 15 and 16 of Circular No. 125/44/2019-GST) and is decided in para 11.]</w:t>
      </w:r>
    </w:p>
    <w:p>
      <w:pPr>
        <w:pStyle w:val="BodyText"/>
        <w:spacing w:before="0" w:after="120" w:line="269" w:lineRule="auto"/>
        <w:jc w:val="both"/>
      </w:pPr>
      <w:r>
        <w:t xml:space="preserve">5.2</w:t>
      </w:r>
      <w:r>
        <w:t xml:space="preserve"> </w:t>
      </w:r>
      <w:r>
        <w:rPr>
          <w:bCs/>
          <w:b/>
        </w:rPr>
        <w:t xml:space="preserve">[Option B: claim not low-risk]</w:t>
      </w:r>
      <w:r>
        <w:t xml:space="preserve"> </w:t>
      </w:r>
      <w:r>
        <w:t xml:space="preserve">The claim was not marked</w:t>
      </w:r>
      <w:r>
        <w:t xml:space="preserve"> </w:t>
      </w:r>
      <w:r>
        <w:t xml:space="preserve">“</w:t>
      </w:r>
      <w:r>
        <w:t xml:space="preserve">low-risk</w:t>
      </w:r>
      <w:r>
        <w:t xml:space="preserve">”</w:t>
      </w:r>
      <w:r>
        <w:t xml:space="preserve"> </w:t>
      </w:r>
      <w:r>
        <w:t xml:space="preserve">by the system ([risk category as shown]). In terms of para 3.1 of Instruction 06/2025-GST, no provisional refund was sanctioned, and the claim has been examined in detail as set out below.</w:t>
      </w:r>
    </w:p>
    <w:p>
      <w:pPr>
        <w:pStyle w:val="BodyText"/>
        <w:spacing w:before="0" w:after="120" w:line="269" w:lineRule="auto"/>
        <w:jc w:val="both"/>
      </w:pPr>
      <w:r>
        <w:t xml:space="preserve">5.2</w:t>
      </w:r>
      <w:r>
        <w:t xml:space="preserve"> </w:t>
      </w:r>
      <w:r>
        <w:rPr>
          <w:bCs/>
          <w:b/>
        </w:rPr>
        <w:t xml:space="preserve">[Option C: low-risk, but provisional refund not granted under the first proviso to rule 91(2)]</w:t>
      </w:r>
      <w:r>
        <w:t xml:space="preserve"> </w:t>
      </w:r>
      <w:r>
        <w:t xml:space="preserve">Although the claim was categorised as</w:t>
      </w:r>
      <w:r>
        <w:t xml:space="preserve"> </w:t>
      </w:r>
      <w:r>
        <w:t xml:space="preserve">“</w:t>
      </w:r>
      <w:r>
        <w:t xml:space="preserve">low-risk</w:t>
      </w:r>
      <w:r>
        <w:t xml:space="preserve">”</w:t>
      </w:r>
      <w:r>
        <w:t xml:space="preserve">, provisional refund was not granted, for the reasons recorded in writing on [DD.MM.YYYY] under the first proviso to rule 91(2), namely [state the specific, case-related reason, for example: (i) on the earlier refund claim ARN [ ], show cause notice No. [ ] dated [ ] has been issued and has not attained finality (para 3.2 of Instruction 06/2025-GST); or (ii) the applicant owes ₹[ ] under [order], which cannot be adjusted against a provisional refund, so the claim was taken up for final decision at the earliest (para 3.2)]. The reason is not presumptive and does not rest merely on routine proceedings (para 3.3).</w:t>
      </w:r>
    </w:p>
    <w:p>
      <w:pPr>
        <w:pStyle w:val="BodyText"/>
        <w:spacing w:before="0" w:after="120" w:line="269" w:lineRule="auto"/>
        <w:jc w:val="both"/>
      </w:pPr>
      <w:r>
        <w:t xml:space="preserve">5.2</w:t>
      </w:r>
      <w:r>
        <w:t xml:space="preserve"> </w:t>
      </w:r>
      <w:r>
        <w:rPr>
          <w:bCs/>
          <w:b/>
        </w:rPr>
        <w:t xml:space="preserve">[Option D: provisional refund barred]</w:t>
      </w:r>
      <w:r>
        <w:t xml:space="preserve"> </w:t>
      </w:r>
      <w:r>
        <w:t xml:space="preserve">Provisional refund was not available because [the applicant has not undergone Aadhaar authentication under rule 10B] / [the applicant supplies [goods] covered by Notification No. 14/2025-Central Tax] (section 54(6)) / [the applicant was prosecuted in [case] within the period stated in rule 91(1)].</w:t>
      </w:r>
    </w:p>
    <w:p>
      <w:pPr>
        <w:pStyle w:val="BodyText"/>
        <w:keepNext/>
        <w:spacing w:before="240" w:after="80"/>
        <w:pBdr>
          <w:bottom w:val="single" w:sz="6" w:space="1" w:color="B4C6E7"/>
        </w:pBdr>
      </w:pPr>
      <w:r>
        <w:rPr>
          <w:bCs/>
          <w:b/>
          <w:color w:val="1F3864"/>
          <w:sz w:val="25"/>
        </w:rPr>
        <w:t xml:space="preserve">6. Verification of the inversion and the credit</w:t>
      </w:r>
    </w:p>
    <w:p>
      <w:pPr>
        <w:pStyle w:val="BodyText"/>
        <w:spacing w:before="0" w:after="120" w:line="269" w:lineRule="auto"/>
        <w:jc w:val="both"/>
      </w:pPr>
      <w:r>
        <w:t xml:space="preserve">6.1</w:t>
      </w:r>
      <w:r>
        <w:t xml:space="preserve"> </w:t>
      </w:r>
      <w:r>
        <w:rPr>
          <w:bCs/>
          <w:b/>
        </w:rPr>
        <w:t xml:space="preserve">Inversion actually exists.</w:t>
      </w:r>
      <w:r>
        <w:t xml:space="preserve"> </w:t>
      </w:r>
      <w:r>
        <w:t xml:space="preserve">The rate-wise details of inputs and outward supplies for the period, taken from GSTR-2B/purchase register and GSTR-1, are:</w:t>
      </w:r>
    </w:p>
    <w:p>
      <w:pPr>
        <w:pStyle w:val="BodyText"/>
        <w:spacing w:before="0" w:after="120" w:line="269" w:lineRule="auto"/>
      </w:pPr>
      <w:r>
        <w:rPr>
          <w:iCs/>
          <w:i/>
        </w:rPr>
        <w:t xml:space="preserve">Table 1: Inputs (credit availed in GSTR-3B Table 4A(1) to 4A(5) for the period)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25"/>
        <w:gridCol w:w="1800"/>
        <w:gridCol w:w="1125"/>
        <w:gridCol w:w="1350"/>
        <w:gridCol w:w="1350"/>
        <w:gridCol w:w="2888"/>
      </w:tblGrid>
      <w:tr>
        <w:trPr>
          <w:tblHeader w:val="true"/>
          <w:tblHeader/>
        </w:trPr>
        <w:tc>
          <w:tcPr>
            <w:tcW w:type="dxa" w:w="1125"/>
            <w:shd w:val="clear" w:color="auto" w:fill="DCE6F1"/>
          </w:tcPr>
          <w:p>
            <w:pPr>
              <w:pStyle w:val="Compact"/>
              <w:spacing w:before="0" w:after="0" w:line="240" w:lineRule="auto"/>
              <w:jc w:val="left"/>
            </w:pPr>
            <w:r>
              <w:rPr>
                <w:b/>
                <w:color w:val="1F3864"/>
                <w:sz w:val="21"/>
              </w:rPr>
              <w:t xml:space="preserve">HSN</w:t>
            </w:r>
          </w:p>
        </w:tc>
        <w:tc>
          <w:tcPr>
            <w:tcW w:type="dxa" w:w="1800"/>
            <w:shd w:val="clear" w:color="auto" w:fill="DCE6F1"/>
          </w:tcPr>
          <w:p>
            <w:pPr>
              <w:pStyle w:val="Compact"/>
              <w:spacing w:before="0" w:after="0" w:line="240" w:lineRule="auto"/>
              <w:jc w:val="left"/>
            </w:pPr>
            <w:r>
              <w:rPr>
                <w:b/>
                <w:color w:val="1F3864"/>
                <w:sz w:val="21"/>
              </w:rPr>
              <w:t xml:space="preserve">Description</w:t>
            </w:r>
          </w:p>
        </w:tc>
        <w:tc>
          <w:tcPr>
            <w:tcW w:type="dxa" w:w="1125"/>
            <w:shd w:val="clear" w:color="auto" w:fill="DCE6F1"/>
          </w:tcPr>
          <w:p>
            <w:pPr>
              <w:pStyle w:val="Compact"/>
              <w:spacing w:before="0" w:after="0" w:line="240" w:lineRule="auto"/>
              <w:jc w:val="left"/>
            </w:pPr>
            <w:r>
              <w:rPr>
                <w:b/>
                <w:color w:val="1F3864"/>
                <w:sz w:val="21"/>
              </w:rPr>
              <w:t xml:space="preserve">Rate (%)</w:t>
            </w:r>
          </w:p>
        </w:tc>
        <w:tc>
          <w:tcPr>
            <w:tcW w:type="dxa" w:w="1350"/>
            <w:shd w:val="clear" w:color="auto" w:fill="DCE6F1"/>
          </w:tcPr>
          <w:p>
            <w:pPr>
              <w:pStyle w:val="Compact"/>
              <w:spacing w:before="0" w:after="0" w:line="240" w:lineRule="auto"/>
              <w:jc w:val="left"/>
            </w:pPr>
            <w:r>
              <w:rPr>
                <w:b/>
                <w:color w:val="1F3864"/>
                <w:sz w:val="21"/>
              </w:rPr>
              <w:t xml:space="preserve">Taxable value (₹)</w:t>
            </w:r>
          </w:p>
        </w:tc>
        <w:tc>
          <w:tcPr>
            <w:tcW w:type="dxa" w:w="1350"/>
            <w:shd w:val="clear" w:color="auto" w:fill="DCE6F1"/>
          </w:tcPr>
          <w:p>
            <w:pPr>
              <w:pStyle w:val="Compact"/>
              <w:spacing w:before="0" w:after="0" w:line="240" w:lineRule="auto"/>
              <w:jc w:val="left"/>
            </w:pPr>
            <w:r>
              <w:rPr>
                <w:b/>
                <w:color w:val="1F3864"/>
                <w:sz w:val="21"/>
              </w:rPr>
              <w:t xml:space="preserve">ITC availed (₹)</w:t>
            </w:r>
          </w:p>
        </w:tc>
        <w:tc>
          <w:tcPr>
            <w:tcW w:type="dxa" w:w="2888"/>
            <w:shd w:val="clear" w:color="auto" w:fill="DCE6F1"/>
          </w:tcPr>
          <w:p>
            <w:pPr>
              <w:pStyle w:val="Compact"/>
              <w:spacing w:before="0" w:after="0" w:line="240" w:lineRule="auto"/>
              <w:jc w:val="left"/>
            </w:pPr>
            <w:r>
              <w:rPr>
                <w:b/>
                <w:color w:val="1F3864"/>
                <w:sz w:val="21"/>
              </w:rPr>
              <w:t xml:space="preserve">Type (input / input service / capital goods / blocked under section 17(5))</w:t>
            </w:r>
          </w:p>
        </w:tc>
      </w:tr>
      <w:tr>
        <w:tc>
          <w:tcPr>
            <w:tcW w:type="dxa" w:w="1125"/>
          </w:tcPr>
          <w:p>
            <w:pPr>
              <w:pStyle w:val="Compact"/>
              <w:spacing w:before="0" w:after="0" w:line="240" w:lineRule="auto"/>
              <w:jc w:val="left"/>
            </w:pPr>
            <w:r>
              <w:rPr>
                <w:sz w:val="21"/>
              </w:rPr>
              <w:t xml:space="preserve">[ ]</w:t>
            </w:r>
          </w:p>
        </w:tc>
        <w:tc>
          <w:tcPr>
            <w:tcW w:type="dxa" w:w="1800"/>
          </w:tcPr>
          <w:p>
            <w:pPr>
              <w:pStyle w:val="Compact"/>
              <w:spacing w:before="0" w:after="0" w:line="240" w:lineRule="auto"/>
              <w:jc w:val="left"/>
            </w:pPr>
            <w:r>
              <w:rPr>
                <w:sz w:val="21"/>
              </w:rPr>
              <w:t xml:space="preserve">[ ]</w:t>
            </w:r>
          </w:p>
        </w:tc>
        <w:tc>
          <w:tcPr>
            <w:tcW w:type="dxa" w:w="1125"/>
          </w:tcPr>
          <w:p>
            <w:pPr>
              <w:pStyle w:val="Compact"/>
              <w:spacing w:before="0" w:after="0" w:line="240" w:lineRule="auto"/>
              <w:jc w:val="left"/>
            </w:pPr>
            <w:r>
              <w:rPr>
                <w:sz w:val="21"/>
              </w:rPr>
              <w:t xml:space="preserve">[ ]</w:t>
            </w:r>
          </w:p>
        </w:tc>
        <w:tc>
          <w:tcPr>
            <w:tcW w:type="dxa" w:w="1350"/>
          </w:tcPr>
          <w:p>
            <w:pPr>
              <w:pStyle w:val="Compact"/>
              <w:spacing w:before="0" w:after="0" w:line="240" w:lineRule="auto"/>
              <w:jc w:val="left"/>
            </w:pPr>
            <w:r>
              <w:rPr>
                <w:sz w:val="21"/>
              </w:rPr>
              <w:t xml:space="preserve">[ ]</w:t>
            </w:r>
          </w:p>
        </w:tc>
        <w:tc>
          <w:tcPr>
            <w:tcW w:type="dxa" w:w="1350"/>
          </w:tcPr>
          <w:p>
            <w:pPr>
              <w:pStyle w:val="Compact"/>
              <w:spacing w:before="0" w:after="0" w:line="240" w:lineRule="auto"/>
              <w:jc w:val="left"/>
            </w:pPr>
            <w:r>
              <w:rPr>
                <w:sz w:val="21"/>
              </w:rPr>
              <w:t xml:space="preserve">[ ]</w:t>
            </w:r>
          </w:p>
        </w:tc>
        <w:tc>
          <w:tcPr>
            <w:tcW w:type="dxa" w:w="2888"/>
          </w:tcPr>
          <w:p>
            <w:pPr>
              <w:pStyle w:val="Compact"/>
              <w:spacing w:before="0" w:after="0" w:line="240" w:lineRule="auto"/>
              <w:jc w:val="left"/>
            </w:pPr>
            <w:r>
              <w:rPr>
                <w:sz w:val="21"/>
              </w:rPr>
              <w:t xml:space="preserve">[ ]</w:t>
            </w:r>
          </w:p>
        </w:tc>
      </w:tr>
      <w:tr>
        <w:tc>
          <w:tcPr>
            <w:tcW w:type="dxa" w:w="1125"/>
            <w:shd w:val="clear" w:color="auto" w:fill="F2F2F2"/>
          </w:tcPr>
          <w:p>
            <w:pPr>
              <w:pStyle w:val="Compact"/>
              <w:spacing w:before="0" w:after="0" w:line="240" w:lineRule="auto"/>
            </w:pPr>
          </w:p>
        </w:tc>
        <w:tc>
          <w:tcPr>
            <w:tcW w:type="dxa" w:w="1800"/>
            <w:shd w:val="clear" w:color="auto" w:fill="F2F2F2"/>
          </w:tcPr>
          <w:p>
            <w:pPr>
              <w:pStyle w:val="Compact"/>
              <w:spacing w:before="0" w:after="0" w:line="240" w:lineRule="auto"/>
              <w:jc w:val="left"/>
            </w:pPr>
            <w:r>
              <w:rPr>
                <w:bCs/>
                <w:b/>
                <w:sz w:val="21"/>
              </w:rPr>
              <w:t xml:space="preserve">Total</w:t>
            </w:r>
          </w:p>
        </w:tc>
        <w:tc>
          <w:tcPr>
            <w:tcW w:type="dxa" w:w="1125"/>
            <w:shd w:val="clear" w:color="auto" w:fill="F2F2F2"/>
          </w:tcPr>
          <w:p>
            <w:pPr>
              <w:pStyle w:val="Compact"/>
              <w:spacing w:before="0" w:after="0" w:line="240" w:lineRule="auto"/>
            </w:pPr>
          </w:p>
        </w:tc>
        <w:tc>
          <w:tcPr>
            <w:tcW w:type="dxa" w:w="1350"/>
            <w:shd w:val="clear" w:color="auto" w:fill="F2F2F2"/>
          </w:tcPr>
          <w:p>
            <w:pPr>
              <w:pStyle w:val="Compact"/>
              <w:spacing w:before="0" w:after="0" w:line="240" w:lineRule="auto"/>
              <w:jc w:val="left"/>
            </w:pPr>
            <w:r>
              <w:rPr>
                <w:bCs/>
                <w:b/>
                <w:sz w:val="21"/>
              </w:rPr>
              <w:t xml:space="preserve">[ ]</w:t>
            </w:r>
          </w:p>
        </w:tc>
        <w:tc>
          <w:tcPr>
            <w:tcW w:type="dxa" w:w="1350"/>
            <w:shd w:val="clear" w:color="auto" w:fill="F2F2F2"/>
          </w:tcPr>
          <w:p>
            <w:pPr>
              <w:pStyle w:val="Compact"/>
              <w:spacing w:before="0" w:after="0" w:line="240" w:lineRule="auto"/>
              <w:jc w:val="left"/>
            </w:pPr>
            <w:r>
              <w:rPr>
                <w:bCs/>
                <w:b/>
                <w:sz w:val="21"/>
              </w:rPr>
              <w:t xml:space="preserve">[ ]</w:t>
            </w:r>
          </w:p>
        </w:tc>
        <w:tc>
          <w:tcPr>
            <w:tcW w:type="dxa" w:w="2888"/>
            <w:shd w:val="clear" w:color="auto" w:fill="F2F2F2"/>
          </w:tcPr>
          <w:p>
            <w:pPr>
              <w:pStyle w:val="Compact"/>
              <w:spacing w:before="0" w:after="0" w:line="240" w:lineRule="auto"/>
            </w:pPr>
          </w:p>
        </w:tc>
      </w:tr>
    </w:tbl>
    <w:p>
      <w:pPr>
        <w:pStyle w:val="BodyText"/>
        <w:spacing w:before="0" w:after="120" w:line="269" w:lineRule="auto"/>
      </w:pPr>
      <w:r>
        <w:rPr>
          <w:iCs/>
          <w:i/>
        </w:rPr>
        <w:t xml:space="preserve">Table 2: Outward supplies of the period (GSTR-1)</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29"/>
        <w:gridCol w:w="1646"/>
        <w:gridCol w:w="1029"/>
        <w:gridCol w:w="1235"/>
        <w:gridCol w:w="1029"/>
        <w:gridCol w:w="3670"/>
      </w:tblGrid>
      <w:tr>
        <w:trPr>
          <w:tblHeader w:val="true"/>
          <w:tblHeader/>
        </w:trPr>
        <w:tc>
          <w:tcPr>
            <w:tcW w:type="dxa" w:w="1029"/>
            <w:shd w:val="clear" w:color="auto" w:fill="DCE6F1"/>
          </w:tcPr>
          <w:p>
            <w:pPr>
              <w:pStyle w:val="Compact"/>
              <w:spacing w:before="0" w:after="0" w:line="240" w:lineRule="auto"/>
              <w:jc w:val="left"/>
            </w:pPr>
            <w:r>
              <w:rPr>
                <w:b/>
                <w:color w:val="1F3864"/>
                <w:sz w:val="21"/>
              </w:rPr>
              <w:t xml:space="preserve">HSN</w:t>
            </w:r>
          </w:p>
        </w:tc>
        <w:tc>
          <w:tcPr>
            <w:tcW w:type="dxa" w:w="1646"/>
            <w:shd w:val="clear" w:color="auto" w:fill="DCE6F1"/>
          </w:tcPr>
          <w:p>
            <w:pPr>
              <w:pStyle w:val="Compact"/>
              <w:spacing w:before="0" w:after="0" w:line="240" w:lineRule="auto"/>
              <w:jc w:val="left"/>
            </w:pPr>
            <w:r>
              <w:rPr>
                <w:b/>
                <w:color w:val="1F3864"/>
                <w:sz w:val="21"/>
              </w:rPr>
              <w:t xml:space="preserve">Description</w:t>
            </w:r>
          </w:p>
        </w:tc>
        <w:tc>
          <w:tcPr>
            <w:tcW w:type="dxa" w:w="1029"/>
            <w:shd w:val="clear" w:color="auto" w:fill="DCE6F1"/>
          </w:tcPr>
          <w:p>
            <w:pPr>
              <w:pStyle w:val="Compact"/>
              <w:spacing w:before="0" w:after="0" w:line="240" w:lineRule="auto"/>
              <w:jc w:val="left"/>
            </w:pPr>
            <w:r>
              <w:rPr>
                <w:b/>
                <w:color w:val="1F3864"/>
                <w:sz w:val="21"/>
              </w:rPr>
              <w:t xml:space="preserve">Rate (%)</w:t>
            </w:r>
          </w:p>
        </w:tc>
        <w:tc>
          <w:tcPr>
            <w:tcW w:type="dxa" w:w="1235"/>
            <w:shd w:val="clear" w:color="auto" w:fill="DCE6F1"/>
          </w:tcPr>
          <w:p>
            <w:pPr>
              <w:pStyle w:val="Compact"/>
              <w:spacing w:before="0" w:after="0" w:line="240" w:lineRule="auto"/>
              <w:jc w:val="left"/>
            </w:pPr>
            <w:r>
              <w:rPr>
                <w:b/>
                <w:color w:val="1F3864"/>
                <w:sz w:val="21"/>
              </w:rPr>
              <w:t xml:space="preserve">Taxable value (₹)</w:t>
            </w:r>
          </w:p>
        </w:tc>
        <w:tc>
          <w:tcPr>
            <w:tcW w:type="dxa" w:w="1029"/>
            <w:shd w:val="clear" w:color="auto" w:fill="DCE6F1"/>
          </w:tcPr>
          <w:p>
            <w:pPr>
              <w:pStyle w:val="Compact"/>
              <w:spacing w:before="0" w:after="0" w:line="240" w:lineRule="auto"/>
              <w:jc w:val="left"/>
            </w:pPr>
            <w:r>
              <w:rPr>
                <w:b/>
                <w:color w:val="1F3864"/>
                <w:sz w:val="21"/>
              </w:rPr>
              <w:t xml:space="preserve">Tax (₹)</w:t>
            </w:r>
          </w:p>
        </w:tc>
        <w:tc>
          <w:tcPr>
            <w:tcW w:type="dxa" w:w="3670"/>
            <w:shd w:val="clear" w:color="auto" w:fill="DCE6F1"/>
          </w:tcPr>
          <w:p>
            <w:pPr>
              <w:pStyle w:val="Compact"/>
              <w:spacing w:before="0" w:after="0" w:line="240" w:lineRule="auto"/>
              <w:jc w:val="left"/>
            </w:pPr>
            <w:r>
              <w:rPr>
                <w:b/>
                <w:color w:val="1F3864"/>
                <w:sz w:val="21"/>
              </w:rPr>
              <w:t xml:space="preserve">Inverted? (Yes / No: rate equal to or above input rate / zero-rated / exempt / excluded by notification)</w:t>
            </w:r>
          </w:p>
        </w:tc>
      </w:tr>
      <w:tr>
        <w:tc>
          <w:tcPr>
            <w:tcW w:type="dxa" w:w="1029"/>
          </w:tcPr>
          <w:p>
            <w:pPr>
              <w:pStyle w:val="Compact"/>
              <w:spacing w:before="0" w:after="0" w:line="240" w:lineRule="auto"/>
              <w:jc w:val="left"/>
            </w:pPr>
            <w:r>
              <w:rPr>
                <w:sz w:val="21"/>
              </w:rPr>
              <w:t xml:space="preserve">[ ]</w:t>
            </w:r>
          </w:p>
        </w:tc>
        <w:tc>
          <w:tcPr>
            <w:tcW w:type="dxa" w:w="1646"/>
          </w:tcPr>
          <w:p>
            <w:pPr>
              <w:pStyle w:val="Compact"/>
              <w:spacing w:before="0" w:after="0" w:line="240" w:lineRule="auto"/>
              <w:jc w:val="left"/>
            </w:pPr>
            <w:r>
              <w:rPr>
                <w:sz w:val="21"/>
              </w:rPr>
              <w:t xml:space="preserve">[ ]</w:t>
            </w:r>
          </w:p>
        </w:tc>
        <w:tc>
          <w:tcPr>
            <w:tcW w:type="dxa" w:w="1029"/>
          </w:tcPr>
          <w:p>
            <w:pPr>
              <w:pStyle w:val="Compact"/>
              <w:spacing w:before="0" w:after="0" w:line="240" w:lineRule="auto"/>
              <w:jc w:val="left"/>
            </w:pPr>
            <w:r>
              <w:rPr>
                <w:sz w:val="21"/>
              </w:rPr>
              <w:t xml:space="preserve">[ ]</w:t>
            </w:r>
          </w:p>
        </w:tc>
        <w:tc>
          <w:tcPr>
            <w:tcW w:type="dxa" w:w="1235"/>
          </w:tcPr>
          <w:p>
            <w:pPr>
              <w:pStyle w:val="Compact"/>
              <w:spacing w:before="0" w:after="0" w:line="240" w:lineRule="auto"/>
              <w:jc w:val="left"/>
            </w:pPr>
            <w:r>
              <w:rPr>
                <w:sz w:val="21"/>
              </w:rPr>
              <w:t xml:space="preserve">[ ]</w:t>
            </w:r>
          </w:p>
        </w:tc>
        <w:tc>
          <w:tcPr>
            <w:tcW w:type="dxa" w:w="1029"/>
          </w:tcPr>
          <w:p>
            <w:pPr>
              <w:pStyle w:val="Compact"/>
              <w:spacing w:before="0" w:after="0" w:line="240" w:lineRule="auto"/>
              <w:jc w:val="left"/>
            </w:pPr>
            <w:r>
              <w:rPr>
                <w:sz w:val="21"/>
              </w:rPr>
              <w:t xml:space="preserve">[ ]</w:t>
            </w:r>
          </w:p>
        </w:tc>
        <w:tc>
          <w:tcPr>
            <w:tcW w:type="dxa" w:w="3670"/>
          </w:tcPr>
          <w:p>
            <w:pPr>
              <w:pStyle w:val="Compact"/>
              <w:spacing w:before="0" w:after="0" w:line="240" w:lineRule="auto"/>
              <w:jc w:val="left"/>
            </w:pPr>
            <w:r>
              <w:rPr>
                <w:sz w:val="21"/>
              </w:rPr>
              <w:t xml:space="preserve">[ ]</w:t>
            </w:r>
          </w:p>
        </w:tc>
      </w:tr>
      <w:tr>
        <w:tc>
          <w:tcPr>
            <w:tcW w:type="dxa" w:w="1029"/>
            <w:shd w:val="clear" w:color="auto" w:fill="F2F2F2"/>
          </w:tcPr>
          <w:p>
            <w:pPr>
              <w:pStyle w:val="Compact"/>
              <w:spacing w:before="0" w:after="0" w:line="240" w:lineRule="auto"/>
            </w:pPr>
          </w:p>
        </w:tc>
        <w:tc>
          <w:tcPr>
            <w:tcW w:type="dxa" w:w="1646"/>
            <w:shd w:val="clear" w:color="auto" w:fill="F2F2F2"/>
          </w:tcPr>
          <w:p>
            <w:pPr>
              <w:pStyle w:val="Compact"/>
              <w:spacing w:before="0" w:after="0" w:line="240" w:lineRule="auto"/>
              <w:jc w:val="left"/>
            </w:pPr>
            <w:r>
              <w:rPr>
                <w:bCs/>
                <w:b/>
                <w:sz w:val="21"/>
              </w:rPr>
              <w:t xml:space="preserve">Total</w:t>
            </w:r>
          </w:p>
        </w:tc>
        <w:tc>
          <w:tcPr>
            <w:tcW w:type="dxa" w:w="1029"/>
            <w:shd w:val="clear" w:color="auto" w:fill="F2F2F2"/>
          </w:tcPr>
          <w:p>
            <w:pPr>
              <w:pStyle w:val="Compact"/>
              <w:spacing w:before="0" w:after="0" w:line="240" w:lineRule="auto"/>
            </w:pPr>
          </w:p>
        </w:tc>
        <w:tc>
          <w:tcPr>
            <w:tcW w:type="dxa" w:w="1235"/>
            <w:shd w:val="clear" w:color="auto" w:fill="F2F2F2"/>
          </w:tcPr>
          <w:p>
            <w:pPr>
              <w:pStyle w:val="Compact"/>
              <w:spacing w:before="0" w:after="0" w:line="240" w:lineRule="auto"/>
              <w:jc w:val="left"/>
            </w:pPr>
            <w:r>
              <w:rPr>
                <w:bCs/>
                <w:b/>
                <w:sz w:val="21"/>
              </w:rPr>
              <w:t xml:space="preserve">[ ]</w:t>
            </w:r>
          </w:p>
        </w:tc>
        <w:tc>
          <w:tcPr>
            <w:tcW w:type="dxa" w:w="1029"/>
            <w:shd w:val="clear" w:color="auto" w:fill="F2F2F2"/>
          </w:tcPr>
          <w:p>
            <w:pPr>
              <w:pStyle w:val="Compact"/>
              <w:spacing w:before="0" w:after="0" w:line="240" w:lineRule="auto"/>
              <w:jc w:val="left"/>
            </w:pPr>
            <w:r>
              <w:rPr>
                <w:bCs/>
                <w:b/>
                <w:sz w:val="21"/>
              </w:rPr>
              <w:t xml:space="preserve">[ ]</w:t>
            </w:r>
          </w:p>
        </w:tc>
        <w:tc>
          <w:tcPr>
            <w:tcW w:type="dxa" w:w="3670"/>
            <w:shd w:val="clear" w:color="auto" w:fill="F2F2F2"/>
          </w:tcPr>
          <w:p>
            <w:pPr>
              <w:pStyle w:val="Compact"/>
              <w:spacing w:before="0" w:after="0" w:line="240" w:lineRule="auto"/>
            </w:pPr>
          </w:p>
        </w:tc>
      </w:tr>
    </w:tbl>
    <w:p>
      <w:pPr>
        <w:pStyle w:val="BodyText"/>
        <w:spacing w:before="0" w:after="120" w:line="269" w:lineRule="auto"/>
        <w:jc w:val="both"/>
      </w:pPr>
      <w:r>
        <w:t xml:space="preserve">6.2 From Tables 1 and 2, the principal inputs bear tax at [ ]% while the outward supplies of [description] bear tax at [ ]%. The accumulation of credit is therefore on account of the rate on inputs being higher than the rate on outward supplies. [Option, where the reason for inversion was examined: The applicant explained the reason as [ ]; the manufacturing process seen in [the flow chart / visit report dated [ ]] confirms that [inputs] are used in making [outputs].]</w:t>
      </w:r>
    </w:p>
    <w:p>
      <w:pPr>
        <w:pStyle w:val="BodyText"/>
        <w:spacing w:before="0" w:after="120" w:line="269" w:lineRule="auto"/>
        <w:jc w:val="both"/>
      </w:pPr>
      <w:r>
        <w:t xml:space="preserve">6.3</w:t>
      </w:r>
      <w:r>
        <w:t xml:space="preserve"> </w:t>
      </w:r>
      <w:r>
        <w:rPr>
          <w:bCs/>
          <w:b/>
        </w:rPr>
        <w:t xml:space="preserve">Notified exclusions.</w:t>
      </w:r>
      <w:r>
        <w:t xml:space="preserve"> </w:t>
      </w:r>
      <w:r>
        <w:t xml:space="preserve">The outward supplies of [description] under HSN [ ] are not covered by Notification No. 5/2017-Central Tax (Rate) [or Notification No. 15/2017-Central Tax (Rate) for services], as amended. [Option: The inputs and the output are not the same goods / are the same goods, but the output attracts a concessional rate under Notification No. [ ], so the refund is admissible (para 3.3 of Circular 135/05/2020-GST as substituted by Circular 173/05/2022-GST).]</w:t>
      </w:r>
    </w:p>
    <w:p>
      <w:pPr>
        <w:pStyle w:val="BodyText"/>
        <w:spacing w:before="0" w:after="120" w:line="269" w:lineRule="auto"/>
        <w:jc w:val="both"/>
      </w:pPr>
      <w:r>
        <w:t xml:space="preserve">6.4</w:t>
      </w:r>
      <w:r>
        <w:t xml:space="preserve"> </w:t>
      </w:r>
      <w:r>
        <w:rPr>
          <w:bCs/>
          <w:b/>
        </w:rPr>
        <w:t xml:space="preserve">Supplies kept out of inverted turnover.</w:t>
      </w:r>
      <w:r>
        <w:t xml:space="preserve"> </w:t>
      </w:r>
      <w:r>
        <w:t xml:space="preserve">Outward supplies at a rate equal to or higher than the input rate (₹[ ]), zero-rated supplies by way of export and supplies to SEZ units or developers (₹[ ]), and deemed exports (₹[ ]) are not</w:t>
      </w:r>
      <w:r>
        <w:t xml:space="preserve"> </w:t>
      </w:r>
      <w:r>
        <w:t xml:space="preserve">“</w:t>
      </w:r>
      <w:r>
        <w:t xml:space="preserve">inverted rated supplies</w:t>
      </w:r>
      <w:r>
        <w:t xml:space="preserve">”</w:t>
      </w:r>
      <w:r>
        <w:t xml:space="preserve"> </w:t>
      </w:r>
      <w:r>
        <w:t xml:space="preserve">and are kept out of the numerator. They remain part of the Adjusted Total Turnover, except exempt supplies (₹[ ]), which are excluded from it. Exports of goods are included in the Adjusted Total Turnover at the lower of the FOB and invoice values (Explanation to rule 89(4), applied through Explanation (b) to rule 89(5); para 3 of Circular No. 197/09/2023-GST), and zero-rated services at the rule 89(4)(D) value. This was checked for each month of the claim, including GSTR-1 Tables 6A, 6B and 6C. [Option: Supplies of ₹[ ] to merchant exporters at the concessional rate under Notification No. 40/2017-Central Tax (Rate) / 41/2017-Integrated Tax (Rate) are inverted rated supplies and are kept in the numerator (para 59 of Circular No. 125/44/2019-GST); only deemed-export supplies under Notification No. 48/2017-Central Tax are excluded.]</w:t>
      </w:r>
    </w:p>
    <w:p>
      <w:pPr>
        <w:pStyle w:val="BodyText"/>
        <w:spacing w:before="0" w:after="120" w:line="269" w:lineRule="auto"/>
        <w:jc w:val="both"/>
      </w:pPr>
      <w:r>
        <w:t xml:space="preserve">6.5</w:t>
      </w:r>
      <w:r>
        <w:t xml:space="preserve"> </w:t>
      </w:r>
      <w:r>
        <w:rPr>
          <w:bCs/>
          <w:b/>
        </w:rPr>
        <w:t xml:space="preserve">Credit admissibility.</w:t>
      </w:r>
      <w:r>
        <w:t xml:space="preserve"> </w:t>
      </w:r>
      <w:r>
        <w:t xml:space="preserve">The credit on inputs taken in the computation is reflected in the applicant’s GSTR-2B for the period or an earlier period (para 1.3 of Circular No. 197/09/2023-GST), and no credit blocked by section 17(5) or barred by section 16(4) has been included. Credit on imports of goods (bills of entry), on Input Service Distributor documents and on inward supplies taxed under reverse charge was checked against [the bills of entry / ISD invoices / GSTR-3B Table 4A(3) and the cash payment of that tax]; it is not excluded merely because it does not appear as a supplier invoice in GSTR-2B (para 4 of Circular No. 139/09/2020-GST). Credit on input services (₹[ ]) and capital goods (₹[ ]) is excluded from Net ITC because the rule defines Net ITC as credit on inputs only, not because it is ineligible. [Option: Credit of ₹[ ] on [description] was excluded as [ground], as decided in para 8.]</w:t>
      </w:r>
    </w:p>
    <w:p>
      <w:pPr>
        <w:pStyle w:val="BodyText"/>
        <w:keepNext/>
        <w:spacing w:before="240" w:after="80"/>
        <w:pBdr>
          <w:bottom w:val="single" w:sz="6" w:space="1" w:color="B4C6E7"/>
        </w:pBdr>
      </w:pPr>
      <w:r>
        <w:rPr>
          <w:bCs/>
          <w:b/>
          <w:color w:val="1F3864"/>
          <w:sz w:val="25"/>
        </w:rPr>
        <w:t xml:space="preserve">7. Computation of the admissible refund</w:t>
      </w:r>
    </w:p>
    <w:p>
      <w:pPr>
        <w:pStyle w:val="BodyText"/>
        <w:spacing w:before="0" w:after="120" w:line="269" w:lineRule="auto"/>
        <w:jc w:val="both"/>
      </w:pPr>
      <w:r>
        <w:t xml:space="preserve">7.1 Sources of the figures. For each figure, one source is used, and the same source is used wherever the figure appears in the formula. Differences between sources are explained below the table.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867"/>
        <w:gridCol w:w="4533"/>
        <w:gridCol w:w="712"/>
        <w:gridCol w:w="777"/>
        <w:gridCol w:w="777"/>
        <w:gridCol w:w="971"/>
      </w:tblGrid>
      <w:tr>
        <w:trPr>
          <w:tblHeader w:val="true"/>
          <w:tblHeader/>
        </w:trPr>
        <w:tc>
          <w:tcPr>
            <w:tcW w:type="dxa" w:w="1867"/>
            <w:shd w:val="clear" w:color="auto" w:fill="DCE6F1"/>
          </w:tcPr>
          <w:p>
            <w:pPr>
              <w:pStyle w:val="Compact"/>
              <w:spacing w:before="0" w:after="0" w:line="240" w:lineRule="auto"/>
              <w:jc w:val="left"/>
            </w:pPr>
            <w:r>
              <w:rPr>
                <w:b/>
                <w:color w:val="1F3864"/>
                <w:sz w:val="21"/>
              </w:rPr>
              <w:t xml:space="preserve">Component</w:t>
            </w:r>
          </w:p>
        </w:tc>
        <w:tc>
          <w:tcPr>
            <w:tcW w:type="dxa" w:w="4533"/>
            <w:shd w:val="clear" w:color="auto" w:fill="DCE6F1"/>
          </w:tcPr>
          <w:p>
            <w:pPr>
              <w:pStyle w:val="Compact"/>
              <w:spacing w:before="0" w:after="0" w:line="240" w:lineRule="auto"/>
              <w:jc w:val="left"/>
            </w:pPr>
            <w:r>
              <w:rPr>
                <w:b/>
                <w:color w:val="1F3864"/>
                <w:sz w:val="21"/>
              </w:rPr>
              <w:t xml:space="preserve">Source used</w:t>
            </w:r>
          </w:p>
        </w:tc>
        <w:tc>
          <w:tcPr>
            <w:tcW w:type="dxa" w:w="712"/>
            <w:shd w:val="clear" w:color="auto" w:fill="DCE6F1"/>
          </w:tcPr>
          <w:p>
            <w:pPr>
              <w:pStyle w:val="Compact"/>
              <w:spacing w:before="0" w:after="0" w:line="240" w:lineRule="auto"/>
              <w:jc w:val="left"/>
            </w:pPr>
            <w:r>
              <w:rPr>
                <w:b/>
                <w:color w:val="1F3864"/>
                <w:sz w:val="21"/>
              </w:rPr>
              <w:t xml:space="preserve">As per RFD-01 (₹)</w:t>
            </w:r>
          </w:p>
        </w:tc>
        <w:tc>
          <w:tcPr>
            <w:tcW w:type="dxa" w:w="777"/>
            <w:shd w:val="clear" w:color="auto" w:fill="DCE6F1"/>
          </w:tcPr>
          <w:p>
            <w:pPr>
              <w:pStyle w:val="Compact"/>
              <w:spacing w:before="0" w:after="0" w:line="240" w:lineRule="auto"/>
              <w:jc w:val="left"/>
            </w:pPr>
            <w:r>
              <w:rPr>
                <w:b/>
                <w:color w:val="1F3864"/>
                <w:sz w:val="21"/>
              </w:rPr>
              <w:t xml:space="preserve">As per GSTR-1 / GSTR-3B (₹)</w:t>
            </w:r>
          </w:p>
        </w:tc>
        <w:tc>
          <w:tcPr>
            <w:tcW w:type="dxa" w:w="777"/>
            <w:shd w:val="clear" w:color="auto" w:fill="DCE6F1"/>
          </w:tcPr>
          <w:p>
            <w:pPr>
              <w:pStyle w:val="Compact"/>
              <w:spacing w:before="0" w:after="0" w:line="240" w:lineRule="auto"/>
              <w:jc w:val="left"/>
            </w:pPr>
            <w:r>
              <w:rPr>
                <w:b/>
                <w:color w:val="1F3864"/>
                <w:sz w:val="21"/>
              </w:rPr>
              <w:t xml:space="preserve">Adopted (₹)</w:t>
            </w:r>
          </w:p>
        </w:tc>
        <w:tc>
          <w:tcPr>
            <w:tcW w:type="dxa" w:w="971"/>
            <w:shd w:val="clear" w:color="auto" w:fill="DCE6F1"/>
          </w:tcPr>
          <w:p>
            <w:pPr>
              <w:pStyle w:val="Compact"/>
              <w:spacing w:before="0" w:after="0" w:line="240" w:lineRule="auto"/>
              <w:jc w:val="left"/>
            </w:pPr>
            <w:r>
              <w:rPr>
                <w:b/>
                <w:color w:val="1F3864"/>
                <w:sz w:val="21"/>
              </w:rPr>
              <w:t xml:space="preserve">Reason for any difference</w:t>
            </w:r>
          </w:p>
        </w:tc>
      </w:tr>
      <w:tr>
        <w:tc>
          <w:tcPr>
            <w:tcW w:type="dxa" w:w="1867"/>
          </w:tcPr>
          <w:p>
            <w:pPr>
              <w:pStyle w:val="Compact"/>
              <w:spacing w:before="0" w:after="0" w:line="240" w:lineRule="auto"/>
              <w:jc w:val="left"/>
            </w:pPr>
            <w:r>
              <w:rPr>
                <w:sz w:val="21"/>
              </w:rPr>
              <w:t xml:space="preserve">Turnover of inverted rated supply (A)</w:t>
            </w:r>
          </w:p>
        </w:tc>
        <w:tc>
          <w:tcPr>
            <w:tcW w:type="dxa" w:w="4533"/>
          </w:tcPr>
          <w:p>
            <w:pPr>
              <w:pStyle w:val="Compact"/>
              <w:spacing w:before="0" w:after="0" w:line="240" w:lineRule="auto"/>
              <w:jc w:val="left"/>
            </w:pPr>
            <w:r>
              <w:rPr>
                <w:sz w:val="21"/>
              </w:rPr>
              <w:t xml:space="preserve">GSTR-1, Table 2 above</w:t>
            </w:r>
          </w:p>
        </w:tc>
        <w:tc>
          <w:tcPr>
            <w:tcW w:type="dxa" w:w="712"/>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971"/>
          </w:tcPr>
          <w:p>
            <w:pPr>
              <w:pStyle w:val="Compact"/>
              <w:spacing w:before="0" w:after="0" w:line="240" w:lineRule="auto"/>
              <w:jc w:val="left"/>
            </w:pPr>
            <w:r>
              <w:rPr>
                <w:sz w:val="21"/>
              </w:rPr>
              <w:t xml:space="preserve">[ ]</w:t>
            </w:r>
          </w:p>
        </w:tc>
      </w:tr>
      <w:tr>
        <w:tc>
          <w:tcPr>
            <w:tcW w:type="dxa" w:w="1867"/>
          </w:tcPr>
          <w:p>
            <w:pPr>
              <w:pStyle w:val="Compact"/>
              <w:spacing w:before="0" w:after="0" w:line="240" w:lineRule="auto"/>
              <w:jc w:val="left"/>
            </w:pPr>
            <w:r>
              <w:rPr>
                <w:sz w:val="21"/>
              </w:rPr>
              <w:t xml:space="preserve">Adjusted Total Turnover (B)</w:t>
            </w:r>
          </w:p>
        </w:tc>
        <w:tc>
          <w:tcPr>
            <w:tcW w:type="dxa" w:w="4533"/>
          </w:tcPr>
          <w:p>
            <w:pPr>
              <w:pStyle w:val="Compact"/>
              <w:spacing w:before="0" w:after="0" w:line="240" w:lineRule="auto"/>
              <w:jc w:val="left"/>
            </w:pPr>
            <w:r>
              <w:rPr>
                <w:sz w:val="21"/>
              </w:rPr>
              <w:t xml:space="preserve">GSTR-3B Table 3.1(a) and (b) only (rows (c) nil-rated / exempt, (d) inward reverse charge and (e) non-GST excluded: sections 2(112) and 2(47), rule 89(4)(E)), with exports of goods at the lower of FOB and invoice value</w:t>
            </w:r>
          </w:p>
        </w:tc>
        <w:tc>
          <w:tcPr>
            <w:tcW w:type="dxa" w:w="712"/>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971"/>
          </w:tcPr>
          <w:p>
            <w:pPr>
              <w:pStyle w:val="Compact"/>
              <w:spacing w:before="0" w:after="0" w:line="240" w:lineRule="auto"/>
              <w:jc w:val="left"/>
            </w:pPr>
            <w:r>
              <w:rPr>
                <w:sz w:val="21"/>
              </w:rPr>
              <w:t xml:space="preserve">[ ]</w:t>
            </w:r>
          </w:p>
        </w:tc>
      </w:tr>
      <w:tr>
        <w:tc>
          <w:tcPr>
            <w:tcW w:type="dxa" w:w="1867"/>
          </w:tcPr>
          <w:p>
            <w:pPr>
              <w:pStyle w:val="Compact"/>
              <w:spacing w:before="0" w:after="0" w:line="240" w:lineRule="auto"/>
              <w:jc w:val="left"/>
            </w:pPr>
            <w:r>
              <w:rPr>
                <w:sz w:val="21"/>
              </w:rPr>
              <w:t xml:space="preserve">Net ITC: inputs only (C)</w:t>
            </w:r>
          </w:p>
        </w:tc>
        <w:tc>
          <w:tcPr>
            <w:tcW w:type="dxa" w:w="4533"/>
          </w:tcPr>
          <w:p>
            <w:pPr>
              <w:pStyle w:val="Compact"/>
              <w:spacing w:before="0" w:after="0" w:line="240" w:lineRule="auto"/>
              <w:jc w:val="left"/>
            </w:pPr>
            <w:r>
              <w:rPr>
                <w:sz w:val="21"/>
              </w:rPr>
              <w:t xml:space="preserve">GSTR-3B Table 4A(1) to 4A(5) less input services and capital goods, Table 1</w:t>
            </w:r>
          </w:p>
        </w:tc>
        <w:tc>
          <w:tcPr>
            <w:tcW w:type="dxa" w:w="712"/>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971"/>
          </w:tcPr>
          <w:p>
            <w:pPr>
              <w:pStyle w:val="Compact"/>
              <w:spacing w:before="0" w:after="0" w:line="240" w:lineRule="auto"/>
              <w:jc w:val="left"/>
            </w:pPr>
            <w:r>
              <w:rPr>
                <w:sz w:val="21"/>
              </w:rPr>
              <w:t xml:space="preserve">[ ]</w:t>
            </w:r>
          </w:p>
        </w:tc>
      </w:tr>
      <w:tr>
        <w:tc>
          <w:tcPr>
            <w:tcW w:type="dxa" w:w="1867"/>
          </w:tcPr>
          <w:p>
            <w:pPr>
              <w:pStyle w:val="Compact"/>
              <w:spacing w:before="0" w:after="0" w:line="240" w:lineRule="auto"/>
              <w:jc w:val="left"/>
            </w:pPr>
            <w:r>
              <w:rPr>
                <w:sz w:val="21"/>
              </w:rPr>
              <w:t xml:space="preserve">ITC on inputs and input services (D)</w:t>
            </w:r>
          </w:p>
        </w:tc>
        <w:tc>
          <w:tcPr>
            <w:tcW w:type="dxa" w:w="4533"/>
          </w:tcPr>
          <w:p>
            <w:pPr>
              <w:pStyle w:val="Compact"/>
              <w:spacing w:before="0" w:after="0" w:line="240" w:lineRule="auto"/>
              <w:jc w:val="left"/>
            </w:pPr>
            <w:r>
              <w:rPr>
                <w:sz w:val="21"/>
              </w:rPr>
              <w:t xml:space="preserve">Table 1: inputs + input services, excluding capital goods and blocked credit</w:t>
            </w:r>
          </w:p>
        </w:tc>
        <w:tc>
          <w:tcPr>
            <w:tcW w:type="dxa" w:w="712"/>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971"/>
          </w:tcPr>
          <w:p>
            <w:pPr>
              <w:pStyle w:val="Compact"/>
              <w:spacing w:before="0" w:after="0" w:line="240" w:lineRule="auto"/>
              <w:jc w:val="left"/>
            </w:pPr>
            <w:r>
              <w:rPr>
                <w:sz w:val="21"/>
              </w:rPr>
              <w:t xml:space="preserve">[ ]</w:t>
            </w:r>
          </w:p>
        </w:tc>
      </w:tr>
      <w:tr>
        <w:tc>
          <w:tcPr>
            <w:tcW w:type="dxa" w:w="1867"/>
          </w:tcPr>
          <w:p>
            <w:pPr>
              <w:pStyle w:val="Compact"/>
              <w:spacing w:before="0" w:after="0" w:line="240" w:lineRule="auto"/>
              <w:jc w:val="left"/>
            </w:pPr>
            <w:r>
              <w:rPr>
                <w:sz w:val="21"/>
              </w:rPr>
              <w:t xml:space="preserve">Tax payable on inverted rated supply (E)</w:t>
            </w:r>
          </w:p>
        </w:tc>
        <w:tc>
          <w:tcPr>
            <w:tcW w:type="dxa" w:w="4533"/>
          </w:tcPr>
          <w:p>
            <w:pPr>
              <w:pStyle w:val="Compact"/>
              <w:spacing w:before="0" w:after="0" w:line="240" w:lineRule="auto"/>
              <w:jc w:val="left"/>
            </w:pPr>
            <w:r>
              <w:rPr>
                <w:sz w:val="21"/>
              </w:rPr>
              <w:t xml:space="preserve">GSTR-1, rate-wise tax on the supplies in (A)</w:t>
            </w:r>
          </w:p>
        </w:tc>
        <w:tc>
          <w:tcPr>
            <w:tcW w:type="dxa" w:w="712"/>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777"/>
          </w:tcPr>
          <w:p>
            <w:pPr>
              <w:pStyle w:val="Compact"/>
              <w:spacing w:before="0" w:after="0" w:line="240" w:lineRule="auto"/>
              <w:jc w:val="left"/>
            </w:pPr>
            <w:r>
              <w:rPr>
                <w:sz w:val="21"/>
              </w:rPr>
              <w:t xml:space="preserve">[ ]</w:t>
            </w:r>
          </w:p>
        </w:tc>
        <w:tc>
          <w:tcPr>
            <w:tcW w:type="dxa" w:w="971"/>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reconcile Net ITC to GSTR-3B Table 4A(1) to 4A(5) like this: total ITC availed in Table 4A(1) to 4A(5) [ ] − input services [ ] − capital goods [ ] − blocked/ineligible [ ] = Net ITC [ ]. Do not pick the lowest or the highest figure as a rule; nothing in rule 89 or Circular 125 says so. Use the figure the records support, and explain any gap.</w:t>
      </w:r>
    </w:p>
    <w:p>
      <w:pPr>
        <w:pStyle w:val="FirstParagraph"/>
        <w:spacing w:before="0" w:after="120" w:line="269" w:lineRule="auto"/>
      </w:pPr>
      <w:r>
        <w:t xml:space="preserve">7.2 Computation: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525"/>
        <w:gridCol w:w="6714"/>
        <w:gridCol w:w="1398"/>
      </w:tblGrid>
      <w:tr>
        <w:trPr>
          <w:tblHeader w:val="true"/>
          <w:tblHeader/>
        </w:trPr>
        <w:tc>
          <w:tcPr>
            <w:tcW w:type="dxa" w:w="1525"/>
            <w:shd w:val="clear" w:color="auto" w:fill="DCE6F1"/>
          </w:tcPr>
          <w:p>
            <w:pPr>
              <w:pStyle w:val="Compact"/>
              <w:spacing w:before="0" w:after="0" w:line="240" w:lineRule="auto"/>
              <w:jc w:val="left"/>
            </w:pPr>
            <w:r>
              <w:rPr>
                <w:b/>
                <w:color w:val="1F3864"/>
                <w:sz w:val="21"/>
              </w:rPr>
              <w:t xml:space="preserve">Step</w:t>
            </w:r>
          </w:p>
        </w:tc>
        <w:tc>
          <w:tcPr>
            <w:tcW w:type="dxa" w:w="6714"/>
            <w:shd w:val="clear" w:color="auto" w:fill="DCE6F1"/>
          </w:tcPr>
          <w:p>
            <w:pPr>
              <w:pStyle w:val="Compact"/>
              <w:spacing w:before="0" w:after="0" w:line="240" w:lineRule="auto"/>
              <w:jc w:val="left"/>
            </w:pPr>
            <w:r>
              <w:rPr>
                <w:b/>
                <w:color w:val="1F3864"/>
                <w:sz w:val="21"/>
              </w:rPr>
              <w:t xml:space="preserve">Working</w:t>
            </w:r>
          </w:p>
        </w:tc>
        <w:tc>
          <w:tcPr>
            <w:tcW w:type="dxa" w:w="1398"/>
            <w:shd w:val="clear" w:color="auto" w:fill="DCE6F1"/>
          </w:tcPr>
          <w:p>
            <w:pPr>
              <w:pStyle w:val="Compact"/>
              <w:spacing w:before="0" w:after="0" w:line="240" w:lineRule="auto"/>
              <w:jc w:val="left"/>
            </w:pPr>
            <w:r>
              <w:rPr>
                <w:b/>
                <w:color w:val="1F3864"/>
                <w:sz w:val="21"/>
              </w:rPr>
              <w:t xml:space="preserve">Amount (₹)</w:t>
            </w:r>
          </w:p>
        </w:tc>
      </w:tr>
      <w:tr>
        <w:tc>
          <w:tcPr>
            <w:tcW w:type="dxa" w:w="1525"/>
          </w:tcPr>
          <w:p>
            <w:pPr>
              <w:pStyle w:val="Compact"/>
              <w:spacing w:before="0" w:after="0" w:line="240" w:lineRule="auto"/>
              <w:jc w:val="left"/>
            </w:pPr>
            <w:r>
              <w:rPr>
                <w:sz w:val="21"/>
              </w:rPr>
              <w:t xml:space="preserve">(i)</w:t>
            </w:r>
          </w:p>
        </w:tc>
        <w:tc>
          <w:tcPr>
            <w:tcW w:type="dxa" w:w="6714"/>
          </w:tcPr>
          <w:p>
            <w:pPr>
              <w:pStyle w:val="Compact"/>
              <w:spacing w:before="0" w:after="0" w:line="240" w:lineRule="auto"/>
              <w:jc w:val="left"/>
            </w:pPr>
            <w:r>
              <w:rPr>
                <w:sz w:val="21"/>
              </w:rPr>
              <w:t xml:space="preserve">A × C ÷ B = [ ] × [ ] ÷ [ ]</w:t>
            </w:r>
          </w:p>
        </w:tc>
        <w:tc>
          <w:tcPr>
            <w:tcW w:type="dxa" w:w="1398"/>
          </w:tcPr>
          <w:p>
            <w:pPr>
              <w:pStyle w:val="Compact"/>
              <w:spacing w:before="0" w:after="0" w:line="240" w:lineRule="auto"/>
              <w:jc w:val="left"/>
            </w:pPr>
            <w:r>
              <w:rPr>
                <w:sz w:val="21"/>
              </w:rPr>
              <w:t xml:space="preserve">[ ]</w:t>
            </w:r>
          </w:p>
        </w:tc>
      </w:tr>
      <w:tr>
        <w:tc>
          <w:tcPr>
            <w:tcW w:type="dxa" w:w="1525"/>
          </w:tcPr>
          <w:p>
            <w:pPr>
              <w:pStyle w:val="Compact"/>
              <w:spacing w:before="0" w:after="0" w:line="240" w:lineRule="auto"/>
              <w:jc w:val="left"/>
            </w:pPr>
            <w:r>
              <w:rPr>
                <w:sz w:val="21"/>
              </w:rPr>
              <w:t xml:space="preserve">(ii)</w:t>
            </w:r>
          </w:p>
        </w:tc>
        <w:tc>
          <w:tcPr>
            <w:tcW w:type="dxa" w:w="6714"/>
          </w:tcPr>
          <w:p>
            <w:pPr>
              <w:pStyle w:val="Compact"/>
              <w:spacing w:before="0" w:after="0" w:line="240" w:lineRule="auto"/>
              <w:jc w:val="left"/>
            </w:pPr>
            <w:r>
              <w:rPr>
                <w:sz w:val="21"/>
              </w:rPr>
              <w:t xml:space="preserve">C ÷ D = [ ] ÷ [ ]</w:t>
            </w:r>
          </w:p>
        </w:tc>
        <w:tc>
          <w:tcPr>
            <w:tcW w:type="dxa" w:w="1398"/>
          </w:tcPr>
          <w:p>
            <w:pPr>
              <w:pStyle w:val="Compact"/>
              <w:spacing w:before="0" w:after="0" w:line="240" w:lineRule="auto"/>
              <w:jc w:val="left"/>
            </w:pPr>
            <w:r>
              <w:rPr>
                <w:sz w:val="21"/>
              </w:rPr>
              <w:t xml:space="preserve">[ratio: carry it unrounded into step (iii)]</w:t>
            </w:r>
          </w:p>
        </w:tc>
      </w:tr>
      <w:tr>
        <w:tc>
          <w:tcPr>
            <w:tcW w:type="dxa" w:w="1525"/>
          </w:tcPr>
          <w:p>
            <w:pPr>
              <w:pStyle w:val="Compact"/>
              <w:spacing w:before="0" w:after="0" w:line="240" w:lineRule="auto"/>
              <w:jc w:val="left"/>
            </w:pPr>
            <w:r>
              <w:rPr>
                <w:sz w:val="21"/>
              </w:rPr>
              <w:t xml:space="preserve">(iii)</w:t>
            </w:r>
          </w:p>
        </w:tc>
        <w:tc>
          <w:tcPr>
            <w:tcW w:type="dxa" w:w="6714"/>
          </w:tcPr>
          <w:p>
            <w:pPr>
              <w:pStyle w:val="Compact"/>
              <w:spacing w:before="0" w:after="0" w:line="240" w:lineRule="auto"/>
              <w:jc w:val="left"/>
            </w:pPr>
            <w:r>
              <w:rPr>
                <w:sz w:val="21"/>
              </w:rPr>
              <w:t xml:space="preserve">E × C ÷ D = [ ] × [ ] ÷ [ ] (ratio not rounded; round only at step (vii))</w:t>
            </w:r>
          </w:p>
        </w:tc>
        <w:tc>
          <w:tcPr>
            <w:tcW w:type="dxa" w:w="1398"/>
          </w:tcPr>
          <w:p>
            <w:pPr>
              <w:pStyle w:val="Compact"/>
              <w:spacing w:before="0" w:after="0" w:line="240" w:lineRule="auto"/>
              <w:jc w:val="left"/>
            </w:pPr>
            <w:r>
              <w:rPr>
                <w:sz w:val="21"/>
              </w:rPr>
              <w:t xml:space="preserve">[ ]</w:t>
            </w:r>
          </w:p>
        </w:tc>
      </w:tr>
      <w:tr>
        <w:tc>
          <w:tcPr>
            <w:tcW w:type="dxa" w:w="1525"/>
          </w:tcPr>
          <w:p>
            <w:pPr>
              <w:pStyle w:val="Compact"/>
              <w:spacing w:before="0" w:after="0" w:line="240" w:lineRule="auto"/>
              <w:jc w:val="left"/>
            </w:pPr>
            <w:r>
              <w:rPr>
                <w:sz w:val="21"/>
              </w:rPr>
              <w:t xml:space="preserve">(iv)</w:t>
            </w:r>
          </w:p>
        </w:tc>
        <w:tc>
          <w:tcPr>
            <w:tcW w:type="dxa" w:w="6714"/>
          </w:tcPr>
          <w:p>
            <w:pPr>
              <w:pStyle w:val="Compact"/>
              <w:spacing w:before="0" w:after="0" w:line="240" w:lineRule="auto"/>
              <w:jc w:val="left"/>
            </w:pPr>
            <w:r>
              <w:rPr>
                <w:sz w:val="21"/>
              </w:rPr>
              <w:t xml:space="preserve">Maximum refund = (i) − (iii)</w:t>
            </w:r>
          </w:p>
        </w:tc>
        <w:tc>
          <w:tcPr>
            <w:tcW w:type="dxa" w:w="1398"/>
          </w:tcPr>
          <w:p>
            <w:pPr>
              <w:pStyle w:val="Compact"/>
              <w:spacing w:before="0" w:after="0" w:line="240" w:lineRule="auto"/>
              <w:jc w:val="left"/>
            </w:pPr>
            <w:r>
              <w:rPr>
                <w:sz w:val="21"/>
              </w:rPr>
              <w:t xml:space="preserve">[ ]</w:t>
            </w:r>
          </w:p>
        </w:tc>
      </w:tr>
      <w:tr>
        <w:tc>
          <w:tcPr>
            <w:tcW w:type="dxa" w:w="1525"/>
          </w:tcPr>
          <w:p>
            <w:pPr>
              <w:pStyle w:val="Compact"/>
              <w:spacing w:before="0" w:after="0" w:line="240" w:lineRule="auto"/>
              <w:jc w:val="left"/>
            </w:pPr>
            <w:r>
              <w:rPr>
                <w:sz w:val="21"/>
              </w:rPr>
              <w:t xml:space="preserve">(v)</w:t>
            </w:r>
          </w:p>
        </w:tc>
        <w:tc>
          <w:tcPr>
            <w:tcW w:type="dxa" w:w="6714"/>
          </w:tcPr>
          <w:p>
            <w:pPr>
              <w:pStyle w:val="Compact"/>
              <w:spacing w:before="0" w:after="0" w:line="240" w:lineRule="auto"/>
              <w:jc w:val="left"/>
            </w:pPr>
            <w:r>
              <w:rPr>
                <w:sz w:val="21"/>
              </w:rPr>
              <w:t xml:space="preserve">Balance in the electronic credit ledger at the end of the period</w:t>
            </w:r>
          </w:p>
        </w:tc>
        <w:tc>
          <w:tcPr>
            <w:tcW w:type="dxa" w:w="1398"/>
          </w:tcPr>
          <w:p>
            <w:pPr>
              <w:pStyle w:val="Compact"/>
              <w:spacing w:before="0" w:after="0" w:line="240" w:lineRule="auto"/>
              <w:jc w:val="left"/>
            </w:pPr>
            <w:r>
              <w:rPr>
                <w:sz w:val="21"/>
              </w:rPr>
              <w:t xml:space="preserve">[ ]</w:t>
            </w:r>
          </w:p>
        </w:tc>
      </w:tr>
      <w:tr>
        <w:tc>
          <w:tcPr>
            <w:tcW w:type="dxa" w:w="1525"/>
          </w:tcPr>
          <w:p>
            <w:pPr>
              <w:pStyle w:val="Compact"/>
              <w:spacing w:before="0" w:after="0" w:line="240" w:lineRule="auto"/>
              <w:jc w:val="left"/>
            </w:pPr>
            <w:r>
              <w:rPr>
                <w:sz w:val="21"/>
              </w:rPr>
              <w:t xml:space="preserve">(vi)</w:t>
            </w:r>
          </w:p>
        </w:tc>
        <w:tc>
          <w:tcPr>
            <w:tcW w:type="dxa" w:w="6714"/>
          </w:tcPr>
          <w:p>
            <w:pPr>
              <w:pStyle w:val="Compact"/>
              <w:spacing w:before="0" w:after="0" w:line="240" w:lineRule="auto"/>
              <w:jc w:val="left"/>
            </w:pPr>
            <w:r>
              <w:rPr>
                <w:sz w:val="21"/>
              </w:rPr>
              <w:t xml:space="preserve">Balance in the electronic credit ledger at the time of filing</w:t>
            </w:r>
          </w:p>
        </w:tc>
        <w:tc>
          <w:tcPr>
            <w:tcW w:type="dxa" w:w="1398"/>
          </w:tcPr>
          <w:p>
            <w:pPr>
              <w:pStyle w:val="Compact"/>
              <w:spacing w:before="0" w:after="0" w:line="240" w:lineRule="auto"/>
              <w:jc w:val="left"/>
            </w:pPr>
            <w:r>
              <w:rPr>
                <w:sz w:val="21"/>
              </w:rPr>
              <w:t xml:space="preserve">[ ]</w:t>
            </w:r>
          </w:p>
        </w:tc>
      </w:tr>
      <w:tr>
        <w:tc>
          <w:tcPr>
            <w:tcW w:type="dxa" w:w="1525"/>
          </w:tcPr>
          <w:p>
            <w:pPr>
              <w:pStyle w:val="Compact"/>
              <w:spacing w:before="0" w:after="0" w:line="240" w:lineRule="auto"/>
              <w:jc w:val="left"/>
            </w:pPr>
            <w:r>
              <w:rPr>
                <w:sz w:val="21"/>
              </w:rPr>
              <w:t xml:space="preserve">(vii)</w:t>
            </w:r>
          </w:p>
        </w:tc>
        <w:tc>
          <w:tcPr>
            <w:tcW w:type="dxa" w:w="6714"/>
          </w:tcPr>
          <w:p>
            <w:pPr>
              <w:pStyle w:val="Compact"/>
              <w:spacing w:before="0" w:after="0" w:line="240" w:lineRule="auto"/>
              <w:jc w:val="left"/>
            </w:pPr>
            <w:r>
              <w:rPr>
                <w:sz w:val="21"/>
              </w:rPr>
              <w:t xml:space="preserve">Admissible refund: least of (iv), (v) and (vi), rounded to the nearest rupee (section 170)</w:t>
            </w:r>
          </w:p>
        </w:tc>
        <w:tc>
          <w:tcPr>
            <w:tcW w:type="dxa" w:w="1398"/>
          </w:tcPr>
          <w:p>
            <w:pPr>
              <w:pStyle w:val="Compact"/>
              <w:spacing w:before="0" w:after="0" w:line="240" w:lineRule="auto"/>
              <w:jc w:val="left"/>
            </w:pPr>
            <w:r>
              <w:rPr>
                <w:bCs/>
                <w:b/>
                <w:sz w:val="21"/>
              </w:rPr>
              <w:t xml:space="preserve">[ ]</w:t>
            </w:r>
          </w:p>
        </w:tc>
      </w:tr>
      <w:tr>
        <w:tc>
          <w:tcPr>
            <w:tcW w:type="dxa" w:w="1525"/>
          </w:tcPr>
          <w:p>
            <w:pPr>
              <w:pStyle w:val="Compact"/>
              <w:spacing w:before="0" w:after="0" w:line="240" w:lineRule="auto"/>
              <w:jc w:val="left"/>
            </w:pPr>
            <w:r>
              <w:rPr>
                <w:sz w:val="21"/>
              </w:rPr>
              <w:t xml:space="preserve">(viii)</w:t>
            </w:r>
          </w:p>
        </w:tc>
        <w:tc>
          <w:tcPr>
            <w:tcW w:type="dxa" w:w="6714"/>
          </w:tcPr>
          <w:p>
            <w:pPr>
              <w:pStyle w:val="Compact"/>
              <w:spacing w:before="0" w:after="0" w:line="240" w:lineRule="auto"/>
              <w:jc w:val="left"/>
            </w:pPr>
            <w:r>
              <w:rPr>
                <w:sz w:val="21"/>
              </w:rPr>
              <w:t xml:space="preserve">Amount claimed</w:t>
            </w:r>
          </w:p>
        </w:tc>
        <w:tc>
          <w:tcPr>
            <w:tcW w:type="dxa" w:w="1398"/>
          </w:tcPr>
          <w:p>
            <w:pPr>
              <w:pStyle w:val="Compact"/>
              <w:spacing w:before="0" w:after="0" w:line="240" w:lineRule="auto"/>
              <w:jc w:val="left"/>
            </w:pPr>
            <w:r>
              <w:rPr>
                <w:sz w:val="21"/>
              </w:rPr>
              <w:t xml:space="preserve">[ ]</w:t>
            </w:r>
          </w:p>
        </w:tc>
      </w:tr>
      <w:tr>
        <w:tc>
          <w:tcPr>
            <w:tcW w:type="dxa" w:w="1525"/>
          </w:tcPr>
          <w:p>
            <w:pPr>
              <w:pStyle w:val="Compact"/>
              <w:spacing w:before="0" w:after="0" w:line="240" w:lineRule="auto"/>
              <w:jc w:val="left"/>
            </w:pPr>
            <w:r>
              <w:rPr>
                <w:sz w:val="21"/>
              </w:rPr>
              <w:t xml:space="preserve">(ix)</w:t>
            </w:r>
          </w:p>
        </w:tc>
        <w:tc>
          <w:tcPr>
            <w:tcW w:type="dxa" w:w="6714"/>
          </w:tcPr>
          <w:p>
            <w:pPr>
              <w:pStyle w:val="Compact"/>
              <w:spacing w:before="0" w:after="0" w:line="240" w:lineRule="auto"/>
              <w:jc w:val="left"/>
            </w:pPr>
            <w:r>
              <w:rPr>
                <w:sz w:val="21"/>
              </w:rPr>
              <w:t xml:space="preserve">Inadmissible: (viii) − (vii)</w:t>
            </w:r>
          </w:p>
        </w:tc>
        <w:tc>
          <w:tcPr>
            <w:tcW w:type="dxa" w:w="1398"/>
          </w:tcPr>
          <w:p>
            <w:pPr>
              <w:pStyle w:val="Compact"/>
              <w:spacing w:before="0" w:after="0" w:line="240" w:lineRule="auto"/>
              <w:jc w:val="left"/>
            </w:pPr>
            <w:r>
              <w:rPr>
                <w:sz w:val="21"/>
              </w:rPr>
              <w:t xml:space="preserve">[ ]</w:t>
            </w:r>
          </w:p>
        </w:tc>
      </w:tr>
      <w:tr>
        <w:tc>
          <w:tcPr>
            <w:tcW w:type="dxa" w:w="1525"/>
          </w:tcPr>
          <w:p>
            <w:pPr>
              <w:pStyle w:val="Compact"/>
              <w:spacing w:before="0" w:after="0" w:line="240" w:lineRule="auto"/>
              <w:jc w:val="left"/>
            </w:pPr>
            <w:r>
              <w:rPr>
                <w:sz w:val="21"/>
              </w:rPr>
              <w:t xml:space="preserve">(cess)</w:t>
            </w:r>
          </w:p>
        </w:tc>
        <w:tc>
          <w:tcPr>
            <w:tcW w:type="dxa" w:w="6714"/>
          </w:tcPr>
          <w:p>
            <w:pPr>
              <w:pStyle w:val="Compact"/>
              <w:spacing w:before="0" w:after="0" w:line="240" w:lineRule="auto"/>
              <w:jc w:val="left"/>
            </w:pPr>
            <w:r>
              <w:rPr>
                <w:sz w:val="21"/>
              </w:rPr>
              <w:t xml:space="preserve">[If compensation cess is claimed] the same formula applied to cess credit alone, debited entirely from the cess balance (para 39 of Circular No. 125/44/2019-GST): [working]</w:t>
            </w:r>
          </w:p>
        </w:tc>
        <w:tc>
          <w:tcPr>
            <w:tcW w:type="dxa" w:w="1398"/>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7.3 Head-wise split. The admissible amount (other than cess) is taken from the credit ledger in the order in which it was debited: integrated tax first, then central tax and State tax equally (para 37 of Circular 125). It is checked against the balance under each head at the end of the period and at filing:</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36"/>
        <w:gridCol w:w="1483"/>
        <w:gridCol w:w="1483"/>
        <w:gridCol w:w="1483"/>
        <w:gridCol w:w="1853"/>
        <w:gridCol w:w="2101"/>
      </w:tblGrid>
      <w:tr>
        <w:trPr>
          <w:tblHeader w:val="true"/>
          <w:tblHeader/>
        </w:trPr>
        <w:tc>
          <w:tcPr>
            <w:tcW w:type="dxa" w:w="1236"/>
            <w:shd w:val="clear" w:color="auto" w:fill="DCE6F1"/>
          </w:tcPr>
          <w:p>
            <w:pPr>
              <w:pStyle w:val="Compact"/>
              <w:spacing w:before="0" w:after="0" w:line="240" w:lineRule="auto"/>
              <w:jc w:val="left"/>
            </w:pPr>
            <w:r>
              <w:rPr>
                <w:b/>
                <w:color w:val="1F3864"/>
                <w:sz w:val="21"/>
              </w:rPr>
              <w:t xml:space="preserve">Head</w:t>
            </w:r>
          </w:p>
        </w:tc>
        <w:tc>
          <w:tcPr>
            <w:tcW w:type="dxa" w:w="1483"/>
            <w:shd w:val="clear" w:color="auto" w:fill="DCE6F1"/>
          </w:tcPr>
          <w:p>
            <w:pPr>
              <w:pStyle w:val="Compact"/>
              <w:spacing w:before="0" w:after="0" w:line="240" w:lineRule="auto"/>
              <w:jc w:val="left"/>
            </w:pPr>
            <w:r>
              <w:rPr>
                <w:b/>
                <w:color w:val="1F3864"/>
                <w:sz w:val="21"/>
              </w:rPr>
              <w:t xml:space="preserve">Debited in RFD-01 (₹)</w:t>
            </w:r>
          </w:p>
        </w:tc>
        <w:tc>
          <w:tcPr>
            <w:tcW w:type="dxa" w:w="1483"/>
            <w:shd w:val="clear" w:color="auto" w:fill="DCE6F1"/>
          </w:tcPr>
          <w:p>
            <w:pPr>
              <w:pStyle w:val="Compact"/>
              <w:spacing w:before="0" w:after="0" w:line="240" w:lineRule="auto"/>
              <w:jc w:val="left"/>
            </w:pPr>
            <w:r>
              <w:rPr>
                <w:b/>
                <w:color w:val="1F3864"/>
                <w:sz w:val="21"/>
              </w:rPr>
              <w:t xml:space="preserve">Ledger balance at end of period (₹)</w:t>
            </w:r>
          </w:p>
        </w:tc>
        <w:tc>
          <w:tcPr>
            <w:tcW w:type="dxa" w:w="1483"/>
            <w:shd w:val="clear" w:color="auto" w:fill="DCE6F1"/>
          </w:tcPr>
          <w:p>
            <w:pPr>
              <w:pStyle w:val="Compact"/>
              <w:spacing w:before="0" w:after="0" w:line="240" w:lineRule="auto"/>
              <w:jc w:val="left"/>
            </w:pPr>
            <w:r>
              <w:rPr>
                <w:b/>
                <w:color w:val="1F3864"/>
                <w:sz w:val="21"/>
              </w:rPr>
              <w:t xml:space="preserve">Ledger balance at filing (₹)</w:t>
            </w:r>
          </w:p>
        </w:tc>
        <w:tc>
          <w:tcPr>
            <w:tcW w:type="dxa" w:w="1853"/>
            <w:shd w:val="clear" w:color="auto" w:fill="DCE6F1"/>
          </w:tcPr>
          <w:p>
            <w:pPr>
              <w:pStyle w:val="Compact"/>
              <w:spacing w:before="0" w:after="0" w:line="240" w:lineRule="auto"/>
              <w:jc w:val="left"/>
            </w:pPr>
            <w:r>
              <w:rPr>
                <w:b/>
                <w:color w:val="1F3864"/>
                <w:sz w:val="21"/>
              </w:rPr>
              <w:t xml:space="preserve">Admissible (₹)</w:t>
            </w:r>
          </w:p>
        </w:tc>
        <w:tc>
          <w:tcPr>
            <w:tcW w:type="dxa" w:w="2101"/>
            <w:shd w:val="clear" w:color="auto" w:fill="DCE6F1"/>
          </w:tcPr>
          <w:p>
            <w:pPr>
              <w:pStyle w:val="Compact"/>
              <w:spacing w:before="0" w:after="0" w:line="240" w:lineRule="auto"/>
              <w:jc w:val="left"/>
            </w:pPr>
            <w:r>
              <w:rPr>
                <w:b/>
                <w:color w:val="1F3864"/>
                <w:sz w:val="21"/>
              </w:rPr>
              <w:t xml:space="preserve">Inadmissible (₹)</w:t>
            </w:r>
          </w:p>
        </w:tc>
      </w:tr>
      <w:tr>
        <w:tc>
          <w:tcPr>
            <w:tcW w:type="dxa" w:w="1236"/>
          </w:tcPr>
          <w:p>
            <w:pPr>
              <w:pStyle w:val="Compact"/>
              <w:spacing w:before="0" w:after="0" w:line="240" w:lineRule="auto"/>
              <w:jc w:val="left"/>
            </w:pPr>
            <w:r>
              <w:rPr>
                <w:sz w:val="21"/>
              </w:rPr>
              <w:t xml:space="preserve">IGST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CGST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SGST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Cess</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shd w:val="clear" w:color="auto" w:fill="F2F2F2"/>
          </w:tcPr>
          <w:p>
            <w:pPr>
              <w:pStyle w:val="Compact"/>
              <w:spacing w:before="0" w:after="0" w:line="240" w:lineRule="auto"/>
              <w:jc w:val="left"/>
            </w:pPr>
            <w:r>
              <w:rPr>
                <w:bCs/>
                <w:b/>
                <w:sz w:val="21"/>
              </w:rPr>
              <w:t xml:space="preserve">Total</w:t>
            </w:r>
          </w:p>
        </w:tc>
        <w:tc>
          <w:tcPr>
            <w:tcW w:type="dxa" w:w="1483"/>
            <w:shd w:val="clear" w:color="auto" w:fill="F2F2F2"/>
          </w:tcPr>
          <w:p>
            <w:pPr>
              <w:pStyle w:val="Compact"/>
              <w:spacing w:before="0" w:after="0" w:line="240" w:lineRule="auto"/>
              <w:jc w:val="left"/>
            </w:pPr>
            <w:r>
              <w:rPr>
                <w:bCs/>
                <w:b/>
                <w:sz w:val="21"/>
              </w:rPr>
              <w:t xml:space="preserve">[ ]</w:t>
            </w:r>
          </w:p>
        </w:tc>
        <w:tc>
          <w:tcPr>
            <w:tcW w:type="dxa" w:w="1483"/>
            <w:shd w:val="clear" w:color="auto" w:fill="F2F2F2"/>
          </w:tcPr>
          <w:p>
            <w:pPr>
              <w:pStyle w:val="Compact"/>
              <w:spacing w:before="0" w:after="0" w:line="240" w:lineRule="auto"/>
            </w:pPr>
          </w:p>
        </w:tc>
        <w:tc>
          <w:tcPr>
            <w:tcW w:type="dxa" w:w="1483"/>
            <w:shd w:val="clear" w:color="auto" w:fill="F2F2F2"/>
          </w:tcPr>
          <w:p>
            <w:pPr>
              <w:pStyle w:val="Compact"/>
              <w:spacing w:before="0" w:after="0" w:line="240" w:lineRule="auto"/>
            </w:pPr>
          </w:p>
        </w:tc>
        <w:tc>
          <w:tcPr>
            <w:tcW w:type="dxa" w:w="1853"/>
            <w:shd w:val="clear" w:color="auto" w:fill="F2F2F2"/>
          </w:tcPr>
          <w:p>
            <w:pPr>
              <w:pStyle w:val="Compact"/>
              <w:spacing w:before="0" w:after="0" w:line="240" w:lineRule="auto"/>
              <w:jc w:val="left"/>
            </w:pPr>
            <w:r>
              <w:rPr>
                <w:bCs/>
                <w:b/>
                <w:sz w:val="21"/>
              </w:rPr>
              <w:t xml:space="preserve">[ ]</w:t>
            </w:r>
          </w:p>
        </w:tc>
        <w:tc>
          <w:tcPr>
            <w:tcW w:type="dxa" w:w="2101"/>
            <w:shd w:val="clear" w:color="auto" w:fill="F2F2F2"/>
          </w:tcPr>
          <w:p>
            <w:pPr>
              <w:pStyle w:val="Compact"/>
              <w:spacing w:before="0" w:after="0" w:line="240" w:lineRule="auto"/>
              <w:jc w:val="left"/>
            </w:pPr>
            <w:r>
              <w:rPr>
                <w:bCs/>
                <w:b/>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compensation cess is computed separately, by applying the formula to cess credit alone, and is debited entirely from the cess balance (para 39 of Circular No. 125/44/2019-GST); the IGST-first order of debit applies only to IGST, CGST and SGST. If the applicant did not follow that order of debit, no adverse view is taken (para 38). Delete the Cess row if no cess is involved.</w:t>
      </w:r>
    </w:p>
    <w:p>
      <w:pPr>
        <w:pStyle w:val="FirstParagraph"/>
        <w:keepNext/>
        <w:spacing w:before="240" w:after="80"/>
        <w:pBdr>
          <w:bottom w:val="single" w:sz="6" w:space="1" w:color="B4C6E7"/>
        </w:pBdr>
      </w:pPr>
      <w:r>
        <w:rPr>
          <w:bCs/>
          <w:b/>
          <w:color w:val="1F3864"/>
          <w:sz w:val="25"/>
        </w:rPr>
        <w:t xml:space="preserve">8. Notice, reply and personal hearing</w:t>
      </w:r>
    </w:p>
    <w:p>
      <w:pPr>
        <w:pStyle w:val="BlockText"/>
        <w:shd w:val="clear" w:color="auto" w:fill="E7E6E6"/>
      </w:pPr>
      <w:r>
        <w:rPr>
          <w:bCs/>
          <w:b/>
          <w:sz w:val="21"/>
        </w:rPr>
        <w:t xml:space="preserve">Drafting note:</w:t>
      </w:r>
      <w:r>
        <w:rPr>
          <w:sz w:val="21"/>
        </w:rPr>
        <w:t xml:space="preserve"> </w:t>
      </w:r>
      <w:r>
        <w:rPr>
          <w:sz w:val="21"/>
        </w:rPr>
        <w:t xml:space="preserve">if the claim is sanctioned in full, replace this whole para with:</w:t>
      </w:r>
      <w:r>
        <w:rPr>
          <w:sz w:val="21"/>
        </w:rPr>
        <w:t xml:space="preserve"> </w:t>
      </w:r>
      <w:r>
        <w:rPr>
          <w:sz w:val="21"/>
        </w:rPr>
        <w:t xml:space="preserve">“</w:t>
      </w:r>
      <w:r>
        <w:rPr>
          <w:sz w:val="21"/>
        </w:rPr>
        <w:t xml:space="preserve">8.1 As the claim is found admissible in full, no notice in FORM GST RFD-08 was required.</w:t>
      </w:r>
      <w:r>
        <w:rPr>
          <w:sz w:val="21"/>
        </w:rPr>
        <w:t xml:space="preserve">”</w:t>
      </w:r>
      <w:r>
        <w:rPr>
          <w:sz w:val="21"/>
        </w:rPr>
        <w:t xml:space="preserve"> </w:t>
      </w:r>
      <w:r>
        <w:rPr>
          <w:sz w:val="21"/>
        </w:rPr>
        <w:t xml:space="preserve">Otherwise, the notice must state each actual ground found, with figures, and not template wording (rule 92(3) needs</w:t>
      </w:r>
      <w:r>
        <w:rPr>
          <w:sz w:val="21"/>
        </w:rPr>
        <w:t xml:space="preserve"> </w:t>
      </w:r>
      <w:r>
        <w:rPr>
          <w:sz w:val="21"/>
        </w:rPr>
        <w:t xml:space="preserve">“</w:t>
      </w:r>
      <w:r>
        <w:rPr>
          <w:sz w:val="21"/>
        </w:rPr>
        <w:t xml:space="preserve">reasons to be recorded in writing</w:t>
      </w:r>
      <w:r>
        <w:rPr>
          <w:sz w:val="21"/>
        </w:rPr>
        <w:t xml:space="preserve">”</w:t>
      </w:r>
      <w:r>
        <w:rPr>
          <w:sz w:val="21"/>
        </w:rPr>
        <w:t xml:space="preserve">). The order can reject only on a ground put to the applicant in the notice. Under rule 92(3) the applicant gets fifteen days to reply, and no application can be rejected without an opportunity of being heard.</w:t>
      </w:r>
    </w:p>
    <w:p>
      <w:pPr>
        <w:pStyle w:val="FirstParagraph"/>
        <w:spacing w:before="0" w:after="120" w:line="269" w:lineRule="auto"/>
        <w:jc w:val="both"/>
      </w:pPr>
      <w:r>
        <w:t xml:space="preserve">8.1 On scrutiny, the following grounds were noticed, and a notice in FORM GST RFD-08 No. [ ] dated [DD.MM.YYYY] was issued proposing to reject ₹[ ] of the claim and asking the applicant to reply in FORM GST RFD-09 within fifteen days: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44"/>
        <w:gridCol w:w="4539"/>
        <w:gridCol w:w="2856"/>
      </w:tblGrid>
      <w:tr>
        <w:trPr>
          <w:tblHeader w:val="true"/>
          <w:tblHeader/>
        </w:trPr>
        <w:tc>
          <w:tcPr>
            <w:tcW w:type="dxa" w:w="2244"/>
            <w:shd w:val="clear" w:color="auto" w:fill="DCE6F1"/>
          </w:tcPr>
          <w:p>
            <w:pPr>
              <w:pStyle w:val="Compact"/>
              <w:spacing w:before="0" w:after="0" w:line="240" w:lineRule="auto"/>
              <w:jc w:val="left"/>
            </w:pPr>
            <w:r>
              <w:rPr>
                <w:b/>
                <w:color w:val="1F3864"/>
                <w:sz w:val="21"/>
              </w:rPr>
              <w:t xml:space="preserve">Ground No.</w:t>
            </w:r>
          </w:p>
        </w:tc>
        <w:tc>
          <w:tcPr>
            <w:tcW w:type="dxa" w:w="4539"/>
            <w:shd w:val="clear" w:color="auto" w:fill="DCE6F1"/>
          </w:tcPr>
          <w:p>
            <w:pPr>
              <w:pStyle w:val="Compact"/>
              <w:spacing w:before="0" w:after="0" w:line="240" w:lineRule="auto"/>
              <w:jc w:val="left"/>
            </w:pPr>
            <w:r>
              <w:rPr>
                <w:b/>
                <w:color w:val="1F3864"/>
                <w:sz w:val="21"/>
              </w:rPr>
              <w:t xml:space="preserve">Ground stated in the notice</w:t>
            </w:r>
          </w:p>
        </w:tc>
        <w:tc>
          <w:tcPr>
            <w:tcW w:type="dxa" w:w="2856"/>
            <w:shd w:val="clear" w:color="auto" w:fill="DCE6F1"/>
          </w:tcPr>
          <w:p>
            <w:pPr>
              <w:pStyle w:val="Compact"/>
              <w:spacing w:before="0" w:after="0" w:line="240" w:lineRule="auto"/>
              <w:jc w:val="left"/>
            </w:pPr>
            <w:r>
              <w:rPr>
                <w:b/>
                <w:color w:val="1F3864"/>
                <w:sz w:val="21"/>
              </w:rPr>
              <w:t xml:space="preserve">Amount proposed for rejection (₹)</w:t>
            </w:r>
          </w:p>
        </w:tc>
      </w:tr>
      <w:tr>
        <w:tc>
          <w:tcPr>
            <w:tcW w:type="dxa" w:w="2244"/>
          </w:tcPr>
          <w:p>
            <w:pPr>
              <w:pStyle w:val="Compact"/>
              <w:spacing w:before="0" w:after="0" w:line="240" w:lineRule="auto"/>
              <w:jc w:val="left"/>
            </w:pPr>
            <w:r>
              <w:rPr>
                <w:sz w:val="21"/>
              </w:rPr>
              <w:t xml:space="preserve">1</w:t>
            </w:r>
          </w:p>
        </w:tc>
        <w:tc>
          <w:tcPr>
            <w:tcW w:type="dxa" w:w="4539"/>
          </w:tcPr>
          <w:p>
            <w:pPr>
              <w:pStyle w:val="Compact"/>
              <w:spacing w:before="0" w:after="0" w:line="240" w:lineRule="auto"/>
              <w:jc w:val="left"/>
            </w:pPr>
            <w:r>
              <w:rPr>
                <w:sz w:val="21"/>
              </w:rPr>
              <w:t xml:space="preserve">[ground, with the figures and the provision relied on]</w:t>
            </w:r>
          </w:p>
        </w:tc>
        <w:tc>
          <w:tcPr>
            <w:tcW w:type="dxa" w:w="2856"/>
          </w:tcPr>
          <w:p>
            <w:pPr>
              <w:pStyle w:val="Compact"/>
              <w:spacing w:before="0" w:after="0" w:line="240" w:lineRule="auto"/>
              <w:jc w:val="left"/>
            </w:pPr>
            <w:r>
              <w:rPr>
                <w:sz w:val="21"/>
              </w:rPr>
              <w:t xml:space="preserve">[ ]</w:t>
            </w:r>
          </w:p>
        </w:tc>
      </w:tr>
      <w:tr>
        <w:tc>
          <w:tcPr>
            <w:tcW w:type="dxa" w:w="2244"/>
          </w:tcPr>
          <w:p>
            <w:pPr>
              <w:pStyle w:val="Compact"/>
              <w:spacing w:before="0" w:after="0" w:line="240" w:lineRule="auto"/>
              <w:jc w:val="left"/>
            </w:pPr>
            <w:r>
              <w:rPr>
                <w:sz w:val="21"/>
              </w:rPr>
              <w:t xml:space="preserve">2</w:t>
            </w:r>
          </w:p>
        </w:tc>
        <w:tc>
          <w:tcPr>
            <w:tcW w:type="dxa" w:w="4539"/>
          </w:tcPr>
          <w:p>
            <w:pPr>
              <w:pStyle w:val="Compact"/>
              <w:spacing w:before="0" w:after="0" w:line="240" w:lineRule="auto"/>
              <w:jc w:val="left"/>
            </w:pPr>
            <w:r>
              <w:rPr>
                <w:sz w:val="21"/>
              </w:rPr>
              <w:t xml:space="preserve">[ ]</w:t>
            </w:r>
          </w:p>
        </w:tc>
        <w:tc>
          <w:tcPr>
            <w:tcW w:type="dxa" w:w="2856"/>
          </w:tcPr>
          <w:p>
            <w:pPr>
              <w:pStyle w:val="Compact"/>
              <w:spacing w:before="0" w:after="0" w:line="240" w:lineRule="auto"/>
              <w:jc w:val="left"/>
            </w:pPr>
            <w:r>
              <w:rPr>
                <w:sz w:val="21"/>
              </w:rPr>
              <w:t xml:space="preserve">[ ]</w:t>
            </w:r>
          </w:p>
        </w:tc>
      </w:tr>
      <w:tr>
        <w:tc>
          <w:tcPr>
            <w:tcW w:type="dxa" w:w="2244"/>
            <w:shd w:val="clear" w:color="auto" w:fill="F2F2F2"/>
          </w:tcPr>
          <w:p>
            <w:pPr>
              <w:pStyle w:val="Compact"/>
              <w:spacing w:before="0" w:after="0" w:line="240" w:lineRule="auto"/>
            </w:pPr>
          </w:p>
        </w:tc>
        <w:tc>
          <w:tcPr>
            <w:tcW w:type="dxa" w:w="4539"/>
            <w:shd w:val="clear" w:color="auto" w:fill="F2F2F2"/>
          </w:tcPr>
          <w:p>
            <w:pPr>
              <w:pStyle w:val="Compact"/>
              <w:spacing w:before="0" w:after="0" w:line="240" w:lineRule="auto"/>
              <w:jc w:val="left"/>
            </w:pPr>
            <w:r>
              <w:rPr>
                <w:bCs/>
                <w:b/>
                <w:sz w:val="21"/>
              </w:rPr>
              <w:t xml:space="preserve">Total</w:t>
            </w:r>
          </w:p>
        </w:tc>
        <w:tc>
          <w:tcPr>
            <w:tcW w:type="dxa" w:w="2856"/>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8.2 The applicant replied in FORM GST RFD-09 on [DD.MM.YYYY] [Option: after the time extended on request dated [ ]] and submitted [list of documents]. A personal hearing was held on [DD.MM.YYYY], attended by [designation of the authorised representative, not the person’s name], who [reiterated the reply] / [made the following further submissions: …] and [filed additional documents on [DD.MM.YYYY]].</w:t>
      </w:r>
    </w:p>
    <w:p>
      <w:pPr>
        <w:pStyle w:val="BodyText"/>
        <w:spacing w:before="0" w:after="120" w:line="269" w:lineRule="auto"/>
        <w:jc w:val="both"/>
      </w:pPr>
      <w:r>
        <w:t xml:space="preserve">[Option, where the applicant did not respond] 8.2 No reply was received. Opportunities of personal hearing were given on [DD.MM.YYYY], [DD.MM.YYYY] and [DD.MM.YYYY] by letters served on the portal [and by e-mail], but no one appeared and no adjournment was sought. The matter is therefore decided on the records available, as each of the grounds below is examined on its merits.</w:t>
      </w:r>
    </w:p>
    <w:p>
      <w:pPr>
        <w:pStyle w:val="BodyText"/>
        <w:spacing w:before="0" w:after="120" w:line="269" w:lineRule="auto"/>
        <w:jc w:val="both"/>
      </w:pPr>
      <w:r>
        <w:t xml:space="preserve">8.3</w:t>
      </w:r>
      <w:r>
        <w:t xml:space="preserve"> </w:t>
      </w:r>
      <w:r>
        <w:rPr>
          <w:bCs/>
          <w:b/>
        </w:rPr>
        <w:t xml:space="preserve">Findings on each ground.</w:t>
      </w:r>
      <w:r>
        <w:t xml:space="preserve"> </w:t>
      </w:r>
      <w:r>
        <w:t xml:space="preserve">Each ground in the notice, each point in the reply and each submission made at the hearing is dealt with below.</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60"/>
        <w:gridCol w:w="2024"/>
        <w:gridCol w:w="1638"/>
        <w:gridCol w:w="2602"/>
        <w:gridCol w:w="1253"/>
        <w:gridCol w:w="1060"/>
      </w:tblGrid>
      <w:tr>
        <w:trPr>
          <w:tblHeader w:val="true"/>
          <w:tblHeader/>
        </w:trPr>
        <w:tc>
          <w:tcPr>
            <w:tcW w:type="dxa" w:w="1060"/>
            <w:shd w:val="clear" w:color="auto" w:fill="DCE6F1"/>
          </w:tcPr>
          <w:p>
            <w:pPr>
              <w:pStyle w:val="Compact"/>
              <w:spacing w:before="0" w:after="0" w:line="240" w:lineRule="auto"/>
              <w:jc w:val="left"/>
            </w:pPr>
            <w:r>
              <w:rPr>
                <w:b/>
                <w:color w:val="1F3864"/>
                <w:sz w:val="21"/>
              </w:rPr>
              <w:t xml:space="preserve">Ground</w:t>
            </w:r>
          </w:p>
        </w:tc>
        <w:tc>
          <w:tcPr>
            <w:tcW w:type="dxa" w:w="2024"/>
            <w:shd w:val="clear" w:color="auto" w:fill="DCE6F1"/>
          </w:tcPr>
          <w:p>
            <w:pPr>
              <w:pStyle w:val="Compact"/>
              <w:spacing w:before="0" w:after="0" w:line="240" w:lineRule="auto"/>
              <w:jc w:val="left"/>
            </w:pPr>
            <w:r>
              <w:rPr>
                <w:b/>
                <w:color w:val="1F3864"/>
                <w:sz w:val="21"/>
              </w:rPr>
              <w:t xml:space="preserve">Applicant’s reply / submission at hearing</w:t>
            </w:r>
          </w:p>
        </w:tc>
        <w:tc>
          <w:tcPr>
            <w:tcW w:type="dxa" w:w="1638"/>
            <w:shd w:val="clear" w:color="auto" w:fill="DCE6F1"/>
          </w:tcPr>
          <w:p>
            <w:pPr>
              <w:pStyle w:val="Compact"/>
              <w:spacing w:before="0" w:after="0" w:line="240" w:lineRule="auto"/>
              <w:jc w:val="left"/>
            </w:pPr>
            <w:r>
              <w:rPr>
                <w:b/>
                <w:color w:val="1F3864"/>
                <w:sz w:val="21"/>
              </w:rPr>
              <w:t xml:space="preserve">Verification done</w:t>
            </w:r>
          </w:p>
        </w:tc>
        <w:tc>
          <w:tcPr>
            <w:tcW w:type="dxa" w:w="2602"/>
            <w:shd w:val="clear" w:color="auto" w:fill="DCE6F1"/>
          </w:tcPr>
          <w:p>
            <w:pPr>
              <w:pStyle w:val="Compact"/>
              <w:spacing w:before="0" w:after="0" w:line="240" w:lineRule="auto"/>
              <w:jc w:val="left"/>
            </w:pPr>
            <w:r>
              <w:rPr>
                <w:b/>
                <w:color w:val="1F3864"/>
                <w:sz w:val="21"/>
              </w:rPr>
              <w:t xml:space="preserve">Finding and provision relied on</w:t>
            </w:r>
          </w:p>
        </w:tc>
        <w:tc>
          <w:tcPr>
            <w:tcW w:type="dxa" w:w="1253"/>
            <w:shd w:val="clear" w:color="auto" w:fill="DCE6F1"/>
          </w:tcPr>
          <w:p>
            <w:pPr>
              <w:pStyle w:val="Compact"/>
              <w:spacing w:before="0" w:after="0" w:line="240" w:lineRule="auto"/>
              <w:jc w:val="left"/>
            </w:pPr>
            <w:r>
              <w:rPr>
                <w:b/>
                <w:color w:val="1F3864"/>
                <w:sz w:val="21"/>
              </w:rPr>
              <w:t xml:space="preserve">ITC / turnover / tax affected (₹)</w:t>
            </w:r>
          </w:p>
        </w:tc>
        <w:tc>
          <w:tcPr>
            <w:tcW w:type="dxa" w:w="1060"/>
            <w:shd w:val="clear" w:color="auto" w:fill="DCE6F1"/>
          </w:tcPr>
          <w:p>
            <w:pPr>
              <w:pStyle w:val="Compact"/>
              <w:spacing w:before="0" w:after="0" w:line="240" w:lineRule="auto"/>
              <w:jc w:val="left"/>
            </w:pPr>
            <w:r>
              <w:rPr>
                <w:b/>
                <w:color w:val="1F3864"/>
                <w:sz w:val="21"/>
              </w:rPr>
              <w:t xml:space="preserve">Effect on refund (₹)</w:t>
            </w:r>
          </w:p>
        </w:tc>
      </w:tr>
      <w:tr>
        <w:tc>
          <w:tcPr>
            <w:tcW w:type="dxa" w:w="1060"/>
          </w:tcPr>
          <w:p>
            <w:pPr>
              <w:pStyle w:val="Compact"/>
              <w:spacing w:before="0" w:after="0" w:line="240" w:lineRule="auto"/>
              <w:jc w:val="left"/>
            </w:pPr>
            <w:r>
              <w:rPr>
                <w:sz w:val="21"/>
              </w:rPr>
              <w:t xml:space="preserve">1</w:t>
            </w:r>
          </w:p>
        </w:tc>
        <w:tc>
          <w:tcPr>
            <w:tcW w:type="dxa" w:w="2024"/>
          </w:tcPr>
          <w:p>
            <w:pPr>
              <w:pStyle w:val="Compact"/>
              <w:spacing w:before="0" w:after="0" w:line="240" w:lineRule="auto"/>
              <w:jc w:val="left"/>
            </w:pPr>
            <w:r>
              <w:rPr>
                <w:sz w:val="21"/>
              </w:rPr>
              <w:t xml:space="preserve">[summary of the reply on this ground]</w:t>
            </w:r>
          </w:p>
        </w:tc>
        <w:tc>
          <w:tcPr>
            <w:tcW w:type="dxa" w:w="1638"/>
          </w:tcPr>
          <w:p>
            <w:pPr>
              <w:pStyle w:val="Compact"/>
              <w:spacing w:before="0" w:after="0" w:line="240" w:lineRule="auto"/>
              <w:jc w:val="left"/>
            </w:pPr>
            <w:r>
              <w:rPr>
                <w:sz w:val="21"/>
              </w:rPr>
              <w:t xml:space="preserve">[what was checked, against which record]</w:t>
            </w:r>
          </w:p>
        </w:tc>
        <w:tc>
          <w:tcPr>
            <w:tcW w:type="dxa" w:w="2602"/>
          </w:tcPr>
          <w:p>
            <w:pPr>
              <w:pStyle w:val="Compact"/>
              <w:spacing w:before="0" w:after="0" w:line="240" w:lineRule="auto"/>
              <w:jc w:val="left"/>
            </w:pPr>
            <w:r>
              <w:rPr>
                <w:sz w:val="21"/>
              </w:rPr>
              <w:t xml:space="preserve">[Accepted / Partly accepted / Not accepted, because …; section or rule]</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r>
        <w:tc>
          <w:tcPr>
            <w:tcW w:type="dxa" w:w="1060"/>
          </w:tcPr>
          <w:p>
            <w:pPr>
              <w:pStyle w:val="Compact"/>
              <w:spacing w:before="0" w:after="0" w:line="240" w:lineRule="auto"/>
              <w:jc w:val="left"/>
            </w:pPr>
            <w:r>
              <w:rPr>
                <w:sz w:val="21"/>
              </w:rPr>
              <w:t xml:space="preserve">2</w:t>
            </w:r>
          </w:p>
        </w:tc>
        <w:tc>
          <w:tcPr>
            <w:tcW w:type="dxa" w:w="2024"/>
          </w:tcPr>
          <w:p>
            <w:pPr>
              <w:pStyle w:val="Compact"/>
              <w:spacing w:before="0" w:after="0" w:line="240" w:lineRule="auto"/>
              <w:jc w:val="left"/>
            </w:pPr>
            <w:r>
              <w:rPr>
                <w:sz w:val="21"/>
              </w:rPr>
              <w:t xml:space="preserve">[ ]</w:t>
            </w:r>
          </w:p>
        </w:tc>
        <w:tc>
          <w:tcPr>
            <w:tcW w:type="dxa" w:w="1638"/>
          </w:tcPr>
          <w:p>
            <w:pPr>
              <w:pStyle w:val="Compact"/>
              <w:spacing w:before="0" w:after="0" w:line="240" w:lineRule="auto"/>
              <w:jc w:val="left"/>
            </w:pPr>
            <w:r>
              <w:rPr>
                <w:sz w:val="21"/>
              </w:rPr>
              <w:t xml:space="preserve">[ ]</w:t>
            </w:r>
          </w:p>
        </w:tc>
        <w:tc>
          <w:tcPr>
            <w:tcW w:type="dxa" w:w="2602"/>
          </w:tcPr>
          <w:p>
            <w:pPr>
              <w:pStyle w:val="Compact"/>
              <w:spacing w:before="0" w:after="0" w:line="240" w:lineRule="auto"/>
              <w:jc w:val="left"/>
            </w:pPr>
            <w:r>
              <w:rPr>
                <w:sz w:val="21"/>
              </w:rPr>
              <w:t xml:space="preserve">[ ]</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r>
        <w:tc>
          <w:tcPr>
            <w:tcW w:type="dxa" w:w="1060"/>
          </w:tcPr>
          <w:p>
            <w:pPr>
              <w:pStyle w:val="Compact"/>
              <w:spacing w:before="0" w:after="0" w:line="240" w:lineRule="auto"/>
              <w:jc w:val="left"/>
            </w:pPr>
            <w:r>
              <w:rPr>
                <w:sz w:val="21"/>
              </w:rPr>
              <w:t xml:space="preserve">Further submission at hearing</w:t>
            </w:r>
          </w:p>
        </w:tc>
        <w:tc>
          <w:tcPr>
            <w:tcW w:type="dxa" w:w="2024"/>
          </w:tcPr>
          <w:p>
            <w:pPr>
              <w:pStyle w:val="Compact"/>
              <w:spacing w:before="0" w:after="0" w:line="240" w:lineRule="auto"/>
              <w:jc w:val="left"/>
            </w:pPr>
            <w:r>
              <w:rPr>
                <w:sz w:val="21"/>
              </w:rPr>
              <w:t xml:space="preserve">[ ]</w:t>
            </w:r>
          </w:p>
        </w:tc>
        <w:tc>
          <w:tcPr>
            <w:tcW w:type="dxa" w:w="1638"/>
          </w:tcPr>
          <w:p>
            <w:pPr>
              <w:pStyle w:val="Compact"/>
              <w:spacing w:before="0" w:after="0" w:line="240" w:lineRule="auto"/>
              <w:jc w:val="left"/>
            </w:pPr>
            <w:r>
              <w:rPr>
                <w:sz w:val="21"/>
              </w:rPr>
              <w:t xml:space="preserve">[ ]</w:t>
            </w:r>
          </w:p>
        </w:tc>
        <w:tc>
          <w:tcPr>
            <w:tcW w:type="dxa" w:w="2602"/>
          </w:tcPr>
          <w:p>
            <w:pPr>
              <w:pStyle w:val="Compact"/>
              <w:spacing w:before="0" w:after="0" w:line="240" w:lineRule="auto"/>
              <w:jc w:val="left"/>
            </w:pPr>
            <w:r>
              <w:rPr>
                <w:sz w:val="21"/>
              </w:rPr>
              <w:t xml:space="preserve">[ ]</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write a separate paragraph under the table for any ground that needs more than three lines of reasoning. Keep the</w:t>
      </w:r>
      <w:r>
        <w:rPr>
          <w:sz w:val="21"/>
        </w:rPr>
        <w:t xml:space="preserve"> </w:t>
      </w:r>
      <w:r>
        <w:rPr>
          <w:sz w:val="21"/>
        </w:rPr>
        <w:t xml:space="preserve">“</w:t>
      </w:r>
      <w:r>
        <w:rPr>
          <w:sz w:val="21"/>
        </w:rPr>
        <w:t xml:space="preserve">affected</w:t>
      </w:r>
      <w:r>
        <w:rPr>
          <w:sz w:val="21"/>
        </w:rPr>
        <w:t xml:space="preserve">”</w:t>
      </w:r>
      <w:r>
        <w:rPr>
          <w:sz w:val="21"/>
        </w:rPr>
        <w:t xml:space="preserve"> </w:t>
      </w:r>
      <w:r>
        <w:rPr>
          <w:sz w:val="21"/>
        </w:rPr>
        <w:t xml:space="preserve">column (the ITC, turnover or tax that is the input) separate from the</w:t>
      </w:r>
      <w:r>
        <w:rPr>
          <w:sz w:val="21"/>
        </w:rPr>
        <w:t xml:space="preserve"> </w:t>
      </w:r>
      <w:r>
        <w:rPr>
          <w:sz w:val="21"/>
        </w:rPr>
        <w:t xml:space="preserve">“</w:t>
      </w:r>
      <w:r>
        <w:rPr>
          <w:sz w:val="21"/>
        </w:rPr>
        <w:t xml:space="preserve">effect on refund</w:t>
      </w:r>
      <w:r>
        <w:rPr>
          <w:sz w:val="21"/>
        </w:rPr>
        <w:t xml:space="preserve">”</w:t>
      </w:r>
      <w:r>
        <w:rPr>
          <w:sz w:val="21"/>
        </w:rPr>
        <w:t xml:space="preserve"> </w:t>
      </w:r>
      <w:r>
        <w:rPr>
          <w:sz w:val="21"/>
        </w:rPr>
        <w:t xml:space="preserve">column (the result after the formula), so that the two are never confused. Decide every ground, including one that becomes moot because of the finding on another ground (say</w:t>
      </w:r>
      <w:r>
        <w:rPr>
          <w:sz w:val="21"/>
        </w:rPr>
        <w:t xml:space="preserve"> </w:t>
      </w:r>
      <w:r>
        <w:rPr>
          <w:sz w:val="21"/>
        </w:rPr>
        <w:t xml:space="preserve">“</w:t>
      </w:r>
      <w:r>
        <w:rPr>
          <w:sz w:val="21"/>
        </w:rPr>
        <w:t xml:space="preserve">This ground does not survive, in view of the finding on ground [ ]</w:t>
      </w:r>
      <w:r>
        <w:rPr>
          <w:sz w:val="21"/>
        </w:rPr>
        <w:t xml:space="preserve">”</w:t>
      </w:r>
      <w:r>
        <w:rPr>
          <w:sz w:val="21"/>
        </w:rPr>
        <w:t xml:space="preserve">). If a ground is dropped, say so and why.</w:t>
      </w:r>
    </w:p>
    <w:p>
      <w:pPr>
        <w:pStyle w:val="FirstParagraph"/>
        <w:keepNext/>
        <w:spacing w:before="240" w:after="80"/>
        <w:pBdr>
          <w:bottom w:val="single" w:sz="6" w:space="1" w:color="B4C6E7"/>
        </w:pBdr>
      </w:pPr>
      <w:r>
        <w:rPr>
          <w:bCs/>
          <w:b/>
          <w:color w:val="1F3864"/>
          <w:sz w:val="25"/>
        </w:rPr>
        <w:t xml:space="preserve">9. Other conditions for payment of the refund</w:t>
      </w:r>
    </w:p>
    <w:p>
      <w:pPr>
        <w:pStyle w:val="BodyText"/>
        <w:spacing w:before="0" w:after="120" w:line="269" w:lineRule="auto"/>
        <w:jc w:val="both"/>
      </w:pPr>
      <w:r>
        <w:t xml:space="preserve">9.1</w:t>
      </w:r>
      <w:r>
        <w:t xml:space="preserve"> </w:t>
      </w:r>
      <w:r>
        <w:rPr>
          <w:bCs/>
          <w:b/>
        </w:rPr>
        <w:t xml:space="preserve">Unjust enrichment.</w:t>
      </w:r>
      <w:r>
        <w:t xml:space="preserve"> </w:t>
      </w:r>
      <w:r>
        <w:t xml:space="preserve">The refund is of unutilised input tax credit under section 54(3), which is payable to the applicant under clause (b) of section 54(8). The question of unjust enrichment does not arise, and no certificate or declaration under rule 89(2)(l) or (m) is required (provisos to rule 89(2)(l) and (m)).</w:t>
      </w:r>
    </w:p>
    <w:p>
      <w:pPr>
        <w:pStyle w:val="BodyText"/>
        <w:spacing w:before="0" w:after="120" w:line="269" w:lineRule="auto"/>
        <w:jc w:val="both"/>
      </w:pPr>
      <w:r>
        <w:t xml:space="preserve">9.2</w:t>
      </w:r>
      <w:r>
        <w:t xml:space="preserve"> </w:t>
      </w:r>
      <w:r>
        <w:rPr>
          <w:bCs/>
          <w:b/>
        </w:rPr>
        <w:t xml:space="preserve">Dues and withholding (section 54(10) and 54(11)).</w:t>
      </w:r>
      <w:r>
        <w:t xml:space="preserve"> </w:t>
      </w:r>
      <w:r>
        <w:t xml:space="preserve">The [range report dated [DD.MM.YYYY]], the arrears and liability register of the Division, the back-office demand and recovery ledger and the portal (Electronic Liability Register Part II) were checked on [DD.MM.YYYY].</w:t>
      </w:r>
    </w:p>
    <w:p>
      <w:pPr>
        <w:pStyle w:val="BodyText"/>
        <w:spacing w:before="0" w:after="120" w:line="269" w:lineRule="auto"/>
        <w:jc w:val="both"/>
      </w:pPr>
      <w:r>
        <w:t xml:space="preserve">[Option A] No return was pending and no tax, interest, penalty or other amount was payable by the applicant under the CGST Act or the existing law that had not been stayed by the specified date. No amount is withheld or deducted.</w:t>
      </w:r>
    </w:p>
    <w:p>
      <w:pPr>
        <w:pStyle w:val="BodyText"/>
        <w:spacing w:before="0" w:after="120" w:line="269" w:lineRule="auto"/>
        <w:jc w:val="both"/>
      </w:pPr>
      <w:r>
        <w:t xml:space="preserve">[Option B] The applicant owes ₹[ ] under [Order No. [ ] dated [ ] / demand ID [ ]]. That amount was not stayed by any court, Tribunal or Appellate Authority by the specified date (the last date for filing an appeal), [and no appeal with the pre-deposit under section 107(6) is on record]. Under section 54(10)(b), ₹[ ] is deducted from the refund and</w:t>
      </w:r>
      <w:r>
        <w:t xml:space="preserve"> </w:t>
      </w:r>
      <w:r>
        <w:rPr>
          <w:bCs/>
          <w:b/>
        </w:rPr>
        <w:t xml:space="preserve">adjusted in this order</w:t>
      </w:r>
      <w:r>
        <w:t xml:space="preserve"> </w:t>
      </w:r>
      <w:r>
        <w:t xml:space="preserve">against that demand (rule 92(1); para 35 of Circular No. 125/44/2019-GST). [Under section 54(10)(a), ₹[ ] is withheld until the return for [period] is filed, by order in Part A of FORM GST RFD-07 dated [DD.MM.YYYY] (rule 92(2)).]</w:t>
      </w:r>
    </w:p>
    <w:p>
      <w:pPr>
        <w:pStyle w:val="BodyText"/>
        <w:spacing w:before="0" w:after="120" w:line="269" w:lineRule="auto"/>
        <w:jc w:val="both"/>
      </w:pPr>
      <w:r>
        <w:t xml:space="preserve">[Option C] By order dated [DD.MM.YYYY], the Commissioner, being of the opinion that the grant of this refund is likely to adversely affect the revenue in [the appeal / proceedings [No.] pending under section [ ]] on account of [malfeasance / fraud], namely [ ], has, after giving the applicant an opportunity of being heard, withheld ₹[ ] until [ ] under section 54(11). The withholding is recorded in Part A of FORM GST RFD-07 dated [DD.MM.YYYY] (rule 92(2)). If the applicant becomes entitled to the amount as a result of those proceedings, interest is payable under section 54(12).</w:t>
      </w:r>
    </w:p>
    <w:p>
      <w:pPr>
        <w:pStyle w:val="BlockText"/>
        <w:shd w:val="clear" w:color="auto" w:fill="E7E6E6"/>
      </w:pPr>
      <w:r>
        <w:rPr>
          <w:bCs/>
          <w:b/>
          <w:sz w:val="21"/>
        </w:rPr>
        <w:t xml:space="preserve">Drafting note:</w:t>
      </w:r>
      <w:r>
        <w:rPr>
          <w:sz w:val="21"/>
        </w:rPr>
        <w:t xml:space="preserve"> </w:t>
      </w:r>
      <w:r>
        <w:rPr>
          <w:sz w:val="21"/>
        </w:rPr>
        <w:t xml:space="preserve">only a confirmed amount not stayed by the specified date can be deducted or withheld under section 54(10). A demand set aside in appeal, a demand under appeal with the pre-deposit paid (deemed stayed under section 107(7)), or a mere show cause notice cannot be. Nothing is to be adjusted against a provisional refund (Instruction 06/2025-GST para 3.2). An adjustment under section 54(10)(b) is made in this RFD-06 itself; RFD-07 Part A is only for withholding (section 54(10)(a) or 54(11)), and Part B for its release. Never reject a refund in place of adjusting or withholding it.</w:t>
      </w:r>
    </w:p>
    <w:p>
      <w:pPr>
        <w:pStyle w:val="FirstParagraph"/>
        <w:spacing w:before="0" w:after="120" w:line="269" w:lineRule="auto"/>
        <w:jc w:val="both"/>
      </w:pPr>
      <w:r>
        <w:t xml:space="preserve">9.3</w:t>
      </w:r>
      <w:r>
        <w:t xml:space="preserve"> </w:t>
      </w:r>
      <w:r>
        <w:rPr>
          <w:bCs/>
          <w:b/>
        </w:rPr>
        <w:t xml:space="preserve">Minimum amount (section 54(14)).</w:t>
      </w:r>
      <w:r>
        <w:t xml:space="preserve"> </w:t>
      </w:r>
      <w:r>
        <w:t xml:space="preserve">The amount sanctioned under each tax head is not less than one thousand rupees. [Option: The amount found admissible under [head] is ₹[ ], which is less than one thousand rupees, and is therefore not paid (section 54(14); para 60 of Circular No. 125/44/2019-GST, which applies the limit to each tax head separately).]</w:t>
      </w:r>
    </w:p>
    <w:p>
      <w:pPr>
        <w:pStyle w:val="BlockText"/>
        <w:shd w:val="clear" w:color="auto" w:fill="E7E6E6"/>
      </w:pPr>
      <w:r>
        <w:rPr>
          <w:bCs/>
          <w:b/>
          <w:sz w:val="21"/>
        </w:rPr>
        <w:t xml:space="preserve">Drafting note (amount below ₹1,000 under a head):</w:t>
      </w:r>
      <w:r>
        <w:rPr>
          <w:sz w:val="21"/>
        </w:rPr>
        <w:t xml:space="preserve"> </w:t>
      </w:r>
      <w:r>
        <w:rPr>
          <w:sz w:val="21"/>
        </w:rPr>
        <w:t xml:space="preserve">say in para 11 what becomes of it. Show it in the</w:t>
      </w:r>
      <w:r>
        <w:rPr>
          <w:sz w:val="21"/>
        </w:rPr>
        <w:t xml:space="preserve"> </w:t>
      </w:r>
      <w:r>
        <w:rPr>
          <w:sz w:val="21"/>
        </w:rPr>
        <w:t xml:space="preserve">“</w:t>
      </w:r>
      <w:r>
        <w:rPr>
          <w:sz w:val="21"/>
        </w:rPr>
        <w:t xml:space="preserve">Rejected</w:t>
      </w:r>
      <w:r>
        <w:rPr>
          <w:sz w:val="21"/>
        </w:rPr>
        <w:t xml:space="preserve">”</w:t>
      </w:r>
      <w:r>
        <w:rPr>
          <w:sz w:val="21"/>
        </w:rPr>
        <w:t xml:space="preserve"> </w:t>
      </w:r>
      <w:r>
        <w:rPr>
          <w:sz w:val="21"/>
        </w:rPr>
        <w:t xml:space="preserve">column of the 11.1 table with the words</w:t>
      </w:r>
      <w:r>
        <w:rPr>
          <w:sz w:val="21"/>
        </w:rPr>
        <w:t xml:space="preserve"> </w:t>
      </w:r>
      <w:r>
        <w:rPr>
          <w:sz w:val="21"/>
        </w:rPr>
        <w:t xml:space="preserve">“</w:t>
      </w:r>
      <w:r>
        <w:rPr>
          <w:sz w:val="21"/>
        </w:rPr>
        <w:t xml:space="preserve">not paid under section 54(14)</w:t>
      </w:r>
      <w:r>
        <w:rPr>
          <w:sz w:val="21"/>
        </w:rPr>
        <w:t xml:space="preserve">”</w:t>
      </w:r>
      <w:r>
        <w:rPr>
          <w:sz w:val="21"/>
        </w:rPr>
        <w:t xml:space="preserve">, so the table balances. Where it was debited from the electronic credit or cash ledger on filing, direct its re-credit by PMT-03 with the rest of the rejected amount [confirm the Commissionerate’s practice].</w:t>
      </w:r>
    </w:p>
    <w:p>
      <w:pPr>
        <w:pStyle w:val="FirstParagraph"/>
        <w:spacing w:before="0" w:after="120" w:line="269" w:lineRule="auto"/>
        <w:jc w:val="both"/>
      </w:pPr>
      <w:r>
        <w:t xml:space="preserve">9.4</w:t>
      </w:r>
      <w:r>
        <w:t xml:space="preserve"> </w:t>
      </w:r>
      <w:r>
        <w:rPr>
          <w:bCs/>
          <w:b/>
        </w:rPr>
        <w:t xml:space="preserve">Bank account.</w:t>
      </w:r>
      <w:r>
        <w:t xml:space="preserve"> </w:t>
      </w:r>
      <w:r>
        <w:t xml:space="preserve">The refund will be credited to the bank account [ending [XXXX]] declared in the application, which is one of the accounts in the applicant’s registration particulars and has been validated on the portal (rule 92(4)).</w:t>
      </w:r>
    </w:p>
    <w:p>
      <w:pPr>
        <w:pStyle w:val="BodyText"/>
        <w:spacing w:before="0" w:after="120" w:line="269" w:lineRule="auto"/>
        <w:jc w:val="both"/>
      </w:pPr>
      <w:r>
        <w:t xml:space="preserve">9.5</w:t>
      </w:r>
      <w:r>
        <w:t xml:space="preserve"> </w:t>
      </w:r>
      <w:r>
        <w:rPr>
          <w:bCs/>
          <w:b/>
        </w:rPr>
        <w:t xml:space="preserve">Time limit and interest on delay (section 54(7), section 56 and rule 94).</w:t>
      </w:r>
      <w:r>
        <w:t xml:space="preserve"> </w:t>
      </w:r>
      <w:r>
        <w:t xml:space="preserve">The application was filed on [DD.MM.YYYY] (the ARN date, as indicated in RFD-02 under rule 90(2)); the period under section 54(7) and section 56 counts from that date and ends on [DD.MM.YYYY].</w:t>
      </w:r>
    </w:p>
    <w:p>
      <w:pPr>
        <w:pStyle w:val="BodyText"/>
        <w:spacing w:before="0" w:after="120" w:line="269" w:lineRule="auto"/>
        <w:jc w:val="both"/>
      </w:pPr>
      <w:r>
        <w:t xml:space="preserve">[Option A] This order and the payment order in FORM GST RFD-05 are issued on [DD.MM.YYYY], within the sixty days. A refund is made only when the amount is credited to the applicant’s bank account (para 34 of Circular No. 125/44/2019-GST); if the credit takes place after [the date on which the sixty days end], interest under section 56 is payable for the days of delay up to the date of credit, and will be sanctioned by a separate order under rule 94.</w:t>
      </w:r>
    </w:p>
    <w:p>
      <w:pPr>
        <w:pStyle w:val="BodyText"/>
        <w:spacing w:before="0" w:after="120" w:line="269" w:lineRule="auto"/>
        <w:jc w:val="both"/>
      </w:pPr>
      <w:r>
        <w:t xml:space="preserve">[Option B] The sixty days ended on [DD.MM.YYYY], before this order. Under section 56 and rule 94, interest at six per cent per annum (Notification No. 13/2017-Central Tax dated 28.06.2017) is payable on the refund sanctioned from [the day after the sixty days end] until the date on which the amount is credited to the applicant’s bank account (para 34 of Circular No. 125/44/2019-GST). Under rule 94(2), the period beyond fifteen days of receipt of the RFD-08 notice taken by the applicant to reply or to submit documents, i.e. from [DD.MM.YYYY] to [DD.MM.YYYY] ([ ] days), and any period taken to correct or validate the bank account, are excluded. A separate order under rule 94(1), with FORM GST RFD-05, will specify the amount of delayed refund, the period of delay and the interest payable.</w:t>
      </w:r>
    </w:p>
    <w:p>
      <w:pPr>
        <w:pStyle w:val="BodyText"/>
        <w:keepNext/>
        <w:spacing w:before="240" w:after="80"/>
        <w:pBdr>
          <w:bottom w:val="single" w:sz="6" w:space="1" w:color="B4C6E7"/>
        </w:pBdr>
      </w:pPr>
      <w:r>
        <w:rPr>
          <w:bCs/>
          <w:b/>
          <w:color w:val="1F3864"/>
          <w:sz w:val="25"/>
        </w:rPr>
        <w:t xml:space="preserve">10. Conclusion</w:t>
      </w:r>
    </w:p>
    <w:p>
      <w:pPr>
        <w:pStyle w:val="BodyText"/>
        <w:spacing w:before="0" w:after="120" w:line="269" w:lineRule="auto"/>
        <w:jc w:val="both"/>
      </w:pPr>
      <w:r>
        <w:t xml:space="preserve">10.1 In view of the above, I find that the applicant is entitled to refund of ₹[ ] under clause (ii) of the first proviso to section 54(3) read with rule 89(5), and that ₹[ ] is not admissible for the reasons in paras [3, 6, 7 and 8]. The inadmissible amount, having been debited from the electronic credit ledger, is to be re-credited under rule 93(2) on the conditions in para 11.4. Accordingly, I pass the following order.</w:t>
      </w:r>
    </w:p>
    <w:p>
      <w:pPr>
        <w:pStyle w:val="BodyText"/>
        <w:keepNext/>
        <w:spacing w:before="240" w:after="80"/>
        <w:pBdr>
          <w:bottom w:val="single" w:sz="6" w:space="1" w:color="B4C6E7"/>
        </w:pBdr>
        <w:jc w:val="center"/>
      </w:pPr>
      <w:r>
        <w:rPr>
          <w:bCs/>
          <w:b/>
          <w:color w:val="1F3864"/>
          <w:sz w:val="25"/>
        </w:rPr>
        <w:t xml:space="preserve">11. ORDER</w:t>
      </w:r>
    </w:p>
    <w:p>
      <w:pPr>
        <w:pStyle w:val="BodyText"/>
        <w:spacing w:before="0" w:after="120" w:line="269" w:lineRule="auto"/>
        <w:jc w:val="both"/>
      </w:pPr>
      <w:r>
        <w:t xml:space="preserve">11.1 Under section 54(5) of the CGST Act read with rules 92(1) and 92(4), I sanction refund of</w:t>
      </w:r>
      <w:r>
        <w:t xml:space="preserve"> </w:t>
      </w:r>
      <w:r>
        <w:rPr>
          <w:bCs/>
          <w:b/>
        </w:rPr>
        <w:t xml:space="preserve">₹[ ] (Rupees [amount in words] only)</w:t>
      </w:r>
      <w:r>
        <w:t xml:space="preserve"> </w:t>
      </w:r>
      <w:r>
        <w:t xml:space="preserve">to the applicant, payable under section 54(8)(b),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90"/>
        <w:gridCol w:w="1068"/>
        <w:gridCol w:w="1334"/>
        <w:gridCol w:w="1423"/>
        <w:gridCol w:w="1275"/>
        <w:gridCol w:w="1068"/>
        <w:gridCol w:w="1423"/>
        <w:gridCol w:w="1157"/>
      </w:tblGrid>
      <w:tr>
        <w:trPr>
          <w:tblHeader w:val="true"/>
          <w:tblHeader/>
        </w:trPr>
        <w:tc>
          <w:tcPr>
            <w:tcW w:type="dxa" w:w="890"/>
            <w:shd w:val="clear" w:color="auto" w:fill="DCE6F1"/>
          </w:tcPr>
          <w:p>
            <w:pPr>
              <w:pStyle w:val="Compact"/>
              <w:spacing w:before="0" w:after="0" w:line="240" w:lineRule="auto"/>
              <w:jc w:val="left"/>
            </w:pPr>
            <w:r>
              <w:rPr>
                <w:b/>
                <w:color w:val="1F3864"/>
                <w:sz w:val="18"/>
              </w:rPr>
              <w:t xml:space="preserve">Head</w:t>
            </w:r>
          </w:p>
        </w:tc>
        <w:tc>
          <w:tcPr>
            <w:tcW w:type="dxa" w:w="1068"/>
            <w:shd w:val="clear" w:color="auto" w:fill="DCE6F1"/>
          </w:tcPr>
          <w:p>
            <w:pPr>
              <w:pStyle w:val="Compact"/>
              <w:spacing w:before="0" w:after="0" w:line="240" w:lineRule="auto"/>
              <w:jc w:val="left"/>
            </w:pPr>
            <w:r>
              <w:rPr>
                <w:b/>
                <w:color w:val="1F3864"/>
                <w:sz w:val="18"/>
              </w:rPr>
              <w:t xml:space="preserve">Claimed (₹)</w:t>
            </w:r>
          </w:p>
        </w:tc>
        <w:tc>
          <w:tcPr>
            <w:tcW w:type="dxa" w:w="1334"/>
            <w:shd w:val="clear" w:color="auto" w:fill="DCE6F1"/>
          </w:tcPr>
          <w:p>
            <w:pPr>
              <w:pStyle w:val="Compact"/>
              <w:spacing w:before="0" w:after="0" w:line="240" w:lineRule="auto"/>
              <w:jc w:val="left"/>
            </w:pPr>
            <w:r>
              <w:rPr>
                <w:b/>
                <w:color w:val="1F3864"/>
                <w:sz w:val="18"/>
              </w:rPr>
              <w:t xml:space="preserve">Admissible (₹)</w:t>
            </w:r>
          </w:p>
        </w:tc>
        <w:tc>
          <w:tcPr>
            <w:tcW w:type="dxa" w:w="1423"/>
            <w:shd w:val="clear" w:color="auto" w:fill="DCE6F1"/>
          </w:tcPr>
          <w:p>
            <w:pPr>
              <w:pStyle w:val="Compact"/>
              <w:spacing w:before="0" w:after="0" w:line="240" w:lineRule="auto"/>
              <w:jc w:val="left"/>
            </w:pPr>
            <w:r>
              <w:rPr>
                <w:b/>
                <w:color w:val="1F3864"/>
                <w:sz w:val="18"/>
              </w:rPr>
              <w:t xml:space="preserve">Provisional refund paid (RFD-04 dated [ ], RFD-05 dated [ ]) (₹)</w:t>
            </w:r>
          </w:p>
        </w:tc>
        <w:tc>
          <w:tcPr>
            <w:tcW w:type="dxa" w:w="1275"/>
            <w:shd w:val="clear" w:color="auto" w:fill="DCE6F1"/>
          </w:tcPr>
          <w:p>
            <w:pPr>
              <w:pStyle w:val="Compact"/>
              <w:spacing w:before="0" w:after="0" w:line="240" w:lineRule="auto"/>
              <w:jc w:val="left"/>
            </w:pPr>
            <w:r>
              <w:rPr>
                <w:b/>
                <w:color w:val="1F3864"/>
                <w:sz w:val="18"/>
              </w:rPr>
              <w:t xml:space="preserve">Adjusted under section 54(10)(b) in this order / withheld by RFD-07 (₹)</w:t>
            </w:r>
          </w:p>
        </w:tc>
        <w:tc>
          <w:tcPr>
            <w:tcW w:type="dxa" w:w="1068"/>
            <w:shd w:val="clear" w:color="auto" w:fill="DCE6F1"/>
          </w:tcPr>
          <w:p>
            <w:pPr>
              <w:pStyle w:val="Compact"/>
              <w:spacing w:before="0" w:after="0" w:line="240" w:lineRule="auto"/>
              <w:jc w:val="left"/>
            </w:pPr>
            <w:r>
              <w:rPr>
                <w:b/>
                <w:color w:val="1F3864"/>
                <w:sz w:val="18"/>
              </w:rPr>
              <w:t xml:space="preserve">Net payable now by RFD-05 (₹)</w:t>
            </w:r>
          </w:p>
        </w:tc>
        <w:tc>
          <w:tcPr>
            <w:tcW w:type="dxa" w:w="1423"/>
            <w:shd w:val="clear" w:color="auto" w:fill="DCE6F1"/>
          </w:tcPr>
          <w:p>
            <w:pPr>
              <w:pStyle w:val="Compact"/>
              <w:spacing w:before="0" w:after="0" w:line="240" w:lineRule="auto"/>
              <w:jc w:val="left"/>
            </w:pPr>
            <w:r>
              <w:rPr>
                <w:b/>
                <w:color w:val="1F3864"/>
                <w:sz w:val="18"/>
              </w:rPr>
              <w:t xml:space="preserve">Excess provisional refund recoverable (para 11.5A) (₹)</w:t>
            </w:r>
          </w:p>
        </w:tc>
        <w:tc>
          <w:tcPr>
            <w:tcW w:type="dxa" w:w="1157"/>
            <w:shd w:val="clear" w:color="auto" w:fill="DCE6F1"/>
          </w:tcPr>
          <w:p>
            <w:pPr>
              <w:pStyle w:val="Compact"/>
              <w:spacing w:before="0" w:after="0" w:line="240" w:lineRule="auto"/>
              <w:jc w:val="left"/>
            </w:pPr>
            <w:r>
              <w:rPr>
                <w:b/>
                <w:color w:val="1F3864"/>
                <w:sz w:val="18"/>
              </w:rPr>
              <w:t xml:space="preserve">Rejected (₹)</w:t>
            </w:r>
          </w:p>
        </w:tc>
      </w:tr>
      <w:tr>
        <w:tc>
          <w:tcPr>
            <w:tcW w:type="dxa" w:w="890"/>
          </w:tcPr>
          <w:p>
            <w:pPr>
              <w:pStyle w:val="Compact"/>
              <w:spacing w:before="0" w:after="0" w:line="240" w:lineRule="auto"/>
              <w:jc w:val="left"/>
            </w:pPr>
            <w:r>
              <w:rPr>
                <w:sz w:val="18"/>
              </w:rPr>
              <w:t xml:space="preserve">IGST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CGST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SGST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Cess</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shd w:val="clear" w:color="auto" w:fill="F2F2F2"/>
          </w:tcPr>
          <w:p>
            <w:pPr>
              <w:pStyle w:val="Compact"/>
              <w:spacing w:before="0" w:after="0" w:line="240" w:lineRule="auto"/>
              <w:jc w:val="left"/>
            </w:pPr>
            <w:r>
              <w:rPr>
                <w:bCs/>
                <w:b/>
                <w:sz w:val="18"/>
              </w:rPr>
              <w:t xml:space="preserve">Total</w:t>
            </w:r>
          </w:p>
        </w:tc>
        <w:tc>
          <w:tcPr>
            <w:tcW w:type="dxa" w:w="1068"/>
            <w:shd w:val="clear" w:color="auto" w:fill="F2F2F2"/>
          </w:tcPr>
          <w:p>
            <w:pPr>
              <w:pStyle w:val="Compact"/>
              <w:spacing w:before="0" w:after="0" w:line="240" w:lineRule="auto"/>
              <w:jc w:val="left"/>
            </w:pPr>
            <w:r>
              <w:rPr>
                <w:bCs/>
                <w:b/>
                <w:sz w:val="18"/>
              </w:rPr>
              <w:t xml:space="preserve">[ ]</w:t>
            </w:r>
          </w:p>
        </w:tc>
        <w:tc>
          <w:tcPr>
            <w:tcW w:type="dxa" w:w="1334"/>
            <w:shd w:val="clear" w:color="auto" w:fill="F2F2F2"/>
          </w:tcPr>
          <w:p>
            <w:pPr>
              <w:pStyle w:val="Compact"/>
              <w:spacing w:before="0" w:after="0" w:line="240" w:lineRule="auto"/>
              <w:jc w:val="left"/>
            </w:pPr>
            <w:r>
              <w:rPr>
                <w:bCs/>
                <w:b/>
                <w:sz w:val="18"/>
              </w:rPr>
              <w:t xml:space="preserve">[ ]</w:t>
            </w:r>
          </w:p>
        </w:tc>
        <w:tc>
          <w:tcPr>
            <w:tcW w:type="dxa" w:w="1423"/>
            <w:shd w:val="clear" w:color="auto" w:fill="F2F2F2"/>
          </w:tcPr>
          <w:p>
            <w:pPr>
              <w:pStyle w:val="Compact"/>
              <w:spacing w:before="0" w:after="0" w:line="240" w:lineRule="auto"/>
              <w:jc w:val="left"/>
            </w:pPr>
            <w:r>
              <w:rPr>
                <w:bCs/>
                <w:b/>
                <w:sz w:val="18"/>
              </w:rPr>
              <w:t xml:space="preserve">[ ]</w:t>
            </w:r>
          </w:p>
        </w:tc>
        <w:tc>
          <w:tcPr>
            <w:tcW w:type="dxa" w:w="1275"/>
            <w:shd w:val="clear" w:color="auto" w:fill="F2F2F2"/>
          </w:tcPr>
          <w:p>
            <w:pPr>
              <w:pStyle w:val="Compact"/>
              <w:spacing w:before="0" w:after="0" w:line="240" w:lineRule="auto"/>
              <w:jc w:val="left"/>
            </w:pPr>
            <w:r>
              <w:rPr>
                <w:bCs/>
                <w:b/>
                <w:sz w:val="18"/>
              </w:rPr>
              <w:t xml:space="preserve">[ ]</w:t>
            </w:r>
          </w:p>
        </w:tc>
        <w:tc>
          <w:tcPr>
            <w:tcW w:type="dxa" w:w="1068"/>
            <w:shd w:val="clear" w:color="auto" w:fill="F2F2F2"/>
          </w:tcPr>
          <w:p>
            <w:pPr>
              <w:pStyle w:val="Compact"/>
              <w:spacing w:before="0" w:after="0" w:line="240" w:lineRule="auto"/>
              <w:jc w:val="left"/>
            </w:pPr>
            <w:r>
              <w:rPr>
                <w:bCs/>
                <w:b/>
                <w:sz w:val="18"/>
              </w:rPr>
              <w:t xml:space="preserve">[ ]</w:t>
            </w:r>
          </w:p>
        </w:tc>
        <w:tc>
          <w:tcPr>
            <w:tcW w:type="dxa" w:w="1423"/>
            <w:shd w:val="clear" w:color="auto" w:fill="F2F2F2"/>
          </w:tcPr>
          <w:p>
            <w:pPr>
              <w:pStyle w:val="Compact"/>
              <w:spacing w:before="0" w:after="0" w:line="240" w:lineRule="auto"/>
              <w:jc w:val="left"/>
            </w:pPr>
            <w:r>
              <w:rPr>
                <w:bCs/>
                <w:b/>
                <w:sz w:val="18"/>
              </w:rPr>
              <w:t xml:space="preserve">[ ]</w:t>
            </w:r>
          </w:p>
        </w:tc>
        <w:tc>
          <w:tcPr>
            <w:tcW w:type="dxa" w:w="1157"/>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11.2 The net amount of ₹[ ] shall be credited to the applicant’s bank account by payment order in FORM GST RFD-05 (rule 92(4)). [Option: ₹[ ] adjusted under section 54(10)(b) shall be appropriated against [demand ID / order]; ₹[ ] is withheld by RFD-07 Part A as stated in para 9.2.]</w:t>
      </w:r>
    </w:p>
    <w:p>
      <w:pPr>
        <w:pStyle w:val="BodyText"/>
        <w:spacing w:before="0" w:after="120" w:line="269" w:lineRule="auto"/>
        <w:jc w:val="both"/>
      </w:pPr>
      <w:r>
        <w:t xml:space="preserve">11.3 Under rule 92(3), I reject refund of</w:t>
      </w:r>
      <w:r>
        <w:t xml:space="preserve"> </w:t>
      </w:r>
      <w:r>
        <w:rPr>
          <w:bCs/>
          <w:b/>
        </w:rPr>
        <w:t xml:space="preserve">₹[ ] (Rupees [amount in words] only)</w:t>
      </w:r>
      <w:r>
        <w:t xml:space="preserve"> </w:t>
      </w:r>
      <w:r>
        <w:t xml:space="preserve">(IGST ₹[ ], CGST ₹[ ], SGST ₹[ ], Cess ₹[ ]) for the reasons in paras [3, 6, 7 and 8].</w:t>
      </w:r>
    </w:p>
    <w:p>
      <w:pPr>
        <w:pStyle w:val="BodyText"/>
        <w:spacing w:before="0" w:after="120" w:line="269" w:lineRule="auto"/>
        <w:jc w:val="both"/>
      </w:pPr>
      <w:r>
        <w:t xml:space="preserve">11.4 Under rule 93(2), the amount of ₹[ ] (IGST ₹[ ], CGST ₹[ ], SGST ₹[ ], Cess ₹[ ]) rejected in para 11.3, which was debited from the electronic credit ledger, shall be re-credited to that ledger by an order in FORM GST PMT-03, after the applicant gives an undertaking in writing that it will not file an appeal against this order, or, if it files an appeal, after the appeal is finally rejected (Explanation to rule 93; paras 21 and 23 of Circular No. 125/44/2019-GST). If the appeal succeeds, the applicant may file a fresh claim under the category</w:t>
      </w:r>
      <w:r>
        <w:t xml:space="preserve"> </w:t>
      </w:r>
      <w:r>
        <w:t xml:space="preserve">“</w:t>
      </w:r>
      <w:r>
        <w:t xml:space="preserve">on account of assessment / provisional assessment / appeal / any other order</w:t>
      </w:r>
      <w:r>
        <w:t xml:space="preserve">”</w:t>
      </w:r>
      <w:r>
        <w:t xml:space="preserve"> </w:t>
      </w:r>
      <w:r>
        <w:t xml:space="preserve">(para 24 of that Circular).</w:t>
      </w:r>
    </w:p>
    <w:p>
      <w:pPr>
        <w:pStyle w:val="BodyText"/>
        <w:spacing w:before="0" w:after="120" w:line="269" w:lineRule="auto"/>
        <w:jc w:val="both"/>
      </w:pPr>
      <w:r>
        <w:t xml:space="preserve">11.5</w:t>
      </w:r>
      <w:r>
        <w:t xml:space="preserve"> </w:t>
      </w:r>
      <w:r>
        <w:rPr>
          <w:bCs/>
          <w:b/>
        </w:rPr>
        <w:t xml:space="preserve">[Option: only where the RFD-08 notice also proposed recovery of ineligible ITC, with a summary in FORM GST DRC-01 under rule 142(1)]</w:t>
      </w:r>
      <w:r>
        <w:t xml:space="preserve"> </w:t>
      </w:r>
      <w:r>
        <w:t xml:space="preserve">Under section [73 / 74 / 74A] read with section 54, I confirm the demand of input tax credit of ₹[ ] (IGST ₹[ ], CGST ₹[ ], SGST ₹[ ]) wrongly availed, as found in para 8, with interest under section 50 and penalty of ₹[ ] under section [73(9) / 74(9) / 74A(5)]. A summary of this demand shall be issued in FORM GST DRC-07 and entered in the electronic liability register. [If the applicant has paid this amount with interest by DRC-03 No. [ ] dated [ ], record it here and drop the penalty to the extent allowed by section [73(8) / 74(8) / 74A(8) or 74A(9)].] The re-credit in para 11.4 covers the whole rejected amount, including this ITC, as in the example in para 23 of Circular No. 125/44/2019-GST.</w:t>
      </w:r>
    </w:p>
    <w:p>
      <w:pPr>
        <w:pStyle w:val="BlockText"/>
        <w:shd w:val="clear" w:color="auto" w:fill="E7E6E6"/>
      </w:pPr>
      <w:r>
        <w:rPr>
          <w:bCs/>
          <w:b/>
          <w:sz w:val="21"/>
        </w:rPr>
        <w:t xml:space="preserve">Drafting note:</w:t>
      </w:r>
      <w:r>
        <w:rPr>
          <w:sz w:val="21"/>
        </w:rPr>
        <w:t xml:space="preserve"> </w:t>
      </w:r>
      <w:r>
        <w:rPr>
          <w:sz w:val="21"/>
        </w:rPr>
        <w:t xml:space="preserve">keep para 11.5 only where the notice proposed the recovery. Use section 74A for demands relating to financial year 2024-25 onwards, and sections 73/74 for earlier years. If the notice proposed only rejection, delete para 11.5 and, where ITC was found ineligible, refer the matter for separate proceedings in a covering note, not in this order.</w:t>
      </w:r>
    </w:p>
    <w:p>
      <w:pPr>
        <w:pStyle w:val="FirstParagraph"/>
        <w:spacing w:before="0" w:after="120" w:line="269" w:lineRule="auto"/>
        <w:jc w:val="both"/>
      </w:pPr>
      <w:r>
        <w:t xml:space="preserve">11.5A</w:t>
      </w:r>
      <w:r>
        <w:t xml:space="preserve"> </w:t>
      </w:r>
      <w:r>
        <w:rPr>
          <w:bCs/>
          <w:b/>
        </w:rPr>
        <w:t xml:space="preserve">[Option: only where the provisional refund paid exceeds the amount found admissible, and the RFD-08 notice proposed its recovery]</w:t>
      </w:r>
      <w:r>
        <w:t xml:space="preserve"> </w:t>
      </w:r>
      <w:r>
        <w:t xml:space="preserve">The provisional refund of ₹[ ] sanctioned by RFD-04 dated [ ] and paid by RFD-05 dated [ ] exceeds the amount found admissible, ₹[ ], by ₹[ ]. As proposed in the notice in FORM GST RFD-08 dated [ ], with its summary in FORM GST DRC-01 under rule 142(1)(a), issued under section 54 read with section [73 / 74 / 74A] (para 3.4 of Instruction No. 06/2025-GST), I confirm ₹[ ] (IGST ₹[ ], CGST ₹[ ], SGST ₹[ ], Cess ₹[ ]) as refund erroneously paid, recoverable from the applicant with interest under section 50 [and penalty of ₹[ ] under section [73(9) / 74(9) / 74A(5)]]. A summary shall be issued in FORM GST DRC-07. No amount is payable to the applicant under this order.</w:t>
      </w:r>
    </w:p>
    <w:p>
      <w:pPr>
        <w:pStyle w:val="BlockText"/>
        <w:shd w:val="clear" w:color="auto" w:fill="E7E6E6"/>
      </w:pPr>
      <w:r>
        <w:rPr>
          <w:bCs/>
          <w:b/>
          <w:sz w:val="21"/>
        </w:rPr>
        <w:t xml:space="preserve">Drafting note (recovery):</w:t>
      </w:r>
      <w:r>
        <w:rPr>
          <w:sz w:val="21"/>
        </w:rPr>
        <w:t xml:space="preserve"> </w:t>
      </w:r>
      <w:r>
        <w:rPr>
          <w:sz w:val="21"/>
        </w:rPr>
        <w:t xml:space="preserve">provisional refunds under Instruction 06/2025-GST are paid only on applications filed on or after 01.10.2025, so section 74A will ordinarily apply (section 74A(12): tax pertaining to financial year 2024-25 onwards). Its notice limit for an erroneous refund is forty-two months from the date of the refund (section 74A(2)). If the applicant paid the excess with interest within sixty days of the notice, no penalty is imposed and the proceedings are concluded (section 74A(8)(ii)): record the DRC-03 and delete the penalty.</w:t>
      </w:r>
    </w:p>
    <w:p>
      <w:pPr>
        <w:pStyle w:val="FirstParagraph"/>
        <w:spacing w:before="0" w:after="120" w:line="269" w:lineRule="auto"/>
        <w:jc w:val="both"/>
      </w:pPr>
      <w:r>
        <w:t xml:space="preserve">11.6 [Option: Interest under section 56 on the delayed refund shall be paid by a separate order under rule 94, as stated in para 9.5.]</w:t>
      </w:r>
    </w:p>
    <w:p>
      <w:pPr>
        <w:pStyle w:val="BlockText"/>
        <w:shd w:val="clear" w:color="auto" w:fill="E7E6E6"/>
      </w:pPr>
      <w:r>
        <w:rPr>
          <w:bCs/>
          <w:b/>
          <w:sz w:val="21"/>
        </w:rPr>
        <w:t xml:space="preserve">Drafting note: final check before signing.</w:t>
      </w:r>
      <w:r>
        <w:rPr>
          <w:sz w:val="21"/>
        </w:rPr>
        <w:t xml:space="preserve"> </w:t>
      </w:r>
      <w:r>
        <w:rPr>
          <w:sz w:val="21"/>
        </w:rPr>
        <w:t xml:space="preserve">(1) The admissible amount in the computation, the head-wise table in para 11, the figures in the ORDER and the amount in words all agree. (2) Under every tax head, admissible + rejected = amount claimed, and admissible = provisional refund paid (if any) + amount adjusted or withheld + net amount now payable − excess provisional refund recoverable; where there is an excess, the adjusted and net payable columns are nil. (3) The amount re-credited by PMT-03 equals the amount rejected that was debited from the credit ledger, head-wise. (4) Every ground in the RFD-08 notice has a finding. (5) No bracket, blank date, drafting note or another case’s figures remain. (6) Figures are rounded to the nearest rupee (section 170). (7) Paragraph numbers run in order.</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applicant]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(by name to the Assistant Commissioner (Review – Refunds), Headquarters), for review under section 107(2).</w:t>
      </w:r>
    </w:p>
    <w:p>
      <w:pPr>
        <w:numPr>
          <w:ilvl w:val="0"/>
          <w:numId w:val="1002"/>
        </w:numPr>
        <w:pStyle w:val="Compact"/>
        <w:spacing w:before="0" w:after="120" w:line="269" w:lineRule="auto"/>
      </w:pPr>
      <w:r>
        <w:t xml:space="preserve">The Assistant / Deputy Commissioner (Post-Audit), Medchal CGST Commissionerate, for post-audit of refund orders.</w:t>
      </w:r>
    </w:p>
    <w:p>
      <w:pPr>
        <w:numPr>
          <w:ilvl w:val="0"/>
          <w:numId w:val="1002"/>
        </w:numPr>
        <w:pStyle w:val="Compact"/>
        <w:spacing w:before="0" w:after="120" w:line="269" w:lineRule="auto"/>
      </w:pPr>
      <w:r>
        <w:t xml:space="preserve">The Superintendent, [Range], Sangareddy CGST Division, for information and for updating the refund register.</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for the drafting officer (delete before signing): worked example with hypothetical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879"/>
        <w:gridCol w:w="6604"/>
        <w:gridCol w:w="1155"/>
      </w:tblGrid>
      <w:tr>
        <w:trPr>
          <w:tblHeader w:val="true"/>
          <w:tblHeader/>
        </w:trPr>
        <w:tc>
          <w:tcPr>
            <w:tcW w:type="dxa" w:w="1879"/>
            <w:shd w:val="clear" w:color="auto" w:fill="DCE6F1"/>
          </w:tcPr>
          <w:p>
            <w:pPr>
              <w:pStyle w:val="Compact"/>
              <w:spacing w:before="0" w:after="0" w:line="240" w:lineRule="auto"/>
              <w:jc w:val="left"/>
            </w:pPr>
            <w:r>
              <w:rPr>
                <w:b/>
                <w:color w:val="1F3864"/>
                <w:sz w:val="21"/>
              </w:rPr>
              <w:t xml:space="preserve">Step</w:t>
            </w:r>
          </w:p>
        </w:tc>
        <w:tc>
          <w:tcPr>
            <w:tcW w:type="dxa" w:w="6604"/>
            <w:shd w:val="clear" w:color="auto" w:fill="DCE6F1"/>
          </w:tcPr>
          <w:p>
            <w:pPr>
              <w:pStyle w:val="Compact"/>
              <w:spacing w:before="0" w:after="0" w:line="240" w:lineRule="auto"/>
              <w:jc w:val="left"/>
            </w:pPr>
            <w:r>
              <w:rPr>
                <w:b/>
                <w:color w:val="1F3864"/>
                <w:sz w:val="21"/>
              </w:rPr>
              <w:t xml:space="preserve">Working</w:t>
            </w:r>
          </w:p>
        </w:tc>
        <w:tc>
          <w:tcPr>
            <w:tcW w:type="dxa" w:w="1155"/>
            <w:shd w:val="clear" w:color="auto" w:fill="DCE6F1"/>
          </w:tcPr>
          <w:p>
            <w:pPr>
              <w:pStyle w:val="Compact"/>
              <w:spacing w:before="0" w:after="0" w:line="240" w:lineRule="auto"/>
              <w:jc w:val="left"/>
            </w:pPr>
            <w:r>
              <w:rPr>
                <w:b/>
                <w:color w:val="1F3864"/>
                <w:sz w:val="21"/>
              </w:rPr>
              <w:t xml:space="preserve">Amount (₹)</w:t>
            </w:r>
          </w:p>
        </w:tc>
      </w:tr>
      <w:tr>
        <w:tc>
          <w:tcPr>
            <w:tcW w:type="dxa" w:w="1879"/>
          </w:tcPr>
          <w:p>
            <w:pPr>
              <w:pStyle w:val="Compact"/>
              <w:spacing w:before="0" w:after="0" w:line="240" w:lineRule="auto"/>
              <w:jc w:val="left"/>
            </w:pPr>
            <w:r>
              <w:rPr>
                <w:sz w:val="21"/>
              </w:rPr>
              <w:t xml:space="preserve">Net ITC (C)</w:t>
            </w:r>
          </w:p>
        </w:tc>
        <w:tc>
          <w:tcPr>
            <w:tcW w:type="dxa" w:w="6604"/>
          </w:tcPr>
          <w:p>
            <w:pPr>
              <w:pStyle w:val="Compact"/>
              <w:spacing w:before="0" w:after="0" w:line="240" w:lineRule="auto"/>
              <w:jc w:val="left"/>
            </w:pPr>
            <w:r>
              <w:rPr>
                <w:sz w:val="21"/>
              </w:rPr>
              <w:t xml:space="preserve">Inputs: ₹25,000 at 5% + ₹3,60,000 at 18%; capital goods ITC ₹1,00,000 kept out of C and D</w:t>
            </w:r>
          </w:p>
        </w:tc>
        <w:tc>
          <w:tcPr>
            <w:tcW w:type="dxa" w:w="1155"/>
          </w:tcPr>
          <w:p>
            <w:pPr>
              <w:pStyle w:val="Compact"/>
              <w:spacing w:before="0" w:after="0" w:line="240" w:lineRule="auto"/>
              <w:jc w:val="left"/>
            </w:pPr>
            <w:r>
              <w:rPr>
                <w:sz w:val="21"/>
              </w:rPr>
              <w:t xml:space="preserve">3,85,000</w:t>
            </w:r>
          </w:p>
        </w:tc>
      </w:tr>
      <w:tr>
        <w:tc>
          <w:tcPr>
            <w:tcW w:type="dxa" w:w="1879"/>
          </w:tcPr>
          <w:p>
            <w:pPr>
              <w:pStyle w:val="Compact"/>
              <w:spacing w:before="0" w:after="0" w:line="240" w:lineRule="auto"/>
              <w:jc w:val="left"/>
            </w:pPr>
            <w:r>
              <w:rPr>
                <w:sz w:val="21"/>
              </w:rPr>
              <w:t xml:space="preserve">ITC on inputs and input services (D)</w:t>
            </w:r>
          </w:p>
        </w:tc>
        <w:tc>
          <w:tcPr>
            <w:tcW w:type="dxa" w:w="6604"/>
          </w:tcPr>
          <w:p>
            <w:pPr>
              <w:pStyle w:val="Compact"/>
              <w:spacing w:before="0" w:after="0" w:line="240" w:lineRule="auto"/>
              <w:jc w:val="left"/>
            </w:pPr>
            <w:r>
              <w:rPr>
                <w:sz w:val="21"/>
              </w:rPr>
              <w:t xml:space="preserve">₹3,85,000 + input services ₹40,000</w:t>
            </w:r>
          </w:p>
        </w:tc>
        <w:tc>
          <w:tcPr>
            <w:tcW w:type="dxa" w:w="1155"/>
          </w:tcPr>
          <w:p>
            <w:pPr>
              <w:pStyle w:val="Compact"/>
              <w:spacing w:before="0" w:after="0" w:line="240" w:lineRule="auto"/>
              <w:jc w:val="left"/>
            </w:pPr>
            <w:r>
              <w:rPr>
                <w:sz w:val="21"/>
              </w:rPr>
              <w:t xml:space="preserve">4,25,000</w:t>
            </w:r>
          </w:p>
        </w:tc>
      </w:tr>
      <w:tr>
        <w:tc>
          <w:tcPr>
            <w:tcW w:type="dxa" w:w="1879"/>
          </w:tcPr>
          <w:p>
            <w:pPr>
              <w:pStyle w:val="Compact"/>
              <w:spacing w:before="0" w:after="0" w:line="240" w:lineRule="auto"/>
              <w:jc w:val="left"/>
            </w:pPr>
            <w:r>
              <w:rPr>
                <w:sz w:val="21"/>
              </w:rPr>
              <w:t xml:space="preserve">Turnover (A) = Adjusted Total Turnover (B)</w:t>
            </w:r>
          </w:p>
        </w:tc>
        <w:tc>
          <w:tcPr>
            <w:tcW w:type="dxa" w:w="6604"/>
          </w:tcPr>
          <w:p>
            <w:pPr>
              <w:pStyle w:val="Compact"/>
              <w:spacing w:before="0" w:after="0" w:line="240" w:lineRule="auto"/>
              <w:jc w:val="left"/>
            </w:pPr>
            <w:r>
              <w:rPr>
                <w:sz w:val="21"/>
              </w:rPr>
              <w:t xml:space="preserve">Output at 12%; exempt supplies of ₹2,00,000 kept out</w:t>
            </w:r>
          </w:p>
        </w:tc>
        <w:tc>
          <w:tcPr>
            <w:tcW w:type="dxa" w:w="1155"/>
          </w:tcPr>
          <w:p>
            <w:pPr>
              <w:pStyle w:val="Compact"/>
              <w:spacing w:before="0" w:after="0" w:line="240" w:lineRule="auto"/>
              <w:jc w:val="left"/>
            </w:pPr>
            <w:r>
              <w:rPr>
                <w:sz w:val="21"/>
              </w:rPr>
              <w:t xml:space="preserve">30,00,000</w:t>
            </w:r>
          </w:p>
        </w:tc>
      </w:tr>
      <w:tr>
        <w:tc>
          <w:tcPr>
            <w:tcW w:type="dxa" w:w="1879"/>
          </w:tcPr>
          <w:p>
            <w:pPr>
              <w:pStyle w:val="Compact"/>
              <w:spacing w:before="0" w:after="0" w:line="240" w:lineRule="auto"/>
              <w:jc w:val="left"/>
            </w:pPr>
            <w:r>
              <w:rPr>
                <w:sz w:val="21"/>
              </w:rPr>
              <w:t xml:space="preserve">(i)</w:t>
            </w:r>
          </w:p>
        </w:tc>
        <w:tc>
          <w:tcPr>
            <w:tcW w:type="dxa" w:w="6604"/>
          </w:tcPr>
          <w:p>
            <w:pPr>
              <w:pStyle w:val="Compact"/>
              <w:spacing w:before="0" w:after="0" w:line="240" w:lineRule="auto"/>
              <w:jc w:val="left"/>
            </w:pPr>
            <w:r>
              <w:rPr>
                <w:sz w:val="21"/>
              </w:rPr>
              <w:t xml:space="preserve">A × C ÷ B = 30,00,000 × 3,85,000 ÷ 30,00,000</w:t>
            </w:r>
          </w:p>
        </w:tc>
        <w:tc>
          <w:tcPr>
            <w:tcW w:type="dxa" w:w="1155"/>
          </w:tcPr>
          <w:p>
            <w:pPr>
              <w:pStyle w:val="Compact"/>
              <w:spacing w:before="0" w:after="0" w:line="240" w:lineRule="auto"/>
              <w:jc w:val="left"/>
            </w:pPr>
            <w:r>
              <w:rPr>
                <w:sz w:val="21"/>
              </w:rPr>
              <w:t xml:space="preserve">3,85,000</w:t>
            </w:r>
          </w:p>
        </w:tc>
      </w:tr>
      <w:tr>
        <w:tc>
          <w:tcPr>
            <w:tcW w:type="dxa" w:w="1879"/>
          </w:tcPr>
          <w:p>
            <w:pPr>
              <w:pStyle w:val="Compact"/>
              <w:spacing w:before="0" w:after="0" w:line="240" w:lineRule="auto"/>
              <w:jc w:val="left"/>
            </w:pPr>
            <w:r>
              <w:rPr>
                <w:sz w:val="21"/>
              </w:rPr>
              <w:t xml:space="preserve">(iii)</w:t>
            </w:r>
          </w:p>
        </w:tc>
        <w:tc>
          <w:tcPr>
            <w:tcW w:type="dxa" w:w="6604"/>
          </w:tcPr>
          <w:p>
            <w:pPr>
              <w:pStyle w:val="Compact"/>
              <w:spacing w:before="0" w:after="0" w:line="240" w:lineRule="auto"/>
              <w:jc w:val="left"/>
            </w:pPr>
            <w:r>
              <w:rPr>
                <w:sz w:val="21"/>
              </w:rPr>
              <w:t xml:space="preserve">E × C ÷ D = 3,60,000 × 3,85,000 ÷ 4,25,000 = 3,26,117.65 (ratio not rounded)</w:t>
            </w:r>
          </w:p>
        </w:tc>
        <w:tc>
          <w:tcPr>
            <w:tcW w:type="dxa" w:w="1155"/>
          </w:tcPr>
          <w:p>
            <w:pPr>
              <w:pStyle w:val="Compact"/>
              <w:spacing w:before="0" w:after="0" w:line="240" w:lineRule="auto"/>
              <w:jc w:val="left"/>
            </w:pPr>
            <w:r>
              <w:rPr>
                <w:sz w:val="21"/>
              </w:rPr>
              <w:t xml:space="preserve">3,26,117.65</w:t>
            </w:r>
          </w:p>
        </w:tc>
      </w:tr>
      <w:tr>
        <w:tc>
          <w:tcPr>
            <w:tcW w:type="dxa" w:w="1879"/>
          </w:tcPr>
          <w:p>
            <w:pPr>
              <w:pStyle w:val="Compact"/>
              <w:spacing w:before="0" w:after="0" w:line="240" w:lineRule="auto"/>
              <w:jc w:val="left"/>
            </w:pPr>
            <w:r>
              <w:rPr>
                <w:sz w:val="21"/>
              </w:rPr>
              <w:t xml:space="preserve">(iv) Maximum refund</w:t>
            </w:r>
          </w:p>
        </w:tc>
        <w:tc>
          <w:tcPr>
            <w:tcW w:type="dxa" w:w="6604"/>
          </w:tcPr>
          <w:p>
            <w:pPr>
              <w:pStyle w:val="Compact"/>
              <w:spacing w:before="0" w:after="0" w:line="240" w:lineRule="auto"/>
              <w:jc w:val="left"/>
            </w:pPr>
            <w:r>
              <w:rPr>
                <w:sz w:val="21"/>
              </w:rPr>
              <w:t xml:space="preserve">(i) − (iii), rounded (rounding the ratio to 0.9059 would give 58,876, ₹6 short)</w:t>
            </w:r>
          </w:p>
        </w:tc>
        <w:tc>
          <w:tcPr>
            <w:tcW w:type="dxa" w:w="1155"/>
          </w:tcPr>
          <w:p>
            <w:pPr>
              <w:pStyle w:val="Compact"/>
              <w:spacing w:before="0" w:after="0" w:line="240" w:lineRule="auto"/>
              <w:jc w:val="left"/>
            </w:pPr>
            <w:r>
              <w:rPr>
                <w:sz w:val="21"/>
              </w:rPr>
              <w:t xml:space="preserve">58,882</w:t>
            </w:r>
          </w:p>
        </w:tc>
      </w:tr>
      <w:tr>
        <w:tc>
          <w:tcPr>
            <w:tcW w:type="dxa" w:w="1879"/>
          </w:tcPr>
          <w:p>
            <w:pPr>
              <w:pStyle w:val="Compact"/>
              <w:spacing w:before="0" w:after="0" w:line="240" w:lineRule="auto"/>
              <w:jc w:val="left"/>
            </w:pPr>
            <w:r>
              <w:rPr>
                <w:sz w:val="21"/>
              </w:rPr>
              <w:t xml:space="preserve">(vii) Admissible</w:t>
            </w:r>
          </w:p>
        </w:tc>
        <w:tc>
          <w:tcPr>
            <w:tcW w:type="dxa" w:w="6604"/>
          </w:tcPr>
          <w:p>
            <w:pPr>
              <w:pStyle w:val="Compact"/>
              <w:spacing w:before="0" w:after="0" w:line="240" w:lineRule="auto"/>
              <w:jc w:val="left"/>
            </w:pPr>
            <w:r>
              <w:rPr>
                <w:sz w:val="21"/>
              </w:rPr>
              <w:t xml:space="preserve">Least of 58,882, ledger at end of period 70,000 and at filing 65,000 (claimed 65,000)</w:t>
            </w:r>
          </w:p>
        </w:tc>
        <w:tc>
          <w:tcPr>
            <w:tcW w:type="dxa" w:w="1155"/>
          </w:tcPr>
          <w:p>
            <w:pPr>
              <w:pStyle w:val="Compact"/>
              <w:spacing w:before="0" w:after="0" w:line="240" w:lineRule="auto"/>
              <w:jc w:val="left"/>
            </w:pPr>
            <w:r>
              <w:rPr>
                <w:sz w:val="21"/>
              </w:rPr>
              <w:t xml:space="preserve">58,882</w:t>
            </w:r>
          </w:p>
        </w:tc>
      </w:tr>
      <w:tr>
        <w:tc>
          <w:tcPr>
            <w:tcW w:type="dxa" w:w="1879"/>
          </w:tcPr>
          <w:p>
            <w:pPr>
              <w:pStyle w:val="Compact"/>
              <w:spacing w:before="0" w:after="0" w:line="240" w:lineRule="auto"/>
              <w:jc w:val="left"/>
            </w:pPr>
            <w:r>
              <w:rPr>
                <w:sz w:val="21"/>
              </w:rPr>
              <w:t xml:space="preserve">Head-wise (para 37 of Circular 125)</w:t>
            </w:r>
          </w:p>
        </w:tc>
        <w:tc>
          <w:tcPr>
            <w:tcW w:type="dxa" w:w="6604"/>
          </w:tcPr>
          <w:p>
            <w:pPr>
              <w:pStyle w:val="Compact"/>
              <w:spacing w:before="0" w:after="0" w:line="240" w:lineRule="auto"/>
              <w:jc w:val="left"/>
            </w:pPr>
            <w:r>
              <w:rPr>
                <w:sz w:val="21"/>
              </w:rPr>
              <w:t xml:space="preserve">Debited IGST 15,000, CGST 25,000, SGST 25,000: admissible IGST 15,000, CGST 21,941, SGST 21,941</w:t>
            </w:r>
          </w:p>
        </w:tc>
        <w:tc>
          <w:tcPr>
            <w:tcW w:type="dxa" w:w="1155"/>
          </w:tcPr>
          <w:p>
            <w:pPr>
              <w:pStyle w:val="Compact"/>
              <w:spacing w:before="0" w:after="0" w:line="240" w:lineRule="auto"/>
              <w:jc w:val="left"/>
            </w:pPr>
            <w:r>
              <w:rPr>
                <w:sz w:val="21"/>
              </w:rPr>
              <w:t xml:space="preserve">58,882</w:t>
            </w:r>
          </w:p>
        </w:tc>
      </w:tr>
      <w:tr>
        <w:tc>
          <w:tcPr>
            <w:tcW w:type="dxa" w:w="1879"/>
          </w:tcPr>
          <w:p>
            <w:pPr>
              <w:pStyle w:val="Compact"/>
              <w:spacing w:before="0" w:after="0" w:line="240" w:lineRule="auto"/>
              <w:jc w:val="left"/>
            </w:pPr>
            <w:r>
              <w:rPr>
                <w:sz w:val="21"/>
              </w:rPr>
              <w:t xml:space="preserve">Rejected</w:t>
            </w:r>
          </w:p>
        </w:tc>
        <w:tc>
          <w:tcPr>
            <w:tcW w:type="dxa" w:w="6604"/>
          </w:tcPr>
          <w:p>
            <w:pPr>
              <w:pStyle w:val="Compact"/>
              <w:spacing w:before="0" w:after="0" w:line="240" w:lineRule="auto"/>
              <w:jc w:val="left"/>
            </w:pPr>
            <w:r>
              <w:rPr>
                <w:sz w:val="21"/>
              </w:rPr>
              <w:t xml:space="preserve">CGST 3,059 + SGST 3,059, re-credited by PMT-03 after the undertaking</w:t>
            </w:r>
          </w:p>
        </w:tc>
        <w:tc>
          <w:tcPr>
            <w:tcW w:type="dxa" w:w="1155"/>
          </w:tcPr>
          <w:p>
            <w:pPr>
              <w:pStyle w:val="Compact"/>
              <w:spacing w:before="0" w:after="0" w:line="240" w:lineRule="auto"/>
              <w:jc w:val="left"/>
            </w:pPr>
            <w:r>
              <w:rPr>
                <w:sz w:val="21"/>
              </w:rPr>
              <w:t xml:space="preserve">6,118</w:t>
            </w:r>
          </w:p>
        </w:tc>
      </w:tr>
    </w:tbl>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the order is signed. Do not leave any bracket, blank date or drafting note in the issued order.</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T1: Refund of unutilised ITC on account of inverted duty structure</dc:title>
  <dc:creator>Sangareddy CGST Division</dc:creator>
  <cp:keywords/>
  <dcterms:created xsi:type="dcterms:W3CDTF">2026-10-12T14:52:38Z</dcterms:created>
  <dcterms:modified xsi:type="dcterms:W3CDTF">2026-10-12T14:52:38Z</dcterms:modified>
</cp:coreProperties>
</file>

<file path=docProps/custom.xml><?xml version="1.0" encoding="utf-8"?>
<Properties xmlns="http://schemas.openxmlformats.org/officeDocument/2006/custom-properties" xmlns:vt="http://schemas.openxmlformats.org/officeDocument/2006/docPropsVTypes"/>
</file>