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BodyText"/>
        <w:spacing w:before="80" w:after="200" w:line="264" w:lineRule="auto"/>
        <w:jc w:val="center"/>
        <w:pBdr>
          <w:top w:val="single" w:sz="8" w:space="4" w:color="1F3864"/>
          <w:left w:val="single" w:sz="8" w:space="4" w:color="1F3864"/>
          <w:bottom w:val="single" w:sz="8" w:space="4" w:color="1F3864"/>
          <w:right w:val="single" w:sz="8" w:space="4" w:color="1F3864"/>
        </w:pBdr>
        <w:shd w:val="clear" w:color="auto" w:fill="EEF2F8"/>
      </w:pPr>
      <w:r>
        <w:rPr>
          <w:bCs/>
          <w:b/>
          <w:color w:val="1F3864"/>
        </w:rPr>
        <w:t xml:space="preserve">FORM GST RFD-06 [See rules 92(1), 92(3), 92(4), 92(5) and 96(7)]</w:t>
      </w:r>
      <w:r>
        <w:rPr>
          <w:color w:val="1F3864"/>
        </w:rPr>
        <w:br/>
      </w:r>
      <w:r>
        <w:rPr>
          <w:bCs/>
          <w:b/>
          <w:color w:val="1F3864"/>
        </w:rPr>
        <w:t xml:space="preserve">SPEAKING ORDER ANNEXED TO THE REFUND SANCTION / REJECTION ORDER</w:t>
      </w:r>
      <w:r>
        <w:rPr>
          <w:color w:val="1F3864"/>
        </w:rPr>
        <w:br/>
      </w:r>
      <w:r>
        <w:rPr>
          <w:bCs/>
          <w:b/>
          <w:color w:val="1F3864"/>
        </w:rPr>
        <w:t xml:space="preserve">REFUND OF UNUTILISED INPUT TAX CREDIT ON EXPORT OF GOODS WITHOUT PAYMENT OF TAX UNDER LETTER OF UNDERTAKING [SECTION 54(3)(i) OF THE CGST ACT READ WITH SECTION 16(3) OF THE IGST ACT]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471"/>
        <w:gridCol w:w="7167"/>
      </w:tblGrid>
      <w:tr>
        <w:trPr>
          <w:tblHeader w:val="true"/>
          <w:tblHeader/>
        </w:trPr>
        <w:tc>
          <w:tcPr>
            <w:tcW w:type="dxa" w:w="2471"/>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167"/>
            <w:shd w:val="clear" w:color="auto" w:fill="DCE6F1"/>
          </w:tcPr>
          <w:p>
            <w:pPr>
              <w:pStyle w:val="Compact"/>
              <w:spacing w:before="0" w:after="0" w:line="240" w:lineRule="auto"/>
              <w:jc w:val="left"/>
            </w:pPr>
            <w:r>
              <w:rPr>
                <w:b/>
                <w:color w:val="1F3864"/>
                <w:sz w:val="21"/>
              </w:rPr>
              <w:t xml:space="preserve">Details</w:t>
            </w:r>
          </w:p>
        </w:tc>
      </w:tr>
      <w:tr>
        <w:tc>
          <w:tcPr>
            <w:tcW w:type="dxa" w:w="2471"/>
            <w:shd w:val="clear" w:color="auto" w:fill="F5F8FC"/>
          </w:tcPr>
          <w:p>
            <w:pPr>
              <w:pStyle w:val="Compact"/>
              <w:spacing w:before="0" w:after="0" w:line="240" w:lineRule="auto"/>
              <w:jc w:val="left"/>
            </w:pPr>
            <w:r>
              <w:rPr>
                <w:b/>
                <w:sz w:val="21"/>
              </w:rPr>
              <w:t xml:space="preserve">Order No. and date</w:t>
            </w:r>
          </w:p>
        </w:tc>
        <w:tc>
          <w:tcPr>
            <w:tcW w:type="dxa" w:w="7167"/>
          </w:tcPr>
          <w:p>
            <w:pPr>
              <w:pStyle w:val="Compact"/>
              <w:spacing w:before="0" w:after="0" w:line="240" w:lineRule="auto"/>
              <w:jc w:val="left"/>
            </w:pPr>
            <w:r>
              <w:rPr>
                <w:sz w:val="21"/>
              </w:rPr>
              <w:t xml:space="preserve">[Order No.] dated [DD.MM.YYYY]</w:t>
            </w:r>
          </w:p>
        </w:tc>
      </w:tr>
      <w:tr>
        <w:tc>
          <w:tcPr>
            <w:tcW w:type="dxa" w:w="2471"/>
            <w:shd w:val="clear" w:color="auto" w:fill="F5F8FC"/>
          </w:tcPr>
          <w:p>
            <w:pPr>
              <w:pStyle w:val="Compact"/>
              <w:spacing w:before="0" w:after="0" w:line="240" w:lineRule="auto"/>
              <w:jc w:val="left"/>
            </w:pPr>
            <w:r>
              <w:rPr>
                <w:b/>
                <w:sz w:val="21"/>
              </w:rPr>
              <w:t xml:space="preserve">Reference No. (RFN) / DIN</w:t>
            </w:r>
          </w:p>
        </w:tc>
        <w:tc>
          <w:tcPr>
            <w:tcW w:type="dxa" w:w="7167"/>
          </w:tcPr>
          <w:p>
            <w:pPr>
              <w:pStyle w:val="Compact"/>
              <w:spacing w:before="0" w:after="0" w:line="240" w:lineRule="auto"/>
              <w:jc w:val="left"/>
            </w:pPr>
            <w:r>
              <w:rPr>
                <w:sz w:val="21"/>
              </w:rPr>
              <w:t xml:space="preserve">RFN [ ] generated on the common portal. [A DIN is not required on a communication served through the portal that bears an RFN (Circular No. 249/06/2025-GST); quote a DIN on any copy sent outside the portal, such as by e-mail.]</w:t>
            </w:r>
          </w:p>
        </w:tc>
      </w:tr>
      <w:tr>
        <w:tc>
          <w:tcPr>
            <w:tcW w:type="dxa" w:w="2471"/>
            <w:shd w:val="clear" w:color="auto" w:fill="F5F8FC"/>
          </w:tcPr>
          <w:p>
            <w:pPr>
              <w:pStyle w:val="Compact"/>
              <w:spacing w:before="0" w:after="0" w:line="240" w:lineRule="auto"/>
              <w:jc w:val="left"/>
            </w:pPr>
            <w:r>
              <w:rPr>
                <w:b/>
                <w:sz w:val="21"/>
              </w:rPr>
              <w:t xml:space="preserve">Name and address of the applicant</w:t>
            </w:r>
          </w:p>
        </w:tc>
        <w:tc>
          <w:tcPr>
            <w:tcW w:type="dxa" w:w="7167"/>
          </w:tcPr>
          <w:p>
            <w:pPr>
              <w:pStyle w:val="Compact"/>
              <w:spacing w:before="0" w:after="0" w:line="240" w:lineRule="auto"/>
              <w:jc w:val="left"/>
            </w:pPr>
            <w:r>
              <w:rPr>
                <w:sz w:val="21"/>
              </w:rPr>
              <w:t xml:space="preserve">[Legal name] ([trade name]), [principal place of business]</w:t>
            </w:r>
          </w:p>
        </w:tc>
      </w:tr>
      <w:tr>
        <w:tc>
          <w:tcPr>
            <w:tcW w:type="dxa" w:w="2471"/>
            <w:shd w:val="clear" w:color="auto" w:fill="F5F8FC"/>
          </w:tcPr>
          <w:p>
            <w:pPr>
              <w:pStyle w:val="Compact"/>
              <w:spacing w:before="0" w:after="0" w:line="240" w:lineRule="auto"/>
              <w:jc w:val="left"/>
            </w:pPr>
            <w:r>
              <w:rPr>
                <w:b/>
                <w:sz w:val="21"/>
              </w:rPr>
              <w:t xml:space="preserve">GSTIN</w:t>
            </w:r>
          </w:p>
        </w:tc>
        <w:tc>
          <w:tcPr>
            <w:tcW w:type="dxa" w:w="7167"/>
          </w:tcPr>
          <w:p>
            <w:pPr>
              <w:pStyle w:val="Compact"/>
              <w:spacing w:before="0" w:after="0" w:line="240" w:lineRule="auto"/>
              <w:jc w:val="left"/>
            </w:pPr>
            <w:r>
              <w:rPr>
                <w:sz w:val="21"/>
              </w:rPr>
              <w:t xml:space="preserve">[GSTIN]</w:t>
            </w:r>
          </w:p>
        </w:tc>
      </w:tr>
      <w:tr>
        <w:tc>
          <w:tcPr>
            <w:tcW w:type="dxa" w:w="2471"/>
            <w:shd w:val="clear" w:color="auto" w:fill="F5F8FC"/>
          </w:tcPr>
          <w:p>
            <w:pPr>
              <w:pStyle w:val="Compact"/>
              <w:spacing w:before="0" w:after="0" w:line="240" w:lineRule="auto"/>
              <w:jc w:val="left"/>
            </w:pPr>
            <w:r>
              <w:rPr>
                <w:b/>
                <w:sz w:val="21"/>
              </w:rPr>
              <w:t xml:space="preserve">Refund category as selected in RFD-01</w:t>
            </w:r>
          </w:p>
        </w:tc>
        <w:tc>
          <w:tcPr>
            <w:tcW w:type="dxa" w:w="7167"/>
          </w:tcPr>
          <w:p>
            <w:pPr>
              <w:pStyle w:val="Compact"/>
              <w:spacing w:before="0" w:after="0" w:line="240" w:lineRule="auto"/>
              <w:jc w:val="left"/>
            </w:pPr>
            <w:r>
              <w:rPr>
                <w:sz w:val="21"/>
              </w:rPr>
              <w:t xml:space="preserve">Export of goods / services without payment of tax (accumulated ITC)</w:t>
            </w:r>
          </w:p>
        </w:tc>
      </w:tr>
      <w:tr>
        <w:tc>
          <w:tcPr>
            <w:tcW w:type="dxa" w:w="2471"/>
            <w:shd w:val="clear" w:color="auto" w:fill="F5F8FC"/>
          </w:tcPr>
          <w:p>
            <w:pPr>
              <w:pStyle w:val="Compact"/>
              <w:spacing w:before="0" w:after="0" w:line="240" w:lineRule="auto"/>
              <w:jc w:val="left"/>
            </w:pPr>
            <w:r>
              <w:rPr>
                <w:b/>
                <w:sz w:val="21"/>
              </w:rPr>
              <w:t xml:space="preserve">Tax period(s)</w:t>
            </w:r>
          </w:p>
        </w:tc>
        <w:tc>
          <w:tcPr>
            <w:tcW w:type="dxa" w:w="7167"/>
          </w:tcPr>
          <w:p>
            <w:pPr>
              <w:pStyle w:val="Compact"/>
              <w:spacing w:before="0" w:after="0" w:line="240" w:lineRule="auto"/>
              <w:jc w:val="left"/>
            </w:pPr>
            <w:r>
              <w:rPr>
                <w:sz w:val="21"/>
              </w:rPr>
              <w:t xml:space="preserve">[Month YYYY] to [Month YYYY]</w:t>
            </w:r>
          </w:p>
        </w:tc>
      </w:tr>
      <w:tr>
        <w:tc>
          <w:tcPr>
            <w:tcW w:type="dxa" w:w="2471"/>
            <w:shd w:val="clear" w:color="auto" w:fill="F5F8FC"/>
          </w:tcPr>
          <w:p>
            <w:pPr>
              <w:pStyle w:val="Compact"/>
              <w:spacing w:before="0" w:after="0" w:line="240" w:lineRule="auto"/>
              <w:jc w:val="left"/>
            </w:pPr>
            <w:r>
              <w:rPr>
                <w:b/>
                <w:sz w:val="21"/>
              </w:rPr>
              <w:t xml:space="preserve">ARN and date of filing of RFD-01</w:t>
            </w:r>
          </w:p>
        </w:tc>
        <w:tc>
          <w:tcPr>
            <w:tcW w:type="dxa" w:w="7167"/>
          </w:tcPr>
          <w:p>
            <w:pPr>
              <w:pStyle w:val="Compact"/>
              <w:spacing w:before="0" w:after="0" w:line="240" w:lineRule="auto"/>
              <w:jc w:val="left"/>
            </w:pPr>
            <w:r>
              <w:rPr>
                <w:sz w:val="21"/>
              </w:rPr>
              <w:t xml:space="preserve">[ARN] dated [DD.MM.YYYY]</w:t>
            </w:r>
          </w:p>
        </w:tc>
      </w:tr>
      <w:tr>
        <w:tc>
          <w:tcPr>
            <w:tcW w:type="dxa" w:w="2471"/>
            <w:shd w:val="clear" w:color="auto" w:fill="F5F8FC"/>
          </w:tcPr>
          <w:p>
            <w:pPr>
              <w:pStyle w:val="Compact"/>
              <w:spacing w:before="0" w:after="0" w:line="240" w:lineRule="auto"/>
              <w:jc w:val="left"/>
            </w:pPr>
            <w:r>
              <w:rPr>
                <w:b/>
                <w:sz w:val="21"/>
              </w:rPr>
              <w:t xml:space="preserve">Acknowledgement (RFD-02)</w:t>
            </w:r>
          </w:p>
        </w:tc>
        <w:tc>
          <w:tcPr>
            <w:tcW w:type="dxa" w:w="7167"/>
          </w:tcPr>
          <w:p>
            <w:pPr>
              <w:pStyle w:val="Compact"/>
              <w:spacing w:before="0" w:after="0" w:line="240" w:lineRule="auto"/>
              <w:jc w:val="left"/>
            </w:pPr>
            <w:r>
              <w:rPr>
                <w:sz w:val="21"/>
              </w:rPr>
              <w:t xml:space="preserve">Issued on [DD.MM.YYYY] [Option: after deficiency memo RFD-03 dated [DD.MM.YYYY] on the earlier ARN [ARN] dated [DD.MM.YYYY]]</w:t>
            </w:r>
          </w:p>
        </w:tc>
      </w:tr>
      <w:tr>
        <w:tc>
          <w:tcPr>
            <w:tcW w:type="dxa" w:w="2471"/>
            <w:shd w:val="clear" w:color="auto" w:fill="F5F8FC"/>
          </w:tcPr>
          <w:p>
            <w:pPr>
              <w:pStyle w:val="Compact"/>
              <w:spacing w:before="0" w:after="0" w:line="240" w:lineRule="auto"/>
              <w:jc w:val="left"/>
            </w:pPr>
            <w:r>
              <w:rPr>
                <w:b/>
                <w:sz w:val="21"/>
              </w:rPr>
              <w:t xml:space="preserve">Date of receipt of the application for section 54(7) and section 56</w:t>
            </w:r>
          </w:p>
        </w:tc>
        <w:tc>
          <w:tcPr>
            <w:tcW w:type="dxa" w:w="7167"/>
          </w:tcPr>
          <w:p>
            <w:pPr>
              <w:pStyle w:val="Compact"/>
              <w:spacing w:before="0" w:after="0" w:line="240" w:lineRule="auto"/>
              <w:jc w:val="left"/>
            </w:pPr>
            <w:r>
              <w:rPr>
                <w:sz w:val="21"/>
              </w:rPr>
              <w:t xml:space="preserve">[DD.MM.YYYY], the date of filing (ARN), as indicated in RFD-02 (rule 90(2)); sixty days end on [DD.MM.YYYY]</w:t>
            </w:r>
          </w:p>
        </w:tc>
      </w:tr>
      <w:tr>
        <w:tc>
          <w:tcPr>
            <w:tcW w:type="dxa" w:w="2471"/>
            <w:shd w:val="clear" w:color="auto" w:fill="F5F8FC"/>
          </w:tcPr>
          <w:p>
            <w:pPr>
              <w:pStyle w:val="Compact"/>
              <w:spacing w:before="0" w:after="0" w:line="240" w:lineRule="auto"/>
              <w:jc w:val="left"/>
            </w:pPr>
            <w:r>
              <w:rPr>
                <w:b/>
                <w:sz w:val="21"/>
              </w:rPr>
              <w:t xml:space="preserve">Provisional refund (RFD-04)</w:t>
            </w:r>
          </w:p>
        </w:tc>
        <w:tc>
          <w:tcPr>
            <w:tcW w:type="dxa" w:w="7167"/>
          </w:tcPr>
          <w:p>
            <w:pPr>
              <w:pStyle w:val="Compact"/>
              <w:spacing w:before="0" w:after="0" w:line="240" w:lineRule="auto"/>
              <w:jc w:val="left"/>
            </w:pPr>
            <w:r>
              <w:rPr>
                <w:sz w:val="21"/>
              </w:rPr>
              <w:t xml:space="preserve">[RFD-04 No. [ ] dated [DD.MM.YYYY] for ₹[ ]] / [Not granted, reasons in para 5]</w:t>
            </w:r>
          </w:p>
        </w:tc>
      </w:tr>
      <w:tr>
        <w:tc>
          <w:tcPr>
            <w:tcW w:type="dxa" w:w="2471"/>
            <w:shd w:val="clear" w:color="auto" w:fill="F5F8FC"/>
          </w:tcPr>
          <w:p>
            <w:pPr>
              <w:pStyle w:val="Compact"/>
              <w:spacing w:before="0" w:after="0" w:line="240" w:lineRule="auto"/>
              <w:jc w:val="left"/>
            </w:pPr>
            <w:r>
              <w:rPr>
                <w:b/>
                <w:sz w:val="21"/>
              </w:rPr>
              <w:t xml:space="preserve">Notice (RFD-08) and reply (RFD-09)</w:t>
            </w:r>
          </w:p>
        </w:tc>
        <w:tc>
          <w:tcPr>
            <w:tcW w:type="dxa" w:w="7167"/>
          </w:tcPr>
          <w:p>
            <w:pPr>
              <w:pStyle w:val="Compact"/>
              <w:spacing w:before="0" w:after="0" w:line="240" w:lineRule="auto"/>
              <w:jc w:val="left"/>
            </w:pPr>
            <w:r>
              <w:rPr>
                <w:sz w:val="21"/>
              </w:rPr>
              <w:t xml:space="preserve">[RFD-08 No. [ ] dated [DD.MM.YYYY]; reply dated [DD.MM.YYYY]] / [Not issued, as the claim is sanctioned in full]</w:t>
            </w:r>
          </w:p>
        </w:tc>
      </w:tr>
      <w:tr>
        <w:tc>
          <w:tcPr>
            <w:tcW w:type="dxa" w:w="2471"/>
            <w:shd w:val="clear" w:color="auto" w:fill="F5F8FC"/>
          </w:tcPr>
          <w:p>
            <w:pPr>
              <w:pStyle w:val="Compact"/>
              <w:spacing w:before="0" w:after="0" w:line="240" w:lineRule="auto"/>
              <w:jc w:val="left"/>
            </w:pPr>
            <w:r>
              <w:rPr>
                <w:b/>
                <w:sz w:val="21"/>
              </w:rPr>
              <w:t xml:space="preserve">Personal hearing</w:t>
            </w:r>
          </w:p>
        </w:tc>
        <w:tc>
          <w:tcPr>
            <w:tcW w:type="dxa" w:w="7167"/>
          </w:tcPr>
          <w:p>
            <w:pPr>
              <w:pStyle w:val="Compact"/>
              <w:spacing w:before="0" w:after="0" w:line="240" w:lineRule="auto"/>
              <w:jc w:val="left"/>
            </w:pPr>
            <w:r>
              <w:rPr>
                <w:sz w:val="21"/>
              </w:rPr>
              <w:t xml:space="preserve">[DD.MM.YYYY], attended by [designation of the authorised representative] / [Not required, as the claim is sanctioned in full]</w:t>
            </w:r>
          </w:p>
        </w:tc>
      </w:tr>
      <w:tr>
        <w:tc>
          <w:tcPr>
            <w:tcW w:type="dxa" w:w="2471"/>
            <w:shd w:val="clear" w:color="auto" w:fill="F5F8FC"/>
          </w:tcPr>
          <w:p>
            <w:pPr>
              <w:pStyle w:val="Compact"/>
              <w:spacing w:before="0" w:after="0" w:line="240" w:lineRule="auto"/>
              <w:jc w:val="left"/>
            </w:pPr>
            <w:r>
              <w:rPr>
                <w:b/>
                <w:sz w:val="21"/>
              </w:rPr>
              <w:t xml:space="preserve">Amount claimed</w:t>
            </w:r>
          </w:p>
        </w:tc>
        <w:tc>
          <w:tcPr>
            <w:tcW w:type="dxa" w:w="7167"/>
          </w:tcPr>
          <w:p>
            <w:pPr>
              <w:pStyle w:val="Compact"/>
              <w:spacing w:before="0" w:after="0" w:line="240" w:lineRule="auto"/>
              <w:jc w:val="left"/>
            </w:pPr>
            <w:r>
              <w:rPr>
                <w:sz w:val="21"/>
              </w:rPr>
              <w:t xml:space="preserve">IGST ₹[ ]; CGST ₹[ ]; SGST/UTGST ₹[ ]; Cess ₹[ ]; Total ₹[ ]</w:t>
            </w:r>
          </w:p>
        </w:tc>
      </w:tr>
      <w:tr>
        <w:tc>
          <w:tcPr>
            <w:tcW w:type="dxa" w:w="2471"/>
            <w:shd w:val="clear" w:color="auto" w:fill="F5F8FC"/>
          </w:tcPr>
          <w:p>
            <w:pPr>
              <w:pStyle w:val="Compact"/>
              <w:spacing w:before="0" w:after="0" w:line="240" w:lineRule="auto"/>
              <w:jc w:val="left"/>
            </w:pPr>
            <w:r>
              <w:rPr>
                <w:b/>
                <w:sz w:val="21"/>
              </w:rPr>
              <w:t xml:space="preserve">Result</w:t>
            </w:r>
          </w:p>
        </w:tc>
        <w:tc>
          <w:tcPr>
            <w:tcW w:type="dxa" w:w="7167"/>
          </w:tcPr>
          <w:p>
            <w:pPr>
              <w:pStyle w:val="Compact"/>
              <w:spacing w:before="0" w:after="0" w:line="240" w:lineRule="auto"/>
              <w:jc w:val="left"/>
            </w:pPr>
            <w:r>
              <w:rPr>
                <w:sz w:val="21"/>
              </w:rPr>
              <w:t xml:space="preserve">Sanctioned ₹[ ]; Rejected ₹[ ]; Adjusted against dues / withheld ₹[ ] (head-wise details in para 11)</w:t>
            </w:r>
          </w:p>
        </w:tc>
      </w:tr>
    </w:tbl>
    <w:p>
      <w:pPr>
        <w:pStyle w:val="BodyText"/>
        <w:keepNext/>
        <w:spacing w:before="240" w:after="80"/>
        <w:jc w:val="center"/>
        <w:pBdr>
          <w:bottom w:val="single" w:sz="6" w:space="1" w:color="B4C6E7"/>
        </w:pBdr>
      </w:pPr>
      <w:r>
        <w:rPr>
          <w:bCs/>
          <w:b/>
          <w:color w:val="1F3864"/>
          <w:sz w:val="25"/>
        </w:rPr>
        <w:t xml:space="preserve">IMPORTANT NOTE FOR THE APPLICANT</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to be filed</w:t>
      </w:r>
      <w:r>
        <w:t xml:space="preserve"> </w:t>
      </w:r>
      <w:r>
        <w:rPr>
          <w:bCs/>
          <w:b/>
        </w:rPr>
        <w:t xml:space="preserve">electronically in FORM GST APL-01 on the common portal</w:t>
      </w:r>
      <w:r>
        <w:t xml:space="preserve">, with the documents uploaded there (rule 108). No court fee stamp is required. As this order is available on the common portal, no copy of it need be filed; if it is not available there, a self-certified copy is to be submitted within seven days of filing APL-01, failing which the appeal is treated as filed on the date the copy is submitted (rule 108(3)).</w:t>
      </w:r>
    </w:p>
    <w:p>
      <w:pPr>
        <w:numPr>
          <w:ilvl w:val="0"/>
          <w:numId w:val="1001"/>
        </w:numPr>
        <w:pStyle w:val="Compact"/>
        <w:spacing w:before="0" w:after="120" w:line="269" w:lineRule="auto"/>
      </w:pPr>
      <w:r>
        <w:t xml:space="preserve">Under section 107(6), no appeal can be filed unless the appellant has paid (a) in full, the part of the tax, interest, fine, fee and penalty arising from this order that is admitted; and (b) ten per cent of the remaining</w:t>
      </w:r>
      <w:r>
        <w:t xml:space="preserve"> </w:t>
      </w:r>
      <w:r>
        <w:rPr>
          <w:bCs/>
          <w:b/>
        </w:rPr>
        <w:t xml:space="preserve">tax in dispute</w:t>
      </w:r>
      <w:r>
        <w:t xml:space="preserve"> </w:t>
      </w:r>
      <w:r>
        <w:t xml:space="preserve">arising from this order, subject to a maximum of twenty crore rupees. Where an order demands only a penalty without any demand of tax, ten per cent of that penalty is payable (proviso to section 107(6)). [Drafting note: where this order only sanctions or rejects a refund and confirms no demand, no tax is</w:t>
      </w:r>
      <w:r>
        <w:t xml:space="preserve"> </w:t>
      </w:r>
      <w:r>
        <w:t xml:space="preserve">“</w:t>
      </w:r>
      <w:r>
        <w:t xml:space="preserve">in dispute</w:t>
      </w:r>
      <w:r>
        <w:t xml:space="preserve">”</w:t>
      </w:r>
      <w:r>
        <w:t xml:space="preserve"> </w:t>
      </w:r>
      <w:r>
        <w:t xml:space="preserve">under section 107(6); keep this paragraph unchanged, as it is a general statement of the law.]</w:t>
      </w:r>
    </w:p>
    <w:p>
      <w:pPr>
        <w:numPr>
          <w:ilvl w:val="0"/>
          <w:numId w:val="1001"/>
        </w:numPr>
        <w:pStyle w:val="Compact"/>
        <w:spacing w:before="0" w:after="120" w:line="269" w:lineRule="auto"/>
      </w:pPr>
      <w:r>
        <w:t xml:space="preserve">This order is passed under the CGST Act and the CGST Rules, and also under the corresponding provisions of the [State] GST Act, 2017 / Union Territory GST Act, 2017 and the Integrated Goods and Services Tax Act, 2017 (the IGST Act), as applicable (the State or Union Territory portion is decided under section 6 of the State GST Act or the Union Territory GST Act, as the case may be; IGST under section 20 of the IGST Act). The sanction and payment orders for all tax heads are issued by this office, to which the application is assigned (para 27 of Circular No. 125/44/2019-GST). A reference to a provision of the CGST Act or Rules includes the corresponding provision of those Acts and Rules.</w:t>
      </w:r>
    </w:p>
    <w:p>
      <w:pPr>
        <w:pStyle w:val="FirstParagraph"/>
        <w:keepNext/>
        <w:spacing w:before="240" w:after="80"/>
        <w:pBdr>
          <w:bottom w:val="single" w:sz="6" w:space="1" w:color="B4C6E7"/>
        </w:pBdr>
      </w:pPr>
      <w:r>
        <w:rPr>
          <w:bCs/>
          <w:b/>
          <w:color w:val="1F3864"/>
          <w:sz w:val="25"/>
        </w:rPr>
        <w:t xml:space="preserve">1. Brief facts</w:t>
      </w:r>
    </w:p>
    <w:p>
      <w:pPr>
        <w:pStyle w:val="BodyText"/>
        <w:spacing w:before="0" w:after="120" w:line="269" w:lineRule="auto"/>
        <w:jc w:val="both"/>
      </w:pPr>
      <w:r>
        <w:t xml:space="preserve">1.1 [Legal name] (the applicant), registered under GSTIN [ ], is a [manufacturer-exporter / merchant exporter] of [description of goods] falling under HSN [ ]. During [period] it exported goods without payment of integrated tax under Letter of Undertaking (LUT) ARN [ ] dated [DD.MM.YYYY], furnished for financial year [YYYY-YY].</w:t>
      </w:r>
    </w:p>
    <w:p>
      <w:pPr>
        <w:pStyle w:val="BodyText"/>
        <w:spacing w:before="0" w:after="120" w:line="269" w:lineRule="auto"/>
        <w:jc w:val="both"/>
      </w:pPr>
      <w:r>
        <w:t xml:space="preserve">1.2 The applicant filed FORM GST RFD-01 under ARN [ ] dated [DD.MM.YYYY] for refund of ₹[ ] (IGST ₹[ ], CGST ₹[ ], SGST ₹[ ], Cess ₹[ ]) of input tax credit accumulated on account of these zero-rated supplies, with Statement 3 listing [ ] shipping bills / bills of export. The application was acknowledged in FORM GST RFD-02 on [DD.MM.YYYY].</w:t>
      </w:r>
    </w:p>
    <w:p>
      <w:pPr>
        <w:pStyle w:val="BodyText"/>
        <w:keepNext/>
        <w:spacing w:before="240" w:after="80"/>
        <w:pBdr>
          <w:bottom w:val="single" w:sz="6" w:space="1" w:color="B4C6E7"/>
        </w:pBdr>
      </w:pPr>
      <w:r>
        <w:rPr>
          <w:bCs/>
          <w:b/>
          <w:color w:val="1F3864"/>
          <w:sz w:val="25"/>
        </w:rPr>
        <w:t xml:space="preserve">2. Legal provisions</w:t>
      </w:r>
    </w:p>
    <w:p>
      <w:pPr>
        <w:pStyle w:val="BodyText"/>
        <w:spacing w:before="0" w:after="120" w:line="269" w:lineRule="auto"/>
        <w:jc w:val="both"/>
      </w:pPr>
      <w:r>
        <w:t xml:space="preserve">2.1 Under section 16(1)(a) of the IGST Act, export of goods is a zero-rated supply. Under section 16(3) (as substituted with effect from 01.10.2023), a registered person making zero-rated supply is eligible to claim refund of unutilised input tax credit on supply of goods without payment of integrated tax under bond or LUT, in accordance with section 54 of the CGST Act and the rules, subject to the conditions prescribed. Rule 96A of the CGST Rules prescribes the LUT. Under clause (i) of the first proviso to section 54(3) of the CGST Act, refund of unutilised input tax credit is allowed in the case of zero-rated supplies made without payment of tax.</w:t>
      </w:r>
    </w:p>
    <w:p>
      <w:pPr>
        <w:pStyle w:val="BodyText"/>
        <w:spacing w:before="0" w:after="120" w:line="269" w:lineRule="auto"/>
      </w:pPr>
      <w:r>
        <w:t xml:space="preserve">2.2 The refund is computed under rule 89(4):</w:t>
      </w:r>
    </w:p>
    <w:p>
      <w:pPr>
        <w:pStyle w:val="BlockText"/>
        <w:shd w:val="clear" w:color="auto" w:fill="E7E6E6"/>
      </w:pPr>
      <w:r>
        <w:rPr>
          <w:bCs/>
          <w:b/>
          <w:sz w:val="21"/>
        </w:rPr>
        <w:t xml:space="preserve">Refund Amount = (Turnover of zero-rated supply of goods + Turnover of zero-rated supply of services) × Net ITC ÷ Adjusted Total Turnover</w:t>
      </w:r>
    </w:p>
    <w:p>
      <w:pPr>
        <w:pStyle w:val="FirstParagraph"/>
        <w:spacing w:before="0" w:after="120" w:line="269" w:lineRule="auto"/>
        <w:jc w:val="both"/>
      </w:pPr>
      <w:r>
        <w:t xml:space="preserve">where</w:t>
      </w:r>
      <w:r>
        <w:t xml:space="preserve"> </w:t>
      </w:r>
      <w:r>
        <w:t xml:space="preserve">“</w:t>
      </w:r>
      <w:r>
        <w:t xml:space="preserve">Net ITC</w:t>
      </w:r>
      <w:r>
        <w:t xml:space="preserve">”</w:t>
      </w:r>
      <w:r>
        <w:t xml:space="preserve"> </w:t>
      </w:r>
      <w:r>
        <w:t xml:space="preserve">is the input tax credit availed on inputs and input services during the relevant period;</w:t>
      </w:r>
      <w:r>
        <w:t xml:space="preserve"> </w:t>
      </w:r>
      <w:r>
        <w:t xml:space="preserve">“</w:t>
      </w:r>
      <w:r>
        <w:t xml:space="preserve">Turnover of zero-rated supply of goods</w:t>
      </w:r>
      <w:r>
        <w:t xml:space="preserve">”</w:t>
      </w:r>
      <w:r>
        <w:t xml:space="preserve"> </w:t>
      </w:r>
      <w:r>
        <w:t xml:space="preserve">is the value of zero-rated supply of goods made during the relevant period without payment of tax under bond or LUT, or the value which is 1.5 times the value of like goods domestically supplied by the same or a similarly placed supplier, as declared by the supplier, whichever is less; and</w:t>
      </w:r>
      <w:r>
        <w:t xml:space="preserve"> </w:t>
      </w:r>
      <w:r>
        <w:t xml:space="preserve">“</w:t>
      </w:r>
      <w:r>
        <w:t xml:space="preserve">Adjusted Total Turnover</w:t>
      </w:r>
      <w:r>
        <w:t xml:space="preserve">”</w:t>
      </w:r>
      <w:r>
        <w:t xml:space="preserve"> </w:t>
      </w:r>
      <w:r>
        <w:t xml:space="preserve">is the sum of the turnover in the State as defined in section 2(112), excluding the turnover of services, and the turnover of zero-rated and non-zero-rated supply of services, excluding the value of exempt supplies other than zero-rated supplies, during the relevant period. Under the Explanation to rule 89(4), the value of goods exported is the Free on Board (FOB) value declared in the shipping bill or bill of export, or the value declared in the tax invoice,</w:t>
      </w:r>
      <w:r>
        <w:t xml:space="preserve"> </w:t>
      </w:r>
      <w:r>
        <w:rPr>
          <w:bCs/>
          <w:b/>
        </w:rPr>
        <w:t xml:space="preserve">whichever is less</w:t>
      </w:r>
      <w:r>
        <w:t xml:space="preserve">.</w:t>
      </w:r>
    </w:p>
    <w:p>
      <w:pPr>
        <w:pStyle w:val="BodyText"/>
        <w:spacing w:before="0" w:after="120" w:line="269" w:lineRule="auto"/>
        <w:jc w:val="both"/>
      </w:pPr>
      <w:r>
        <w:t xml:space="preserve">2.3 Under the last proviso to section 54(3) (</w:t>
      </w:r>
      <w:r>
        <w:t xml:space="preserve">“</w:t>
      </w:r>
      <w:r>
        <w:t xml:space="preserve">Provided also that…</w:t>
      </w:r>
      <w:r>
        <w:t xml:space="preserve">”</w:t>
      </w:r>
      <w:r>
        <w:t xml:space="preserve">), no refund of input tax credit is allowed if the supplier avails of drawback in respect of central tax or claims refund of the integrated tax paid on such supplies. Drawback of customs duties alone does not bar the refund (para 40 of Circular No. 125/44/2019-GST). Under the second proviso to section 54(3), no refund of unutilised input tax credit is allowed where the goods exported out of India are subjected to export duty. [Drafting note: the Finance (No. 2) Act, 2024 omits that proviso (from a date yet to be notified) and inserts section 54(15) of the CGST Act and section 16(5) of the IGST Act to the same effect. Check which is in force on the date of the order and cite that one.]</w:t>
      </w:r>
    </w:p>
    <w:p>
      <w:pPr>
        <w:pStyle w:val="BodyText"/>
        <w:spacing w:before="0" w:after="120" w:line="269" w:lineRule="auto"/>
        <w:jc w:val="both"/>
      </w:pPr>
      <w:r>
        <w:t xml:space="preserve">2.4 Under rule 89(2)(b), the application is accompanied by a statement containing the number and date of the shipping bills or bills of export and the number and date of the relevant export invoices. Realisation of export proceeds is</w:t>
      </w:r>
      <w:r>
        <w:t xml:space="preserve"> </w:t>
      </w:r>
      <w:r>
        <w:rPr>
          <w:bCs/>
          <w:b/>
        </w:rPr>
        <w:t xml:space="preserve">not</w:t>
      </w:r>
      <w:r>
        <w:t xml:space="preserve"> </w:t>
      </w:r>
      <w:r>
        <w:t xml:space="preserve">a condition for refund of ITC on export of goods (para 48 of Circular No. 125/44/2019-GST). If the proceeds are not realised within the period allowed under FEMA, the refund is to be deposited with interest under the proviso to section 16(3) of the IGST Act and rule 96B, after the event, unless the Reserve Bank of India writes off the requirement of realisation.</w:t>
      </w:r>
    </w:p>
    <w:p>
      <w:pPr>
        <w:pStyle w:val="BodyText"/>
        <w:spacing w:before="0" w:after="120" w:line="269" w:lineRule="auto"/>
        <w:jc w:val="both"/>
      </w:pPr>
      <w:r>
        <w:t xml:space="preserve">2.5 Under clause (a) of Explanation 2 to section 54, the relevant date for goods exported by sea or air is the date on which the ship or aircraft in which the goods are loaded leaves India; for goods exported by land, the date on which the goods pass the frontier; and for goods exported by post, the date of dispatch by the Post Office.</w:t>
      </w:r>
    </w:p>
    <w:p>
      <w:pPr>
        <w:pStyle w:val="BodyText"/>
        <w:keepNext/>
        <w:spacing w:before="240" w:after="80"/>
        <w:pBdr>
          <w:bottom w:val="single" w:sz="6" w:space="1" w:color="B4C6E7"/>
        </w:pBdr>
      </w:pPr>
      <w:r>
        <w:rPr>
          <w:bCs/>
          <w:b/>
          <w:color w:val="1F3864"/>
          <w:sz w:val="25"/>
        </w:rPr>
        <w:t xml:space="preserve">3. Limitation</w:t>
      </w:r>
    </w:p>
    <w:p>
      <w:pPr>
        <w:pStyle w:val="BodyText"/>
        <w:spacing w:before="0" w:after="120" w:line="269" w:lineRule="auto"/>
        <w:jc w:val="both"/>
      </w:pPr>
      <w:r>
        <w:t xml:space="preserve">3.1 The relevant date has been checked for each shipping bill, from the export general manifest (EGM) date shown on ICEGATE, in Table 1 below. [Option A: All shipping bills have relevant dates on or after [DD.MM.YYYY], and the application filed on [DD.MM.YYYY] is within two years of each.] [Option B: Shipping bills at serial numbers [ ] have relevant dates before [DD.MM.YYYY] and are beyond two years on the date of filing. Their value (lower of FOB and invoice, para 6.3) of ₹[ ] is excluded from the turnover of zero-rated supply (but remains in Adjusted Total Turnover, as it is part of the turnover of the period).]</w:t>
      </w:r>
    </w:p>
    <w:p>
      <w:pPr>
        <w:pStyle w:val="BlockText"/>
        <w:shd w:val="clear" w:color="auto" w:fill="E7E6E6"/>
      </w:pPr>
      <w:r>
        <w:rPr>
          <w:bCs/>
          <w:b/>
          <w:sz w:val="21"/>
        </w:rPr>
        <w:t xml:space="preserve">Drafting note:</w:t>
      </w:r>
      <w:r>
        <w:rPr>
          <w:sz w:val="21"/>
        </w:rPr>
        <w:t xml:space="preserve"> </w:t>
      </w:r>
      <w:r>
        <w:rPr>
          <w:sz w:val="21"/>
        </w:rPr>
        <w:t xml:space="preserve">if any earlier application for the same period was returned in RFD-03, the period from that filing to the RFD-03 is excluded (proviso to rule 90(3)).</w:t>
      </w:r>
    </w:p>
    <w:p>
      <w:pPr>
        <w:pStyle w:val="FirstParagraph"/>
        <w:keepNext/>
        <w:spacing w:before="240" w:after="80"/>
        <w:pBdr>
          <w:bottom w:val="single" w:sz="6" w:space="1" w:color="B4C6E7"/>
        </w:pBdr>
      </w:pPr>
      <w:r>
        <w:rPr>
          <w:bCs/>
          <w:b/>
          <w:color w:val="1F3864"/>
          <w:sz w:val="25"/>
        </w:rPr>
        <w:t xml:space="preserve">4. Other conditions for admissibility</w:t>
      </w:r>
    </w:p>
    <w:p>
      <w:pPr>
        <w:pStyle w:val="BodyText"/>
        <w:spacing w:before="0" w:after="120" w:line="269" w:lineRule="auto"/>
        <w:jc w:val="both"/>
      </w:pPr>
      <w:r>
        <w:t xml:space="preserve">4.1 The application was complete in terms of rule 89(2) and was acknowledged in RFD-02 within fifteen days under rule 90(2). The applicant has filed all returns due up to the date of the application (para 6 of Circular 125). The amount claimed was debited from the electronic credit ledger by debit entry No. [ ] dated [DD.MM.YYYY] (rule 89(3)). The undertaking in relation to section 16(2)(c) has been filed online (para 2.4 of Circular No. 197/09/2023-GST). The back-office refund history shows no other claim for this period in this or any other category, and none of the shipping bills in Statement 3 was included in an earlier claim. The applicant [has / has not] undergone Aadhaar authentication under rule 10B [if not, see para 5, Option D].</w:t>
      </w:r>
    </w:p>
    <w:p>
      <w:pPr>
        <w:pStyle w:val="BodyText"/>
        <w:keepNext/>
        <w:spacing w:before="240" w:after="80"/>
        <w:pBdr>
          <w:bottom w:val="single" w:sz="6" w:space="1" w:color="B4C6E7"/>
        </w:pBdr>
      </w:pPr>
      <w:r>
        <w:rPr>
          <w:bCs/>
          <w:b/>
          <w:color w:val="1F3864"/>
          <w:sz w:val="25"/>
        </w:rPr>
        <w:t xml:space="preserve">5. Provisional refund</w:t>
      </w:r>
    </w:p>
    <w:p>
      <w:pPr>
        <w:pStyle w:val="BodyText"/>
        <w:spacing w:before="0" w:after="120" w:line="269" w:lineRule="auto"/>
        <w:jc w:val="both"/>
      </w:pPr>
      <w:r>
        <w:t xml:space="preserve">5.1 Section 54(6) of the CGST Act, read with rule 91 of the CGST Rules, provides for refund on a provisional basis of ninety per cent of the amount claimed on account of zero-rated supply of goods or services. Under rule 91(2), as substituted by Notification No. 13/2025-Central Tax dated 17.09.2025 with effect from 01.10.2025, the proper officer is to issue the provisional refund order in FORM GST RFD-04 within seven days of the acknowledgement, on the basis of the identification and evaluation of risk by the system. Under the first proviso to rule 91(2), the proper officer may, for reasons to be recorded in writing, decide that the applicant is not to be granted refund on a provisional basis. Instruction No. 06/2025-GST dated 03.10.2025 (paras 3.1 to 3.3) directs that ninety per cent of the amount claimed be sanctioned provisionally where the system categorises the application as</w:t>
      </w:r>
      <w:r>
        <w:t xml:space="preserve"> </w:t>
      </w:r>
      <w:r>
        <w:t xml:space="preserve">“</w:t>
      </w:r>
      <w:r>
        <w:t xml:space="preserve">low-risk</w:t>
      </w:r>
      <w:r>
        <w:t xml:space="preserve">”</w:t>
      </w:r>
      <w:r>
        <w:t xml:space="preserve">, without further scrutiny for that purpose; that applications not categorised as low-risk get no provisional refund and are scrutinised in detail; and that the first proviso to rule 91(2) be used sparingly, case by case, and not on presumptive grounds or merely because routine proceedings such as scrutiny have begun. Provisional refund is not available to the categories notified under section 54(6) by Notification No. 14/2025-Central Tax dated 17.09.2025, namely a person who has not undergone Aadhaar authentication under rule 10B, and a person engaged in the supply of areca nuts (0802 80), pan masala (2106 90 20), tobacco and manufactured tobacco substitutes (chapter 24) or essential oils (3301); nor, under rule 91(1), to a person prosecuted, during the five years before the tax period of the claim, for an offence where the tax evaded exceeds two hundred and fifty lakh rupees.</w:t>
      </w:r>
    </w:p>
    <w:p>
      <w:pPr>
        <w:pStyle w:val="BlockText"/>
        <w:shd w:val="clear" w:color="auto" w:fill="E7E6E6"/>
      </w:pPr>
      <w:r>
        <w:rPr>
          <w:bCs/>
          <w:b/>
          <w:sz w:val="21"/>
        </w:rPr>
        <w:t xml:space="preserve">Drafting note:</w:t>
      </w:r>
      <w:r>
        <w:rPr>
          <w:sz w:val="21"/>
        </w:rPr>
        <w:t xml:space="preserve"> </w:t>
      </w:r>
      <w:r>
        <w:rPr>
          <w:sz w:val="21"/>
        </w:rPr>
        <w:t xml:space="preserve">keep one of Options A to D. Record the system risk category exactly as shown on the back-office screen. Under para 3.2 of Instruction 06/2025, no amount can be adjusted or withheld under section 54(10) or 54(11) from a provisional refund; where the applicant has such dues, the Instruction allows the officer to decide the claim finally at the earliest instead, and recover the dues from the final sanction. Provisional refund may also be refused where, on an earlier refund of the applicant, the issue is pending in appeal, a show cause notice has been issued, or an order has not attained finality.</w:t>
      </w:r>
    </w:p>
    <w:p>
      <w:pPr>
        <w:pStyle w:val="FirstParagraph"/>
        <w:spacing w:before="0" w:after="120" w:line="269" w:lineRule="auto"/>
        <w:jc w:val="both"/>
      </w:pPr>
      <w:r>
        <w:t xml:space="preserve">5.2</w:t>
      </w:r>
      <w:r>
        <w:t xml:space="preserve"> </w:t>
      </w:r>
      <w:r>
        <w:rPr>
          <w:bCs/>
          <w:b/>
        </w:rPr>
        <w:t xml:space="preserve">[Option A: provisional refund granted]</w:t>
      </w:r>
      <w:r>
        <w:t xml:space="preserve"> </w:t>
      </w:r>
      <w:r>
        <w:t xml:space="preserve">The claim was marked</w:t>
      </w:r>
      <w:r>
        <w:t xml:space="preserve"> </w:t>
      </w:r>
      <w:r>
        <w:t xml:space="preserve">“</w:t>
      </w:r>
      <w:r>
        <w:t xml:space="preserve">low-risk</w:t>
      </w:r>
      <w:r>
        <w:t xml:space="preserve">”</w:t>
      </w:r>
      <w:r>
        <w:t xml:space="preserve"> </w:t>
      </w:r>
      <w:r>
        <w:t xml:space="preserve">by the system. Provisional refund of ₹[ ] (IGST ₹[ ], CGST ₹[ ], SGST ₹[ ], Cess ₹[ ]), being ninety per cent of the amount claimed, was sanctioned by RFD-04 No. [ ] dated [DD.MM.YYYY] and paid by RFD-05 dated [DD.MM.YYYY]. That amount is accounted for in the final sanction in para 11 under rule 92(1). [Option, where the amount finally admissible is less than the provisional refund paid: the excess of ₹[ ] was proposed for recovery in the RFD-08 notice, with its summary in FORM GST DRC-01 (rule 142(1)(a)), under section 54 read with section [73 / 74 / 74A] (para 3.4 of Instruction No. 06/2025-GST; paras 15 and 16 of Circular No. 125/44/2019-GST) and is decided in para 11.]</w:t>
      </w:r>
    </w:p>
    <w:p>
      <w:pPr>
        <w:pStyle w:val="BodyText"/>
        <w:spacing w:before="0" w:after="120" w:line="269" w:lineRule="auto"/>
        <w:jc w:val="both"/>
      </w:pPr>
      <w:r>
        <w:t xml:space="preserve">5.2</w:t>
      </w:r>
      <w:r>
        <w:t xml:space="preserve"> </w:t>
      </w:r>
      <w:r>
        <w:rPr>
          <w:bCs/>
          <w:b/>
        </w:rPr>
        <w:t xml:space="preserve">[Option B: claim not low-risk]</w:t>
      </w:r>
      <w:r>
        <w:t xml:space="preserve"> </w:t>
      </w:r>
      <w:r>
        <w:t xml:space="preserve">The claim was not marked</w:t>
      </w:r>
      <w:r>
        <w:t xml:space="preserve"> </w:t>
      </w:r>
      <w:r>
        <w:t xml:space="preserve">“</w:t>
      </w:r>
      <w:r>
        <w:t xml:space="preserve">low-risk</w:t>
      </w:r>
      <w:r>
        <w:t xml:space="preserve">”</w:t>
      </w:r>
      <w:r>
        <w:t xml:space="preserve"> </w:t>
      </w:r>
      <w:r>
        <w:t xml:space="preserve">by the system ([risk category as shown]). In terms of para 3.1 of Instruction 06/2025-GST, no provisional refund was sanctioned, and the claim has been examined in detail as set out below.</w:t>
      </w:r>
    </w:p>
    <w:p>
      <w:pPr>
        <w:pStyle w:val="BodyText"/>
        <w:spacing w:before="0" w:after="120" w:line="269" w:lineRule="auto"/>
        <w:jc w:val="both"/>
      </w:pPr>
      <w:r>
        <w:t xml:space="preserve">5.2</w:t>
      </w:r>
      <w:r>
        <w:t xml:space="preserve"> </w:t>
      </w:r>
      <w:r>
        <w:rPr>
          <w:bCs/>
          <w:b/>
        </w:rPr>
        <w:t xml:space="preserve">[Option C: low-risk, but provisional refund not granted under the first proviso to rule 91(2)]</w:t>
      </w:r>
      <w:r>
        <w:t xml:space="preserve"> </w:t>
      </w:r>
      <w:r>
        <w:t xml:space="preserve">Although the claim was categorised as</w:t>
      </w:r>
      <w:r>
        <w:t xml:space="preserve"> </w:t>
      </w:r>
      <w:r>
        <w:t xml:space="preserve">“</w:t>
      </w:r>
      <w:r>
        <w:t xml:space="preserve">low-risk</w:t>
      </w:r>
      <w:r>
        <w:t xml:space="preserve">”</w:t>
      </w:r>
      <w:r>
        <w:t xml:space="preserve">, provisional refund was not granted, for the reasons recorded in writing on [DD.MM.YYYY] under the first proviso to rule 91(2), namely [state the specific, case-related reason, for example: (i) on the earlier refund claim ARN [ ], show cause notice No. [ ] dated [ ] has been issued and has not attained finality (para 3.2 of Instruction 06/2025-GST); or (ii) the applicant owes ₹[ ] under [order], which cannot be adjusted against a provisional refund, so the claim was taken up for final decision at the earliest (para 3.2)]. The reason is not presumptive and does not rest merely on routine proceedings (para 3.3).</w:t>
      </w:r>
    </w:p>
    <w:p>
      <w:pPr>
        <w:pStyle w:val="BodyText"/>
        <w:spacing w:before="0" w:after="120" w:line="269" w:lineRule="auto"/>
        <w:jc w:val="both"/>
      </w:pPr>
      <w:r>
        <w:t xml:space="preserve">5.2</w:t>
      </w:r>
      <w:r>
        <w:t xml:space="preserve"> </w:t>
      </w:r>
      <w:r>
        <w:rPr>
          <w:bCs/>
          <w:b/>
        </w:rPr>
        <w:t xml:space="preserve">[Option D: provisional refund barred]</w:t>
      </w:r>
      <w:r>
        <w:t xml:space="preserve"> </w:t>
      </w:r>
      <w:r>
        <w:t xml:space="preserve">Provisional refund was not available because [the applicant has not undergone Aadhaar authentication under rule 10B] / [the applicant supplies [goods] covered by Notification No. 14/2025-Central Tax] (section 54(6)) / [the applicant was prosecuted in [case] within the period stated in rule 91(1)].</w:t>
      </w:r>
    </w:p>
    <w:p>
      <w:pPr>
        <w:pStyle w:val="BodyText"/>
        <w:keepNext/>
        <w:spacing w:before="240" w:after="80"/>
        <w:pBdr>
          <w:bottom w:val="single" w:sz="6" w:space="1" w:color="B4C6E7"/>
        </w:pBdr>
      </w:pPr>
      <w:r>
        <w:rPr>
          <w:bCs/>
          <w:b/>
          <w:color w:val="1F3864"/>
          <w:sz w:val="25"/>
        </w:rPr>
        <w:t xml:space="preserve">6. Verification of the exports</w:t>
      </w:r>
    </w:p>
    <w:p>
      <w:pPr>
        <w:pStyle w:val="BodyText"/>
        <w:spacing w:before="0" w:after="120" w:line="269" w:lineRule="auto"/>
        <w:jc w:val="both"/>
      </w:pPr>
      <w:r>
        <w:t xml:space="preserve">6.1</w:t>
      </w:r>
      <w:r>
        <w:t xml:space="preserve"> </w:t>
      </w:r>
      <w:r>
        <w:rPr>
          <w:bCs/>
          <w:b/>
        </w:rPr>
        <w:t xml:space="preserve">LUT.</w:t>
      </w:r>
      <w:r>
        <w:t xml:space="preserve"> </w:t>
      </w:r>
      <w:r>
        <w:t xml:space="preserve">The LUT ARN [ ] dated [DD.MM.YYYY] was valid for the financial year covering all invoices in this claim (rule 96A; Notification No. 37/2017-Central Tax). [Option: The LUT was furnished on [ ], after the date of some exports. Delay in furnishing the LUT is a procedural lapse that may be condoned, and the facts and the export documents having been verified, it is condoned (para 44 of Circular 125).] [Option: Goods under invoice No. [ ] were exported after three months from the invoice date; the extended period was allowed on [ ] (para 45 of Circular 125; rule 96A(1)).] [Option: The applicant paid integrated tax under rule 96A(1) because the goods were not exported within three months; the goods having since been exported, the export is treated as zero-rated (para 4.5 of Circular No. 197/09/2023-GST). The integrated tax so paid is refundable by a separate claim under</w:t>
      </w:r>
      <w:r>
        <w:t xml:space="preserve"> </w:t>
      </w:r>
      <w:r>
        <w:t xml:space="preserve">“</w:t>
      </w:r>
      <w:r>
        <w:t xml:space="preserve">excess payment of tax</w:t>
      </w:r>
      <w:r>
        <w:t xml:space="preserve">”</w:t>
      </w:r>
      <w:r>
        <w:t xml:space="preserve"> </w:t>
      </w:r>
      <w:r>
        <w:t xml:space="preserve">/</w:t>
      </w:r>
      <w:r>
        <w:t xml:space="preserve"> </w:t>
      </w:r>
      <w:r>
        <w:t xml:space="preserve">“</w:t>
      </w:r>
      <w:r>
        <w:t xml:space="preserve">any other</w:t>
      </w:r>
      <w:r>
        <w:t xml:space="preserve">”</w:t>
      </w:r>
      <w:r>
        <w:t xml:space="preserve">; the interest paid with it is not refundable (paras 4.6 and 4.7 of that Circular).]</w:t>
      </w:r>
    </w:p>
    <w:p>
      <w:pPr>
        <w:pStyle w:val="BodyText"/>
        <w:spacing w:before="0" w:after="120" w:line="269" w:lineRule="auto"/>
        <w:jc w:val="both"/>
      </w:pPr>
      <w:r>
        <w:t xml:space="preserve">6.2</w:t>
      </w:r>
      <w:r>
        <w:t xml:space="preserve"> </w:t>
      </w:r>
      <w:r>
        <w:rPr>
          <w:bCs/>
          <w:b/>
        </w:rPr>
        <w:t xml:space="preserve">Shipping bills, EGM and values.</w:t>
      </w:r>
      <w:r>
        <w:t xml:space="preserve"> </w:t>
      </w:r>
      <w:r>
        <w:t xml:space="preserve">Each shipping bill in Statement 3 was checked on ICEGATE (through the back-office</w:t>
      </w:r>
      <w:r>
        <w:t xml:space="preserve"> </w:t>
      </w:r>
      <w:r>
        <w:t xml:space="preserve">“</w:t>
      </w:r>
      <w:r>
        <w:t xml:space="preserve">ICEGATE shipping bill</w:t>
      </w:r>
      <w:r>
        <w:t xml:space="preserve">”</w:t>
      </w:r>
      <w:r>
        <w:t xml:space="preserve"> </w:t>
      </w:r>
      <w:r>
        <w:t xml:space="preserve">view) for the shipping bill number and date, port code, EGM number and date, FOB value and the GSTIN and invoice reference, and matched with GSTR-1 Table 6A for the period (para 18 of Circular 125):</w:t>
      </w:r>
    </w:p>
    <w:p>
      <w:pPr>
        <w:pStyle w:val="BodyText"/>
        <w:spacing w:before="0" w:after="120" w:line="269" w:lineRule="auto"/>
      </w:pPr>
      <w:r>
        <w:rPr>
          <w:iCs/>
          <w:i/>
        </w:rPr>
        <w:t xml:space="preserve">Table 1: Export details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14"/>
        <w:gridCol w:w="977"/>
        <w:gridCol w:w="977"/>
        <w:gridCol w:w="1249"/>
        <w:gridCol w:w="814"/>
        <w:gridCol w:w="1140"/>
        <w:gridCol w:w="814"/>
        <w:gridCol w:w="977"/>
        <w:gridCol w:w="896"/>
        <w:gridCol w:w="977"/>
      </w:tblGrid>
      <w:tr>
        <w:trPr>
          <w:tblHeader w:val="true"/>
          <w:tblHeader/>
        </w:trPr>
        <w:tc>
          <w:tcPr>
            <w:tcW w:type="dxa" w:w="814"/>
            <w:shd w:val="clear" w:color="auto" w:fill="DCE6F1"/>
          </w:tcPr>
          <w:p>
            <w:pPr>
              <w:pStyle w:val="Compact"/>
              <w:spacing w:before="0" w:after="0" w:line="240" w:lineRule="auto"/>
              <w:jc w:val="left"/>
            </w:pPr>
            <w:r>
              <w:rPr>
                <w:b/>
                <w:color w:val="1F3864"/>
                <w:sz w:val="18"/>
              </w:rPr>
              <w:t xml:space="preserve">S. No.</w:t>
            </w:r>
          </w:p>
        </w:tc>
        <w:tc>
          <w:tcPr>
            <w:tcW w:type="dxa" w:w="977"/>
            <w:shd w:val="clear" w:color="auto" w:fill="DCE6F1"/>
          </w:tcPr>
          <w:p>
            <w:pPr>
              <w:pStyle w:val="Compact"/>
              <w:spacing w:before="0" w:after="0" w:line="240" w:lineRule="auto"/>
              <w:jc w:val="left"/>
            </w:pPr>
            <w:r>
              <w:rPr>
                <w:b/>
                <w:color w:val="1F3864"/>
                <w:sz w:val="18"/>
              </w:rPr>
              <w:t xml:space="preserve">Invoice No. and date</w:t>
            </w:r>
          </w:p>
        </w:tc>
        <w:tc>
          <w:tcPr>
            <w:tcW w:type="dxa" w:w="977"/>
            <w:shd w:val="clear" w:color="auto" w:fill="DCE6F1"/>
          </w:tcPr>
          <w:p>
            <w:pPr>
              <w:pStyle w:val="Compact"/>
              <w:spacing w:before="0" w:after="0" w:line="240" w:lineRule="auto"/>
              <w:jc w:val="left"/>
            </w:pPr>
            <w:r>
              <w:rPr>
                <w:b/>
                <w:color w:val="1F3864"/>
                <w:sz w:val="18"/>
              </w:rPr>
              <w:t xml:space="preserve">Invoice value (₹)</w:t>
            </w:r>
          </w:p>
        </w:tc>
        <w:tc>
          <w:tcPr>
            <w:tcW w:type="dxa" w:w="1249"/>
            <w:shd w:val="clear" w:color="auto" w:fill="DCE6F1"/>
          </w:tcPr>
          <w:p>
            <w:pPr>
              <w:pStyle w:val="Compact"/>
              <w:spacing w:before="0" w:after="0" w:line="240" w:lineRule="auto"/>
              <w:jc w:val="left"/>
            </w:pPr>
            <w:r>
              <w:rPr>
                <w:b/>
                <w:color w:val="1F3864"/>
                <w:sz w:val="18"/>
              </w:rPr>
              <w:t xml:space="preserve">Shipping bill / bill of export No. and date</w:t>
            </w:r>
          </w:p>
        </w:tc>
        <w:tc>
          <w:tcPr>
            <w:tcW w:type="dxa" w:w="814"/>
            <w:shd w:val="clear" w:color="auto" w:fill="DCE6F1"/>
          </w:tcPr>
          <w:p>
            <w:pPr>
              <w:pStyle w:val="Compact"/>
              <w:spacing w:before="0" w:after="0" w:line="240" w:lineRule="auto"/>
              <w:jc w:val="left"/>
            </w:pPr>
            <w:r>
              <w:rPr>
                <w:b/>
                <w:color w:val="1F3864"/>
                <w:sz w:val="18"/>
              </w:rPr>
              <w:t xml:space="preserve">Port code</w:t>
            </w:r>
          </w:p>
        </w:tc>
        <w:tc>
          <w:tcPr>
            <w:tcW w:type="dxa" w:w="1140"/>
            <w:shd w:val="clear" w:color="auto" w:fill="DCE6F1"/>
          </w:tcPr>
          <w:p>
            <w:pPr>
              <w:pStyle w:val="Compact"/>
              <w:spacing w:before="0" w:after="0" w:line="240" w:lineRule="auto"/>
              <w:jc w:val="left"/>
            </w:pPr>
            <w:r>
              <w:rPr>
                <w:b/>
                <w:color w:val="1F3864"/>
                <w:sz w:val="18"/>
              </w:rPr>
              <w:t xml:space="preserve">EGM No. and date (relevant date)</w:t>
            </w:r>
          </w:p>
        </w:tc>
        <w:tc>
          <w:tcPr>
            <w:tcW w:type="dxa" w:w="814"/>
            <w:shd w:val="clear" w:color="auto" w:fill="DCE6F1"/>
          </w:tcPr>
          <w:p>
            <w:pPr>
              <w:pStyle w:val="Compact"/>
              <w:spacing w:before="0" w:after="0" w:line="240" w:lineRule="auto"/>
              <w:jc w:val="left"/>
            </w:pPr>
            <w:r>
              <w:rPr>
                <w:b/>
                <w:color w:val="1F3864"/>
                <w:sz w:val="18"/>
              </w:rPr>
              <w:t xml:space="preserve">FOB value (₹)</w:t>
            </w:r>
          </w:p>
        </w:tc>
        <w:tc>
          <w:tcPr>
            <w:tcW w:type="dxa" w:w="977"/>
            <w:shd w:val="clear" w:color="auto" w:fill="DCE6F1"/>
          </w:tcPr>
          <w:p>
            <w:pPr>
              <w:pStyle w:val="Compact"/>
              <w:spacing w:before="0" w:after="0" w:line="240" w:lineRule="auto"/>
              <w:jc w:val="left"/>
            </w:pPr>
            <w:r>
              <w:rPr>
                <w:b/>
                <w:color w:val="1F3864"/>
                <w:sz w:val="18"/>
              </w:rPr>
              <w:t xml:space="preserve">Lower of FOB and invoice (₹)</w:t>
            </w:r>
          </w:p>
        </w:tc>
        <w:tc>
          <w:tcPr>
            <w:tcW w:type="dxa" w:w="896"/>
            <w:shd w:val="clear" w:color="auto" w:fill="DCE6F1"/>
          </w:tcPr>
          <w:p>
            <w:pPr>
              <w:pStyle w:val="Compact"/>
              <w:spacing w:before="0" w:after="0" w:line="240" w:lineRule="auto"/>
              <w:jc w:val="left"/>
            </w:pPr>
            <w:r>
              <w:rPr>
                <w:b/>
                <w:color w:val="1F3864"/>
                <w:sz w:val="18"/>
              </w:rPr>
              <w:t xml:space="preserve">Within two years?</w:t>
            </w:r>
          </w:p>
        </w:tc>
        <w:tc>
          <w:tcPr>
            <w:tcW w:type="dxa" w:w="977"/>
            <w:shd w:val="clear" w:color="auto" w:fill="DCE6F1"/>
          </w:tcPr>
          <w:p>
            <w:pPr>
              <w:pStyle w:val="Compact"/>
              <w:spacing w:before="0" w:after="0" w:line="240" w:lineRule="auto"/>
              <w:jc w:val="left"/>
            </w:pPr>
            <w:r>
              <w:rPr>
                <w:b/>
                <w:color w:val="1F3864"/>
                <w:sz w:val="18"/>
              </w:rPr>
              <w:t xml:space="preserve">Remarks</w:t>
            </w:r>
          </w:p>
        </w:tc>
      </w:tr>
      <w:tr>
        <w:tc>
          <w:tcPr>
            <w:tcW w:type="dxa" w:w="814"/>
          </w:tcPr>
          <w:p>
            <w:pPr>
              <w:pStyle w:val="Compact"/>
              <w:spacing w:before="0" w:after="0" w:line="240" w:lineRule="auto"/>
              <w:jc w:val="left"/>
            </w:pPr>
            <w:r>
              <w:rPr>
                <w:sz w:val="18"/>
              </w:rPr>
              <w:t xml:space="preserve">1</w:t>
            </w:r>
          </w:p>
        </w:tc>
        <w:tc>
          <w:tcPr>
            <w:tcW w:type="dxa" w:w="977"/>
          </w:tcPr>
          <w:p>
            <w:pPr>
              <w:pStyle w:val="Compact"/>
              <w:spacing w:before="0" w:after="0" w:line="240" w:lineRule="auto"/>
              <w:jc w:val="left"/>
            </w:pPr>
            <w:r>
              <w:rPr>
                <w:sz w:val="18"/>
              </w:rPr>
              <w:t xml:space="preserve">[ ]</w:t>
            </w:r>
          </w:p>
        </w:tc>
        <w:tc>
          <w:tcPr>
            <w:tcW w:type="dxa" w:w="977"/>
          </w:tcPr>
          <w:p>
            <w:pPr>
              <w:pStyle w:val="Compact"/>
              <w:spacing w:before="0" w:after="0" w:line="240" w:lineRule="auto"/>
              <w:jc w:val="left"/>
            </w:pPr>
            <w:r>
              <w:rPr>
                <w:sz w:val="18"/>
              </w:rPr>
              <w:t xml:space="preserve">[ ]</w:t>
            </w:r>
          </w:p>
        </w:tc>
        <w:tc>
          <w:tcPr>
            <w:tcW w:type="dxa" w:w="1249"/>
          </w:tcPr>
          <w:p>
            <w:pPr>
              <w:pStyle w:val="Compact"/>
              <w:spacing w:before="0" w:after="0" w:line="240" w:lineRule="auto"/>
              <w:jc w:val="left"/>
            </w:pPr>
            <w:r>
              <w:rPr>
                <w:sz w:val="18"/>
              </w:rPr>
              <w:t xml:space="preserve">[ ]</w:t>
            </w:r>
          </w:p>
        </w:tc>
        <w:tc>
          <w:tcPr>
            <w:tcW w:type="dxa" w:w="814"/>
          </w:tcPr>
          <w:p>
            <w:pPr>
              <w:pStyle w:val="Compact"/>
              <w:spacing w:before="0" w:after="0" w:line="240" w:lineRule="auto"/>
              <w:jc w:val="left"/>
            </w:pPr>
            <w:r>
              <w:rPr>
                <w:sz w:val="18"/>
              </w:rPr>
              <w:t xml:space="preserve">[ ]</w:t>
            </w:r>
          </w:p>
        </w:tc>
        <w:tc>
          <w:tcPr>
            <w:tcW w:type="dxa" w:w="1140"/>
          </w:tcPr>
          <w:p>
            <w:pPr>
              <w:pStyle w:val="Compact"/>
              <w:spacing w:before="0" w:after="0" w:line="240" w:lineRule="auto"/>
              <w:jc w:val="left"/>
            </w:pPr>
            <w:r>
              <w:rPr>
                <w:sz w:val="18"/>
              </w:rPr>
              <w:t xml:space="preserve">[ ]</w:t>
            </w:r>
          </w:p>
        </w:tc>
        <w:tc>
          <w:tcPr>
            <w:tcW w:type="dxa" w:w="814"/>
          </w:tcPr>
          <w:p>
            <w:pPr>
              <w:pStyle w:val="Compact"/>
              <w:spacing w:before="0" w:after="0" w:line="240" w:lineRule="auto"/>
              <w:jc w:val="left"/>
            </w:pPr>
            <w:r>
              <w:rPr>
                <w:sz w:val="18"/>
              </w:rPr>
              <w:t xml:space="preserve">[ ]</w:t>
            </w:r>
          </w:p>
        </w:tc>
        <w:tc>
          <w:tcPr>
            <w:tcW w:type="dxa" w:w="977"/>
          </w:tcPr>
          <w:p>
            <w:pPr>
              <w:pStyle w:val="Compact"/>
              <w:spacing w:before="0" w:after="0" w:line="240" w:lineRule="auto"/>
              <w:jc w:val="left"/>
            </w:pPr>
            <w:r>
              <w:rPr>
                <w:sz w:val="18"/>
              </w:rPr>
              <w:t xml:space="preserve">[ ]</w:t>
            </w:r>
          </w:p>
        </w:tc>
        <w:tc>
          <w:tcPr>
            <w:tcW w:type="dxa" w:w="896"/>
          </w:tcPr>
          <w:p>
            <w:pPr>
              <w:pStyle w:val="Compact"/>
              <w:spacing w:before="0" w:after="0" w:line="240" w:lineRule="auto"/>
              <w:jc w:val="left"/>
            </w:pPr>
            <w:r>
              <w:rPr>
                <w:sz w:val="18"/>
              </w:rPr>
              <w:t xml:space="preserve">[Yes / No]</w:t>
            </w:r>
          </w:p>
        </w:tc>
        <w:tc>
          <w:tcPr>
            <w:tcW w:type="dxa" w:w="977"/>
          </w:tcPr>
          <w:p>
            <w:pPr>
              <w:pStyle w:val="Compact"/>
              <w:spacing w:before="0" w:after="0" w:line="240" w:lineRule="auto"/>
              <w:jc w:val="left"/>
            </w:pPr>
            <w:r>
              <w:rPr>
                <w:sz w:val="18"/>
              </w:rPr>
              <w:t xml:space="preserve">[ ]</w:t>
            </w:r>
          </w:p>
        </w:tc>
      </w:tr>
      <w:tr>
        <w:tc>
          <w:tcPr>
            <w:tcW w:type="dxa" w:w="814"/>
            <w:shd w:val="clear" w:color="auto" w:fill="F2F2F2"/>
          </w:tcPr>
          <w:p>
            <w:pPr>
              <w:pStyle w:val="Compact"/>
              <w:spacing w:before="0" w:after="0" w:line="240" w:lineRule="auto"/>
            </w:pPr>
          </w:p>
        </w:tc>
        <w:tc>
          <w:tcPr>
            <w:tcW w:type="dxa" w:w="977"/>
            <w:shd w:val="clear" w:color="auto" w:fill="F2F2F2"/>
          </w:tcPr>
          <w:p>
            <w:pPr>
              <w:pStyle w:val="Compact"/>
              <w:spacing w:before="0" w:after="0" w:line="240" w:lineRule="auto"/>
              <w:jc w:val="left"/>
            </w:pPr>
            <w:r>
              <w:rPr>
                <w:bCs/>
                <w:b/>
                <w:sz w:val="18"/>
              </w:rPr>
              <w:t xml:space="preserve">Total</w:t>
            </w:r>
          </w:p>
        </w:tc>
        <w:tc>
          <w:tcPr>
            <w:tcW w:type="dxa" w:w="977"/>
            <w:shd w:val="clear" w:color="auto" w:fill="F2F2F2"/>
          </w:tcPr>
          <w:p>
            <w:pPr>
              <w:pStyle w:val="Compact"/>
              <w:spacing w:before="0" w:after="0" w:line="240" w:lineRule="auto"/>
              <w:jc w:val="left"/>
            </w:pPr>
            <w:r>
              <w:rPr>
                <w:bCs/>
                <w:b/>
                <w:sz w:val="18"/>
              </w:rPr>
              <w:t xml:space="preserve">[ ]</w:t>
            </w:r>
          </w:p>
        </w:tc>
        <w:tc>
          <w:tcPr>
            <w:tcW w:type="dxa" w:w="1249"/>
            <w:shd w:val="clear" w:color="auto" w:fill="F2F2F2"/>
          </w:tcPr>
          <w:p>
            <w:pPr>
              <w:pStyle w:val="Compact"/>
              <w:spacing w:before="0" w:after="0" w:line="240" w:lineRule="auto"/>
            </w:pPr>
          </w:p>
        </w:tc>
        <w:tc>
          <w:tcPr>
            <w:tcW w:type="dxa" w:w="814"/>
            <w:shd w:val="clear" w:color="auto" w:fill="F2F2F2"/>
          </w:tcPr>
          <w:p>
            <w:pPr>
              <w:pStyle w:val="Compact"/>
              <w:spacing w:before="0" w:after="0" w:line="240" w:lineRule="auto"/>
            </w:pPr>
          </w:p>
        </w:tc>
        <w:tc>
          <w:tcPr>
            <w:tcW w:type="dxa" w:w="1140"/>
            <w:shd w:val="clear" w:color="auto" w:fill="F2F2F2"/>
          </w:tcPr>
          <w:p>
            <w:pPr>
              <w:pStyle w:val="Compact"/>
              <w:spacing w:before="0" w:after="0" w:line="240" w:lineRule="auto"/>
            </w:pPr>
          </w:p>
        </w:tc>
        <w:tc>
          <w:tcPr>
            <w:tcW w:type="dxa" w:w="814"/>
            <w:shd w:val="clear" w:color="auto" w:fill="F2F2F2"/>
          </w:tcPr>
          <w:p>
            <w:pPr>
              <w:pStyle w:val="Compact"/>
              <w:spacing w:before="0" w:after="0" w:line="240" w:lineRule="auto"/>
              <w:jc w:val="left"/>
            </w:pPr>
            <w:r>
              <w:rPr>
                <w:bCs/>
                <w:b/>
                <w:sz w:val="18"/>
              </w:rPr>
              <w:t xml:space="preserve">[ ]</w:t>
            </w:r>
          </w:p>
        </w:tc>
        <w:tc>
          <w:tcPr>
            <w:tcW w:type="dxa" w:w="977"/>
            <w:shd w:val="clear" w:color="auto" w:fill="F2F2F2"/>
          </w:tcPr>
          <w:p>
            <w:pPr>
              <w:pStyle w:val="Compact"/>
              <w:spacing w:before="0" w:after="0" w:line="240" w:lineRule="auto"/>
              <w:jc w:val="left"/>
            </w:pPr>
            <w:r>
              <w:rPr>
                <w:bCs/>
                <w:b/>
                <w:sz w:val="18"/>
              </w:rPr>
              <w:t xml:space="preserve">[ ]</w:t>
            </w:r>
          </w:p>
        </w:tc>
        <w:tc>
          <w:tcPr>
            <w:tcW w:type="dxa" w:w="896"/>
            <w:shd w:val="clear" w:color="auto" w:fill="F2F2F2"/>
          </w:tcPr>
          <w:p>
            <w:pPr>
              <w:pStyle w:val="Compact"/>
              <w:spacing w:before="0" w:after="0" w:line="240" w:lineRule="auto"/>
            </w:pPr>
          </w:p>
        </w:tc>
        <w:tc>
          <w:tcPr>
            <w:tcW w:type="dxa" w:w="977"/>
            <w:shd w:val="clear" w:color="auto" w:fill="F2F2F2"/>
          </w:tcPr>
          <w:p>
            <w:pPr>
              <w:pStyle w:val="Compact"/>
              <w:spacing w:before="0" w:after="0" w:line="240" w:lineRule="auto"/>
            </w:pPr>
          </w:p>
        </w:tc>
      </w:tr>
    </w:tbl>
    <w:p>
      <w:pPr>
        <w:pStyle w:val="BodyText"/>
        <w:spacing w:before="0" w:after="120" w:line="269" w:lineRule="auto"/>
        <w:jc w:val="both"/>
      </w:pPr>
      <w:r>
        <w:t xml:space="preserve">6.3 The total of the lower values, ₹[ ], is taken as the turnover of zero-rated supply of goods, and the</w:t>
      </w:r>
      <w:r>
        <w:t xml:space="preserve"> </w:t>
      </w:r>
      <w:r>
        <w:rPr>
          <w:bCs/>
          <w:b/>
        </w:rPr>
        <w:t xml:space="preserve">same value</w:t>
      </w:r>
      <w:r>
        <w:t xml:space="preserve"> </w:t>
      </w:r>
      <w:r>
        <w:t xml:space="preserve">is used for the exports within the Adjusted Total Turnover, so that the numerator and the denominator are consistent (Circular No. 147/03/2021-GST; para 3 of Circular No. 197/09/2023-GST). [Explain any difference between the GSTR-1 Table 6A value, the Statement 3 value and the value adopted, for example exchange rate differences between the invoice and the shipping bill.]</w:t>
      </w:r>
    </w:p>
    <w:p>
      <w:pPr>
        <w:pStyle w:val="BodyText"/>
        <w:spacing w:before="0" w:after="120" w:line="269" w:lineRule="auto"/>
        <w:jc w:val="both"/>
      </w:pPr>
      <w:r>
        <w:t xml:space="preserve">6.4</w:t>
      </w:r>
      <w:r>
        <w:t xml:space="preserve"> </w:t>
      </w:r>
      <w:r>
        <w:rPr>
          <w:bCs/>
          <w:b/>
        </w:rPr>
        <w:t xml:space="preserve">1.5 times the domestic value.</w:t>
      </w:r>
      <w:r>
        <w:t xml:space="preserve"> </w:t>
      </w:r>
      <w:r>
        <w:t xml:space="preserve">[Option A: The applicant has declared that neither it nor, to its knowledge, a similarly placed supplier made domestic supplies of like goods for which a value can be determined, and nothing on record shows otherwise, so the export value is adopted.] [Option B: The applicant declared the value of like goods supplied domestically as ₹[ ] per [unit]. For the [quantity] [units] of [goods] exported, 1.5 times that value is ₹[ ] × 1.5 × [quantity] = ₹[ ], against an export value (lower of FOB and invoice) of ₹[ ]. The lower, ₹[ ], is adopted for those goods, and the same value is used in the Adjusted Total Turnover (Circular No. 147/03/2021-GST).]</w:t>
      </w:r>
    </w:p>
    <w:p>
      <w:pPr>
        <w:pStyle w:val="BodyText"/>
        <w:spacing w:before="0" w:after="120" w:line="269" w:lineRule="auto"/>
        <w:jc w:val="both"/>
      </w:pPr>
      <w:r>
        <w:t xml:space="preserve">6.5</w:t>
      </w:r>
      <w:r>
        <w:t xml:space="preserve"> </w:t>
      </w:r>
      <w:r>
        <w:rPr>
          <w:bCs/>
          <w:b/>
        </w:rPr>
        <w:t xml:space="preserve">Drawback and IGST refund.</w:t>
      </w:r>
      <w:r>
        <w:t xml:space="preserve"> </w:t>
      </w:r>
      <w:r>
        <w:t xml:space="preserve">The shipping bills were filed under scheme code [ ]. [Option A: The applicant has not claimed drawback of central tax, nor refund of integrated tax on these exports. Drawback of customs duties at the [all industry] rate column [A/B], if any, does not bar the refund (para 40 of Circular 125).] [Option B: Drawback including the central tax portion was claimed on shipping bills [ ]. Under the last proviso to section 54(3), refund of central tax and integrated tax credit attributable to those exports is not admissible; refund of State tax credit attributable to them remains admissible (para 40 of Circular 125), and para 7 is computed head-wise accordingly: [working].]</w:t>
      </w:r>
    </w:p>
    <w:p>
      <w:pPr>
        <w:pStyle w:val="BlockText"/>
        <w:shd w:val="clear" w:color="auto" w:fill="E7E6E6"/>
      </w:pPr>
      <w:r>
        <w:rPr>
          <w:bCs/>
          <w:b/>
          <w:sz w:val="21"/>
        </w:rPr>
        <w:t xml:space="preserve">Drafting note (drawback, Option B):</w:t>
      </w:r>
      <w:r>
        <w:rPr>
          <w:sz w:val="21"/>
        </w:rPr>
        <w:t xml:space="preserve"> </w:t>
      </w:r>
      <w:r>
        <w:rPr>
          <w:sz w:val="21"/>
        </w:rPr>
        <w:t xml:space="preserve">a working method, as no circular prescribes one: compute the refund attributable to the drawback shipping bills as (their turnover × Net ITC ÷ Adjusted Total Turnover). Of that amount, only the share of State tax credit in Net ITC is admissible. Deduct the rest from step (i) of para 7.2, and show it as rejected under IGST and CGST in para 11.</w:t>
      </w:r>
    </w:p>
    <w:p>
      <w:pPr>
        <w:pStyle w:val="FirstParagraph"/>
        <w:spacing w:before="0" w:after="120" w:line="269" w:lineRule="auto"/>
        <w:jc w:val="both"/>
      </w:pPr>
      <w:r>
        <w:t xml:space="preserve">6.6</w:t>
      </w:r>
      <w:r>
        <w:t xml:space="preserve"> </w:t>
      </w:r>
      <w:r>
        <w:rPr>
          <w:bCs/>
          <w:b/>
        </w:rPr>
        <w:t xml:space="preserve">Export duty.</w:t>
      </w:r>
      <w:r>
        <w:t xml:space="preserve"> </w:t>
      </w:r>
      <w:r>
        <w:t xml:space="preserve">The goods exported are not subject to export duty [Option: are subject to export duty under [entry], so no refund is admissible for shipping bills [ ] under [the second proviso to section 54(3) of the CGST Act] / [section 54(15) of the CGST Act and section 16(5) of the IGST Act], whichever is in force on the date of this order].</w:t>
      </w:r>
    </w:p>
    <w:p>
      <w:pPr>
        <w:pStyle w:val="BodyText"/>
        <w:spacing w:before="0" w:after="120" w:line="269" w:lineRule="auto"/>
        <w:jc w:val="both"/>
      </w:pPr>
      <w:r>
        <w:t xml:space="preserve">6.7</w:t>
      </w:r>
      <w:r>
        <w:t xml:space="preserve"> </w:t>
      </w:r>
      <w:r>
        <w:rPr>
          <w:bCs/>
          <w:b/>
        </w:rPr>
        <w:t xml:space="preserve">Credit.</w:t>
      </w:r>
      <w:r>
        <w:t xml:space="preserve"> </w:t>
      </w:r>
      <w:r>
        <w:t xml:space="preserve">Net ITC of ₹[ ] consists of credit on inputs and input services availed during the period, reflected in GSTR-2B of the period or an earlier period (para 1.3 of Circular No. 197/09/2023-GST). Credit on capital goods (₹[ ]) is excluded by the definition of Net ITC. No credit blocked by section 17(5) or barred by section 16(4) has been included. Credit on imports of goods (bills of entry), on Input Service Distributor documents and on inward supplies taxed under reverse charge was checked against [the bills of entry / ISD invoices / GSTR-3B Table 4A(3) and the cash payment of that tax]; it is not excluded merely because it does not appear as a supplier invoice in GSTR-2B (para 4 of Circular No. 139/09/2020-GST). [Option: Credit of ₹[ ] on [description] was excluded as [ground], as decided in para 8.]</w:t>
      </w:r>
    </w:p>
    <w:p>
      <w:pPr>
        <w:pStyle w:val="BodyText"/>
        <w:spacing w:before="0" w:after="120" w:line="269" w:lineRule="auto"/>
        <w:jc w:val="both"/>
      </w:pPr>
      <w:r>
        <w:t xml:space="preserve">6.8</w:t>
      </w:r>
      <w:r>
        <w:t xml:space="preserve"> </w:t>
      </w:r>
      <w:r>
        <w:rPr>
          <w:bCs/>
          <w:b/>
        </w:rPr>
        <w:t xml:space="preserve">Risk checks.</w:t>
      </w:r>
      <w:r>
        <w:t xml:space="preserve"> </w:t>
      </w:r>
      <w:r>
        <w:t xml:space="preserve">[Record the checks made: for example, whether the applicant switched between export with IGST and under LUT; the GSTIN’s age and the supplier chain (any supplier accounting for 35 to 40 per cent or more of the ITC was verified with its jurisdictional office on [ ], report dated [ ]); e-way bills for inward supplies; any alert on the applicant or its suppliers in the risk or intelligence reports; physical verification on [ ] if done. Record each result. Delete this para if no risk check was needed.]</w:t>
      </w:r>
    </w:p>
    <w:p>
      <w:pPr>
        <w:pStyle w:val="BodyText"/>
        <w:keepNext/>
        <w:spacing w:before="240" w:after="80"/>
        <w:pBdr>
          <w:bottom w:val="single" w:sz="6" w:space="1" w:color="B4C6E7"/>
        </w:pBdr>
      </w:pPr>
      <w:r>
        <w:rPr>
          <w:bCs/>
          <w:b/>
          <w:color w:val="1F3864"/>
          <w:sz w:val="25"/>
        </w:rPr>
        <w:t xml:space="preserve">7. Computation of the admissible refund</w:t>
      </w:r>
    </w:p>
    <w:p>
      <w:pPr>
        <w:pStyle w:val="BodyText"/>
        <w:spacing w:before="0" w:after="120" w:line="269" w:lineRule="auto"/>
      </w:pPr>
      <w:r>
        <w:t xml:space="preserve">7.1 Sources of the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760"/>
        <w:gridCol w:w="4596"/>
        <w:gridCol w:w="722"/>
        <w:gridCol w:w="788"/>
        <w:gridCol w:w="788"/>
        <w:gridCol w:w="985"/>
      </w:tblGrid>
      <w:tr>
        <w:trPr>
          <w:tblHeader w:val="true"/>
          <w:tblHeader/>
        </w:trPr>
        <w:tc>
          <w:tcPr>
            <w:tcW w:type="dxa" w:w="1760"/>
            <w:shd w:val="clear" w:color="auto" w:fill="DCE6F1"/>
          </w:tcPr>
          <w:p>
            <w:pPr>
              <w:pStyle w:val="Compact"/>
              <w:spacing w:before="0" w:after="0" w:line="240" w:lineRule="auto"/>
              <w:jc w:val="left"/>
            </w:pPr>
            <w:r>
              <w:rPr>
                <w:b/>
                <w:color w:val="1F3864"/>
                <w:sz w:val="21"/>
              </w:rPr>
              <w:t xml:space="preserve">Component</w:t>
            </w:r>
          </w:p>
        </w:tc>
        <w:tc>
          <w:tcPr>
            <w:tcW w:type="dxa" w:w="4596"/>
            <w:shd w:val="clear" w:color="auto" w:fill="DCE6F1"/>
          </w:tcPr>
          <w:p>
            <w:pPr>
              <w:pStyle w:val="Compact"/>
              <w:spacing w:before="0" w:after="0" w:line="240" w:lineRule="auto"/>
              <w:jc w:val="left"/>
            </w:pPr>
            <w:r>
              <w:rPr>
                <w:b/>
                <w:color w:val="1F3864"/>
                <w:sz w:val="21"/>
              </w:rPr>
              <w:t xml:space="preserve">Source used</w:t>
            </w:r>
          </w:p>
        </w:tc>
        <w:tc>
          <w:tcPr>
            <w:tcW w:type="dxa" w:w="722"/>
            <w:shd w:val="clear" w:color="auto" w:fill="DCE6F1"/>
          </w:tcPr>
          <w:p>
            <w:pPr>
              <w:pStyle w:val="Compact"/>
              <w:spacing w:before="0" w:after="0" w:line="240" w:lineRule="auto"/>
              <w:jc w:val="left"/>
            </w:pPr>
            <w:r>
              <w:rPr>
                <w:b/>
                <w:color w:val="1F3864"/>
                <w:sz w:val="21"/>
              </w:rPr>
              <w:t xml:space="preserve">As per RFD-01 (₹)</w:t>
            </w:r>
          </w:p>
        </w:tc>
        <w:tc>
          <w:tcPr>
            <w:tcW w:type="dxa" w:w="788"/>
            <w:shd w:val="clear" w:color="auto" w:fill="DCE6F1"/>
          </w:tcPr>
          <w:p>
            <w:pPr>
              <w:pStyle w:val="Compact"/>
              <w:spacing w:before="0" w:after="0" w:line="240" w:lineRule="auto"/>
              <w:jc w:val="left"/>
            </w:pPr>
            <w:r>
              <w:rPr>
                <w:b/>
                <w:color w:val="1F3864"/>
                <w:sz w:val="21"/>
              </w:rPr>
              <w:t xml:space="preserve">As per returns / ICEGATE (₹)</w:t>
            </w:r>
          </w:p>
        </w:tc>
        <w:tc>
          <w:tcPr>
            <w:tcW w:type="dxa" w:w="788"/>
            <w:shd w:val="clear" w:color="auto" w:fill="DCE6F1"/>
          </w:tcPr>
          <w:p>
            <w:pPr>
              <w:pStyle w:val="Compact"/>
              <w:spacing w:before="0" w:after="0" w:line="240" w:lineRule="auto"/>
              <w:jc w:val="left"/>
            </w:pPr>
            <w:r>
              <w:rPr>
                <w:b/>
                <w:color w:val="1F3864"/>
                <w:sz w:val="21"/>
              </w:rPr>
              <w:t xml:space="preserve">Adopted (₹)</w:t>
            </w:r>
          </w:p>
        </w:tc>
        <w:tc>
          <w:tcPr>
            <w:tcW w:type="dxa" w:w="985"/>
            <w:shd w:val="clear" w:color="auto" w:fill="DCE6F1"/>
          </w:tcPr>
          <w:p>
            <w:pPr>
              <w:pStyle w:val="Compact"/>
              <w:spacing w:before="0" w:after="0" w:line="240" w:lineRule="auto"/>
              <w:jc w:val="left"/>
            </w:pPr>
            <w:r>
              <w:rPr>
                <w:b/>
                <w:color w:val="1F3864"/>
                <w:sz w:val="21"/>
              </w:rPr>
              <w:t xml:space="preserve">Reason for any difference</w:t>
            </w:r>
          </w:p>
        </w:tc>
      </w:tr>
      <w:tr>
        <w:tc>
          <w:tcPr>
            <w:tcW w:type="dxa" w:w="1760"/>
          </w:tcPr>
          <w:p>
            <w:pPr>
              <w:pStyle w:val="Compact"/>
              <w:spacing w:before="0" w:after="0" w:line="240" w:lineRule="auto"/>
              <w:jc w:val="left"/>
            </w:pPr>
            <w:r>
              <w:rPr>
                <w:sz w:val="21"/>
              </w:rPr>
              <w:t xml:space="preserve">Turnover of zero-rated supply of goods (A)</w:t>
            </w:r>
          </w:p>
        </w:tc>
        <w:tc>
          <w:tcPr>
            <w:tcW w:type="dxa" w:w="4596"/>
          </w:tcPr>
          <w:p>
            <w:pPr>
              <w:pStyle w:val="Compact"/>
              <w:spacing w:before="0" w:after="0" w:line="240" w:lineRule="auto"/>
              <w:jc w:val="left"/>
            </w:pPr>
            <w:r>
              <w:rPr>
                <w:sz w:val="21"/>
              </w:rPr>
              <w:t xml:space="preserve">Table 1, lower of FOB and invoice, within limitation</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Turnover of zero-rated supply of services (B)</w:t>
            </w:r>
          </w:p>
        </w:tc>
        <w:tc>
          <w:tcPr>
            <w:tcW w:type="dxa" w:w="4596"/>
          </w:tcPr>
          <w:p>
            <w:pPr>
              <w:pStyle w:val="Compact"/>
              <w:spacing w:before="0" w:after="0" w:line="240" w:lineRule="auto"/>
              <w:jc w:val="left"/>
            </w:pPr>
            <w:r>
              <w:rPr>
                <w:sz w:val="21"/>
              </w:rPr>
              <w:t xml:space="preserve">[Nil / Statement 3 for services]</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Adjusted Total Turnover (C)</w:t>
            </w:r>
          </w:p>
        </w:tc>
        <w:tc>
          <w:tcPr>
            <w:tcW w:type="dxa" w:w="4596"/>
          </w:tcPr>
          <w:p>
            <w:pPr>
              <w:pStyle w:val="Compact"/>
              <w:spacing w:before="0" w:after="0" w:line="240" w:lineRule="auto"/>
              <w:jc w:val="left"/>
            </w:pPr>
            <w:r>
              <w:rPr>
                <w:sz w:val="21"/>
              </w:rPr>
              <w:t xml:space="preserve">GSTR-3B Table 3.1(a) and (b) only (rows (c) nil-rated / exempt, (d) inward reverse charge and (e) non-GST excluded: sections 2(112) and 2(47), rule 89(4)(E)), with</w:t>
            </w:r>
            <w:r>
              <w:rPr>
                <w:sz w:val="21"/>
              </w:rPr>
              <w:t xml:space="preserve"> </w:t>
            </w:r>
            <w:r>
              <w:rPr>
                <w:bCs/>
                <w:b/>
                <w:sz w:val="21"/>
              </w:rPr>
              <w:t xml:space="preserve">all</w:t>
            </w:r>
            <w:r>
              <w:rPr>
                <w:sz w:val="21"/>
              </w:rPr>
              <w:t xml:space="preserve"> </w:t>
            </w:r>
            <w:r>
              <w:rPr>
                <w:sz w:val="21"/>
              </w:rPr>
              <w:t xml:space="preserve">exports of the period (including any excluded for limitation in para 3.1) at the value determined under rule 89(4)(C) and its Explanation</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r>
        <w:tc>
          <w:tcPr>
            <w:tcW w:type="dxa" w:w="1760"/>
          </w:tcPr>
          <w:p>
            <w:pPr>
              <w:pStyle w:val="Compact"/>
              <w:spacing w:before="0" w:after="0" w:line="240" w:lineRule="auto"/>
              <w:jc w:val="left"/>
            </w:pPr>
            <w:r>
              <w:rPr>
                <w:sz w:val="21"/>
              </w:rPr>
              <w:t xml:space="preserve">Net ITC (D)</w:t>
            </w:r>
          </w:p>
        </w:tc>
        <w:tc>
          <w:tcPr>
            <w:tcW w:type="dxa" w:w="4596"/>
          </w:tcPr>
          <w:p>
            <w:pPr>
              <w:pStyle w:val="Compact"/>
              <w:spacing w:before="0" w:after="0" w:line="240" w:lineRule="auto"/>
              <w:jc w:val="left"/>
            </w:pPr>
            <w:r>
              <w:rPr>
                <w:sz w:val="21"/>
              </w:rPr>
              <w:t xml:space="preserve">GSTR-3B Table 4A(1) to 4A(5) less capital goods and ineligible credit</w:t>
            </w:r>
          </w:p>
        </w:tc>
        <w:tc>
          <w:tcPr>
            <w:tcW w:type="dxa" w:w="722"/>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788"/>
          </w:tcPr>
          <w:p>
            <w:pPr>
              <w:pStyle w:val="Compact"/>
              <w:spacing w:before="0" w:after="0" w:line="240" w:lineRule="auto"/>
              <w:jc w:val="left"/>
            </w:pPr>
            <w:r>
              <w:rPr>
                <w:sz w:val="21"/>
              </w:rPr>
              <w:t xml:space="preserve">[ ]</w:t>
            </w:r>
          </w:p>
        </w:tc>
        <w:tc>
          <w:tcPr>
            <w:tcW w:type="dxa" w:w="985"/>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reconcile Net ITC like this: total ITC availed in Table 4A(1) to 4A(5) [ ] − capital goods [ ] − blocked/ineligible [ ] = Net ITC [ ]. Do not pick the lowest turnover and the highest Adjusted Total Turnover as a rule; use the value the records support, the same value in the numerator and inside the denominator, and explain any gap.</w:t>
      </w:r>
    </w:p>
    <w:p>
      <w:pPr>
        <w:pStyle w:val="FirstParagraph"/>
        <w:spacing w:before="0" w:after="120" w:line="269" w:lineRule="auto"/>
      </w:pPr>
      <w:r>
        <w:t xml:space="preserve">7.2 Computation: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06"/>
        <w:gridCol w:w="6943"/>
        <w:gridCol w:w="1289"/>
      </w:tblGrid>
      <w:tr>
        <w:trPr>
          <w:tblHeader w:val="true"/>
          <w:tblHeader/>
        </w:trPr>
        <w:tc>
          <w:tcPr>
            <w:tcW w:type="dxa" w:w="1406"/>
            <w:shd w:val="clear" w:color="auto" w:fill="DCE6F1"/>
          </w:tcPr>
          <w:p>
            <w:pPr>
              <w:pStyle w:val="Compact"/>
              <w:spacing w:before="0" w:after="0" w:line="240" w:lineRule="auto"/>
              <w:jc w:val="left"/>
            </w:pPr>
            <w:r>
              <w:rPr>
                <w:b/>
                <w:color w:val="1F3864"/>
                <w:sz w:val="21"/>
              </w:rPr>
              <w:t xml:space="preserve">Step</w:t>
            </w:r>
          </w:p>
        </w:tc>
        <w:tc>
          <w:tcPr>
            <w:tcW w:type="dxa" w:w="6943"/>
            <w:shd w:val="clear" w:color="auto" w:fill="DCE6F1"/>
          </w:tcPr>
          <w:p>
            <w:pPr>
              <w:pStyle w:val="Compact"/>
              <w:spacing w:before="0" w:after="0" w:line="240" w:lineRule="auto"/>
              <w:jc w:val="left"/>
            </w:pPr>
            <w:r>
              <w:rPr>
                <w:b/>
                <w:color w:val="1F3864"/>
                <w:sz w:val="21"/>
              </w:rPr>
              <w:t xml:space="preserve">Working</w:t>
            </w:r>
          </w:p>
        </w:tc>
        <w:tc>
          <w:tcPr>
            <w:tcW w:type="dxa" w:w="1289"/>
            <w:shd w:val="clear" w:color="auto" w:fill="DCE6F1"/>
          </w:tcPr>
          <w:p>
            <w:pPr>
              <w:pStyle w:val="Compact"/>
              <w:spacing w:before="0" w:after="0" w:line="240" w:lineRule="auto"/>
              <w:jc w:val="left"/>
            </w:pPr>
            <w:r>
              <w:rPr>
                <w:b/>
                <w:color w:val="1F3864"/>
                <w:sz w:val="21"/>
              </w:rPr>
              <w:t xml:space="preserve">Amount (₹)</w:t>
            </w:r>
          </w:p>
        </w:tc>
      </w:tr>
      <w:tr>
        <w:tc>
          <w:tcPr>
            <w:tcW w:type="dxa" w:w="1406"/>
          </w:tcPr>
          <w:p>
            <w:pPr>
              <w:pStyle w:val="Compact"/>
              <w:spacing w:before="0" w:after="0" w:line="240" w:lineRule="auto"/>
              <w:jc w:val="left"/>
            </w:pPr>
            <w:r>
              <w:rPr>
                <w:sz w:val="21"/>
              </w:rPr>
              <w:t xml:space="preserve">(i)</w:t>
            </w:r>
          </w:p>
        </w:tc>
        <w:tc>
          <w:tcPr>
            <w:tcW w:type="dxa" w:w="6943"/>
          </w:tcPr>
          <w:p>
            <w:pPr>
              <w:pStyle w:val="Compact"/>
              <w:spacing w:before="0" w:after="0" w:line="240" w:lineRule="auto"/>
              <w:jc w:val="left"/>
            </w:pPr>
            <w:r>
              <w:rPr>
                <w:sz w:val="21"/>
              </w:rPr>
              <w:t xml:space="preserve">(A + B) × D ÷ C = ([ ] + [ ]) × [ ] ÷ [ ]</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(ii)</w:t>
            </w:r>
          </w:p>
        </w:tc>
        <w:tc>
          <w:tcPr>
            <w:tcW w:type="dxa" w:w="6943"/>
          </w:tcPr>
          <w:p>
            <w:pPr>
              <w:pStyle w:val="Compact"/>
              <w:spacing w:before="0" w:after="0" w:line="240" w:lineRule="auto"/>
              <w:jc w:val="left"/>
            </w:pPr>
            <w:r>
              <w:rPr>
                <w:sz w:val="21"/>
              </w:rPr>
              <w:t xml:space="preserve">Balance in the electronic credit ledger at the end of the period</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(iii)</w:t>
            </w:r>
          </w:p>
        </w:tc>
        <w:tc>
          <w:tcPr>
            <w:tcW w:type="dxa" w:w="6943"/>
          </w:tcPr>
          <w:p>
            <w:pPr>
              <w:pStyle w:val="Compact"/>
              <w:spacing w:before="0" w:after="0" w:line="240" w:lineRule="auto"/>
              <w:jc w:val="left"/>
            </w:pPr>
            <w:r>
              <w:rPr>
                <w:sz w:val="21"/>
              </w:rPr>
              <w:t xml:space="preserve">Balance in the electronic credit ledger at the time of filing</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(iv)</w:t>
            </w:r>
          </w:p>
        </w:tc>
        <w:tc>
          <w:tcPr>
            <w:tcW w:type="dxa" w:w="6943"/>
          </w:tcPr>
          <w:p>
            <w:pPr>
              <w:pStyle w:val="Compact"/>
              <w:spacing w:before="0" w:after="0" w:line="240" w:lineRule="auto"/>
              <w:jc w:val="left"/>
            </w:pPr>
            <w:r>
              <w:rPr>
                <w:sz w:val="21"/>
              </w:rPr>
              <w:t xml:space="preserve">Admissible refund: least of (i), (ii) and (iii), rounded to the nearest rupee (section 170)</w:t>
            </w:r>
          </w:p>
        </w:tc>
        <w:tc>
          <w:tcPr>
            <w:tcW w:type="dxa" w:w="1289"/>
          </w:tcPr>
          <w:p>
            <w:pPr>
              <w:pStyle w:val="Compact"/>
              <w:spacing w:before="0" w:after="0" w:line="240" w:lineRule="auto"/>
              <w:jc w:val="left"/>
            </w:pPr>
            <w:r>
              <w:rPr>
                <w:bCs/>
                <w:b/>
                <w:sz w:val="21"/>
              </w:rPr>
              <w:t xml:space="preserve">[ ]</w:t>
            </w:r>
          </w:p>
        </w:tc>
      </w:tr>
      <w:tr>
        <w:tc>
          <w:tcPr>
            <w:tcW w:type="dxa" w:w="1406"/>
          </w:tcPr>
          <w:p>
            <w:pPr>
              <w:pStyle w:val="Compact"/>
              <w:spacing w:before="0" w:after="0" w:line="240" w:lineRule="auto"/>
              <w:jc w:val="left"/>
            </w:pPr>
            <w:r>
              <w:rPr>
                <w:sz w:val="21"/>
              </w:rPr>
              <w:t xml:space="preserve">(v)</w:t>
            </w:r>
          </w:p>
        </w:tc>
        <w:tc>
          <w:tcPr>
            <w:tcW w:type="dxa" w:w="6943"/>
          </w:tcPr>
          <w:p>
            <w:pPr>
              <w:pStyle w:val="Compact"/>
              <w:spacing w:before="0" w:after="0" w:line="240" w:lineRule="auto"/>
              <w:jc w:val="left"/>
            </w:pPr>
            <w:r>
              <w:rPr>
                <w:sz w:val="21"/>
              </w:rPr>
              <w:t xml:space="preserve">Amount claimed</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(vi)</w:t>
            </w:r>
          </w:p>
        </w:tc>
        <w:tc>
          <w:tcPr>
            <w:tcW w:type="dxa" w:w="6943"/>
          </w:tcPr>
          <w:p>
            <w:pPr>
              <w:pStyle w:val="Compact"/>
              <w:spacing w:before="0" w:after="0" w:line="240" w:lineRule="auto"/>
              <w:jc w:val="left"/>
            </w:pPr>
            <w:r>
              <w:rPr>
                <w:sz w:val="21"/>
              </w:rPr>
              <w:t xml:space="preserve">Inadmissible: (v) − (iv)</w:t>
            </w:r>
          </w:p>
        </w:tc>
        <w:tc>
          <w:tcPr>
            <w:tcW w:type="dxa" w:w="1289"/>
          </w:tcPr>
          <w:p>
            <w:pPr>
              <w:pStyle w:val="Compact"/>
              <w:spacing w:before="0" w:after="0" w:line="240" w:lineRule="auto"/>
              <w:jc w:val="left"/>
            </w:pPr>
            <w:r>
              <w:rPr>
                <w:sz w:val="21"/>
              </w:rPr>
              <w:t xml:space="preserve">[ ]</w:t>
            </w:r>
          </w:p>
        </w:tc>
      </w:tr>
      <w:tr>
        <w:tc>
          <w:tcPr>
            <w:tcW w:type="dxa" w:w="1406"/>
          </w:tcPr>
          <w:p>
            <w:pPr>
              <w:pStyle w:val="Compact"/>
              <w:spacing w:before="0" w:after="0" w:line="240" w:lineRule="auto"/>
              <w:jc w:val="left"/>
            </w:pPr>
            <w:r>
              <w:rPr>
                <w:sz w:val="21"/>
              </w:rPr>
              <w:t xml:space="preserve">(cess)</w:t>
            </w:r>
          </w:p>
        </w:tc>
        <w:tc>
          <w:tcPr>
            <w:tcW w:type="dxa" w:w="6943"/>
          </w:tcPr>
          <w:p>
            <w:pPr>
              <w:pStyle w:val="Compact"/>
              <w:spacing w:before="0" w:after="0" w:line="240" w:lineRule="auto"/>
              <w:jc w:val="left"/>
            </w:pPr>
            <w:r>
              <w:rPr>
                <w:sz w:val="21"/>
              </w:rPr>
              <w:t xml:space="preserve">[If compensation cess is claimed] the same formula applied to cess credit alone, debited entirely from the cess balance (para 39 of Circular No. 125/44/2019-GST): [working]</w:t>
            </w:r>
          </w:p>
        </w:tc>
        <w:tc>
          <w:tcPr>
            <w:tcW w:type="dxa" w:w="1289"/>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7.3 Head-wise split. The admissible amount (other than cess) is taken from the credit ledger in the order in which it was debited: integrated tax first, then central tax and State tax equally (para 37 of Circular 125):</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36"/>
        <w:gridCol w:w="1483"/>
        <w:gridCol w:w="1483"/>
        <w:gridCol w:w="1483"/>
        <w:gridCol w:w="1853"/>
        <w:gridCol w:w="2101"/>
      </w:tblGrid>
      <w:tr>
        <w:trPr>
          <w:tblHeader w:val="true"/>
          <w:tblHeader/>
        </w:trPr>
        <w:tc>
          <w:tcPr>
            <w:tcW w:type="dxa" w:w="1236"/>
            <w:shd w:val="clear" w:color="auto" w:fill="DCE6F1"/>
          </w:tcPr>
          <w:p>
            <w:pPr>
              <w:pStyle w:val="Compact"/>
              <w:spacing w:before="0" w:after="0" w:line="240" w:lineRule="auto"/>
              <w:jc w:val="left"/>
            </w:pPr>
            <w:r>
              <w:rPr>
                <w:b/>
                <w:color w:val="1F3864"/>
                <w:sz w:val="21"/>
              </w:rPr>
              <w:t xml:space="preserve">Head</w:t>
            </w:r>
          </w:p>
        </w:tc>
        <w:tc>
          <w:tcPr>
            <w:tcW w:type="dxa" w:w="1483"/>
            <w:shd w:val="clear" w:color="auto" w:fill="DCE6F1"/>
          </w:tcPr>
          <w:p>
            <w:pPr>
              <w:pStyle w:val="Compact"/>
              <w:spacing w:before="0" w:after="0" w:line="240" w:lineRule="auto"/>
              <w:jc w:val="left"/>
            </w:pPr>
            <w:r>
              <w:rPr>
                <w:b/>
                <w:color w:val="1F3864"/>
                <w:sz w:val="21"/>
              </w:rPr>
              <w:t xml:space="preserve">Debited in RFD-01 (₹)</w:t>
            </w:r>
          </w:p>
        </w:tc>
        <w:tc>
          <w:tcPr>
            <w:tcW w:type="dxa" w:w="1483"/>
            <w:shd w:val="clear" w:color="auto" w:fill="DCE6F1"/>
          </w:tcPr>
          <w:p>
            <w:pPr>
              <w:pStyle w:val="Compact"/>
              <w:spacing w:before="0" w:after="0" w:line="240" w:lineRule="auto"/>
              <w:jc w:val="left"/>
            </w:pPr>
            <w:r>
              <w:rPr>
                <w:b/>
                <w:color w:val="1F3864"/>
                <w:sz w:val="21"/>
              </w:rPr>
              <w:t xml:space="preserve">Ledger balance at end of period (₹)</w:t>
            </w:r>
          </w:p>
        </w:tc>
        <w:tc>
          <w:tcPr>
            <w:tcW w:type="dxa" w:w="1483"/>
            <w:shd w:val="clear" w:color="auto" w:fill="DCE6F1"/>
          </w:tcPr>
          <w:p>
            <w:pPr>
              <w:pStyle w:val="Compact"/>
              <w:spacing w:before="0" w:after="0" w:line="240" w:lineRule="auto"/>
              <w:jc w:val="left"/>
            </w:pPr>
            <w:r>
              <w:rPr>
                <w:b/>
                <w:color w:val="1F3864"/>
                <w:sz w:val="21"/>
              </w:rPr>
              <w:t xml:space="preserve">Ledger balance at filing (₹)</w:t>
            </w:r>
          </w:p>
        </w:tc>
        <w:tc>
          <w:tcPr>
            <w:tcW w:type="dxa" w:w="1853"/>
            <w:shd w:val="clear" w:color="auto" w:fill="DCE6F1"/>
          </w:tcPr>
          <w:p>
            <w:pPr>
              <w:pStyle w:val="Compact"/>
              <w:spacing w:before="0" w:after="0" w:line="240" w:lineRule="auto"/>
              <w:jc w:val="left"/>
            </w:pPr>
            <w:r>
              <w:rPr>
                <w:b/>
                <w:color w:val="1F3864"/>
                <w:sz w:val="21"/>
              </w:rPr>
              <w:t xml:space="preserve">Admissible (₹)</w:t>
            </w:r>
          </w:p>
        </w:tc>
        <w:tc>
          <w:tcPr>
            <w:tcW w:type="dxa" w:w="2101"/>
            <w:shd w:val="clear" w:color="auto" w:fill="DCE6F1"/>
          </w:tcPr>
          <w:p>
            <w:pPr>
              <w:pStyle w:val="Compact"/>
              <w:spacing w:before="0" w:after="0" w:line="240" w:lineRule="auto"/>
              <w:jc w:val="left"/>
            </w:pPr>
            <w:r>
              <w:rPr>
                <w:b/>
                <w:color w:val="1F3864"/>
                <w:sz w:val="21"/>
              </w:rPr>
              <w:t xml:space="preserve">Inadmissible (₹)</w:t>
            </w:r>
          </w:p>
        </w:tc>
      </w:tr>
      <w:tr>
        <w:tc>
          <w:tcPr>
            <w:tcW w:type="dxa" w:w="1236"/>
          </w:tcPr>
          <w:p>
            <w:pPr>
              <w:pStyle w:val="Compact"/>
              <w:spacing w:before="0" w:after="0" w:line="240" w:lineRule="auto"/>
              <w:jc w:val="left"/>
            </w:pPr>
            <w:r>
              <w:rPr>
                <w:sz w:val="21"/>
              </w:rPr>
              <w:t xml:space="preserve">IGST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SGST</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tcPr>
          <w:p>
            <w:pPr>
              <w:pStyle w:val="Compact"/>
              <w:spacing w:before="0" w:after="0" w:line="240" w:lineRule="auto"/>
              <w:jc w:val="left"/>
            </w:pPr>
            <w:r>
              <w:rPr>
                <w:sz w:val="21"/>
              </w:rPr>
              <w:t xml:space="preserve">Cess</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483"/>
          </w:tcPr>
          <w:p>
            <w:pPr>
              <w:pStyle w:val="Compact"/>
              <w:spacing w:before="0" w:after="0" w:line="240" w:lineRule="auto"/>
              <w:jc w:val="left"/>
            </w:pPr>
            <w:r>
              <w:rPr>
                <w:sz w:val="21"/>
              </w:rPr>
              <w:t xml:space="preserve">[ ]</w:t>
            </w:r>
          </w:p>
        </w:tc>
        <w:tc>
          <w:tcPr>
            <w:tcW w:type="dxa" w:w="1853"/>
          </w:tcPr>
          <w:p>
            <w:pPr>
              <w:pStyle w:val="Compact"/>
              <w:spacing w:before="0" w:after="0" w:line="240" w:lineRule="auto"/>
              <w:jc w:val="left"/>
            </w:pPr>
            <w:r>
              <w:rPr>
                <w:sz w:val="21"/>
              </w:rPr>
              <w:t xml:space="preserve">[ ]</w:t>
            </w:r>
          </w:p>
        </w:tc>
        <w:tc>
          <w:tcPr>
            <w:tcW w:type="dxa" w:w="2101"/>
          </w:tcPr>
          <w:p>
            <w:pPr>
              <w:pStyle w:val="Compact"/>
              <w:spacing w:before="0" w:after="0" w:line="240" w:lineRule="auto"/>
              <w:jc w:val="left"/>
            </w:pPr>
            <w:r>
              <w:rPr>
                <w:sz w:val="21"/>
              </w:rPr>
              <w:t xml:space="preserve">[ ]</w:t>
            </w:r>
          </w:p>
        </w:tc>
      </w:tr>
      <w:tr>
        <w:tc>
          <w:tcPr>
            <w:tcW w:type="dxa" w:w="1236"/>
            <w:shd w:val="clear" w:color="auto" w:fill="F2F2F2"/>
          </w:tcPr>
          <w:p>
            <w:pPr>
              <w:pStyle w:val="Compact"/>
              <w:spacing w:before="0" w:after="0" w:line="240" w:lineRule="auto"/>
              <w:jc w:val="left"/>
            </w:pPr>
            <w:r>
              <w:rPr>
                <w:bCs/>
                <w:b/>
                <w:sz w:val="21"/>
              </w:rPr>
              <w:t xml:space="preserve">Total</w:t>
            </w:r>
          </w:p>
        </w:tc>
        <w:tc>
          <w:tcPr>
            <w:tcW w:type="dxa" w:w="1483"/>
            <w:shd w:val="clear" w:color="auto" w:fill="F2F2F2"/>
          </w:tcPr>
          <w:p>
            <w:pPr>
              <w:pStyle w:val="Compact"/>
              <w:spacing w:before="0" w:after="0" w:line="240" w:lineRule="auto"/>
              <w:jc w:val="left"/>
            </w:pPr>
            <w:r>
              <w:rPr>
                <w:bCs/>
                <w:b/>
                <w:sz w:val="21"/>
              </w:rPr>
              <w:t xml:space="preserve">[ ]</w:t>
            </w:r>
          </w:p>
        </w:tc>
        <w:tc>
          <w:tcPr>
            <w:tcW w:type="dxa" w:w="1483"/>
            <w:shd w:val="clear" w:color="auto" w:fill="F2F2F2"/>
          </w:tcPr>
          <w:p>
            <w:pPr>
              <w:pStyle w:val="Compact"/>
              <w:spacing w:before="0" w:after="0" w:line="240" w:lineRule="auto"/>
            </w:pPr>
          </w:p>
        </w:tc>
        <w:tc>
          <w:tcPr>
            <w:tcW w:type="dxa" w:w="1483"/>
            <w:shd w:val="clear" w:color="auto" w:fill="F2F2F2"/>
          </w:tcPr>
          <w:p>
            <w:pPr>
              <w:pStyle w:val="Compact"/>
              <w:spacing w:before="0" w:after="0" w:line="240" w:lineRule="auto"/>
            </w:pPr>
          </w:p>
        </w:tc>
        <w:tc>
          <w:tcPr>
            <w:tcW w:type="dxa" w:w="1853"/>
            <w:shd w:val="clear" w:color="auto" w:fill="F2F2F2"/>
          </w:tcPr>
          <w:p>
            <w:pPr>
              <w:pStyle w:val="Compact"/>
              <w:spacing w:before="0" w:after="0" w:line="240" w:lineRule="auto"/>
              <w:jc w:val="left"/>
            </w:pPr>
            <w:r>
              <w:rPr>
                <w:bCs/>
                <w:b/>
                <w:sz w:val="21"/>
              </w:rPr>
              <w:t xml:space="preserve">[ ]</w:t>
            </w:r>
          </w:p>
        </w:tc>
        <w:tc>
          <w:tcPr>
            <w:tcW w:type="dxa" w:w="2101"/>
            <w:shd w:val="clear" w:color="auto" w:fill="F2F2F2"/>
          </w:tcPr>
          <w:p>
            <w:pPr>
              <w:pStyle w:val="Compact"/>
              <w:spacing w:before="0" w:after="0" w:line="240" w:lineRule="auto"/>
              <w:jc w:val="left"/>
            </w:pPr>
            <w:r>
              <w:rPr>
                <w:bCs/>
                <w:b/>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compensation cess is computed separately, by applying the formula to cess credit alone, and is debited entirely from the cess balance (para 39 of Circular No. 125/44/2019-GST); the IGST-first order of debit applies only to IGST, CGST and SGST. If the applicant did not follow that order of debit, no adverse view is taken (para 38). Delete the Cess row if no cess is involved.</w:t>
      </w:r>
    </w:p>
    <w:p>
      <w:pPr>
        <w:pStyle w:val="FirstParagraph"/>
        <w:keepNext/>
        <w:spacing w:before="240" w:after="80"/>
        <w:pBdr>
          <w:bottom w:val="single" w:sz="6" w:space="1" w:color="B4C6E7"/>
        </w:pBdr>
      </w:pPr>
      <w:r>
        <w:rPr>
          <w:bCs/>
          <w:b/>
          <w:color w:val="1F3864"/>
          <w:sz w:val="25"/>
        </w:rPr>
        <w:t xml:space="preserve">8. Notice, reply and personal hearing</w:t>
      </w:r>
    </w:p>
    <w:p>
      <w:pPr>
        <w:pStyle w:val="BlockText"/>
        <w:shd w:val="clear" w:color="auto" w:fill="E7E6E6"/>
      </w:pPr>
      <w:r>
        <w:rPr>
          <w:bCs/>
          <w:b/>
          <w:sz w:val="21"/>
        </w:rPr>
        <w:t xml:space="preserve">Drafting note:</w:t>
      </w:r>
      <w:r>
        <w:rPr>
          <w:sz w:val="21"/>
        </w:rPr>
        <w:t xml:space="preserve"> </w:t>
      </w:r>
      <w:r>
        <w:rPr>
          <w:sz w:val="21"/>
        </w:rPr>
        <w:t xml:space="preserve">if the claim is sanctioned in full, replace this whole para with:</w:t>
      </w:r>
      <w:r>
        <w:rPr>
          <w:sz w:val="21"/>
        </w:rPr>
        <w:t xml:space="preserve"> </w:t>
      </w:r>
      <w:r>
        <w:rPr>
          <w:sz w:val="21"/>
        </w:rPr>
        <w:t xml:space="preserve">“</w:t>
      </w:r>
      <w:r>
        <w:rPr>
          <w:sz w:val="21"/>
        </w:rPr>
        <w:t xml:space="preserve">8.1 As the claim is found admissible in full, no notice in FORM GST RFD-08 was required.</w:t>
      </w:r>
      <w:r>
        <w:rPr>
          <w:sz w:val="21"/>
        </w:rPr>
        <w:t xml:space="preserve">”</w:t>
      </w:r>
      <w:r>
        <w:rPr>
          <w:sz w:val="21"/>
        </w:rPr>
        <w:t xml:space="preserve"> </w:t>
      </w:r>
      <w:r>
        <w:rPr>
          <w:sz w:val="21"/>
        </w:rPr>
        <w:t xml:space="preserve">Otherwise, the notice must state each actual ground found, with figures, and not template wording (rule 92(3) needs</w:t>
      </w:r>
      <w:r>
        <w:rPr>
          <w:sz w:val="21"/>
        </w:rPr>
        <w:t xml:space="preserve"> </w:t>
      </w:r>
      <w:r>
        <w:rPr>
          <w:sz w:val="21"/>
        </w:rPr>
        <w:t xml:space="preserve">“</w:t>
      </w:r>
      <w:r>
        <w:rPr>
          <w:sz w:val="21"/>
        </w:rPr>
        <w:t xml:space="preserve">reasons to be recorded in writing</w:t>
      </w:r>
      <w:r>
        <w:rPr>
          <w:sz w:val="21"/>
        </w:rPr>
        <w:t xml:space="preserve">”</w:t>
      </w:r>
      <w:r>
        <w:rPr>
          <w:sz w:val="21"/>
        </w:rPr>
        <w:t xml:space="preserve">). The order can reject only on a ground put to the applicant in the notice. Under rule 92(3) the applicant gets fifteen days to reply, and no application can be rejected without an opportunity of being heard.</w:t>
      </w:r>
    </w:p>
    <w:p>
      <w:pPr>
        <w:pStyle w:val="FirstParagraph"/>
        <w:spacing w:before="0" w:after="120" w:line="269" w:lineRule="auto"/>
        <w:jc w:val="both"/>
      </w:pPr>
      <w:r>
        <w:t xml:space="preserve">8.1 On scrutiny, the following grounds were noticed, and a notice in FORM GST RFD-08 No. [ ] dated [DD.MM.YYYY] was issued proposing to reject ₹[ ] of the claim and asking the applicant to reply in FORM GST RFD-09 within fifteen days: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244"/>
        <w:gridCol w:w="4539"/>
        <w:gridCol w:w="2856"/>
      </w:tblGrid>
      <w:tr>
        <w:trPr>
          <w:tblHeader w:val="true"/>
          <w:tblHeader/>
        </w:trPr>
        <w:tc>
          <w:tcPr>
            <w:tcW w:type="dxa" w:w="2244"/>
            <w:shd w:val="clear" w:color="auto" w:fill="DCE6F1"/>
          </w:tcPr>
          <w:p>
            <w:pPr>
              <w:pStyle w:val="Compact"/>
              <w:spacing w:before="0" w:after="0" w:line="240" w:lineRule="auto"/>
              <w:jc w:val="left"/>
            </w:pPr>
            <w:r>
              <w:rPr>
                <w:b/>
                <w:color w:val="1F3864"/>
                <w:sz w:val="21"/>
              </w:rPr>
              <w:t xml:space="preserve">Ground No.</w:t>
            </w:r>
          </w:p>
        </w:tc>
        <w:tc>
          <w:tcPr>
            <w:tcW w:type="dxa" w:w="4539"/>
            <w:shd w:val="clear" w:color="auto" w:fill="DCE6F1"/>
          </w:tcPr>
          <w:p>
            <w:pPr>
              <w:pStyle w:val="Compact"/>
              <w:spacing w:before="0" w:after="0" w:line="240" w:lineRule="auto"/>
              <w:jc w:val="left"/>
            </w:pPr>
            <w:r>
              <w:rPr>
                <w:b/>
                <w:color w:val="1F3864"/>
                <w:sz w:val="21"/>
              </w:rPr>
              <w:t xml:space="preserve">Ground stated in the notice</w:t>
            </w:r>
          </w:p>
        </w:tc>
        <w:tc>
          <w:tcPr>
            <w:tcW w:type="dxa" w:w="2856"/>
            <w:shd w:val="clear" w:color="auto" w:fill="DCE6F1"/>
          </w:tcPr>
          <w:p>
            <w:pPr>
              <w:pStyle w:val="Compact"/>
              <w:spacing w:before="0" w:after="0" w:line="240" w:lineRule="auto"/>
              <w:jc w:val="left"/>
            </w:pPr>
            <w:r>
              <w:rPr>
                <w:b/>
                <w:color w:val="1F3864"/>
                <w:sz w:val="21"/>
              </w:rPr>
              <w:t xml:space="preserve">Amount proposed for rejection (₹)</w:t>
            </w:r>
          </w:p>
        </w:tc>
      </w:tr>
      <w:tr>
        <w:tc>
          <w:tcPr>
            <w:tcW w:type="dxa" w:w="2244"/>
          </w:tcPr>
          <w:p>
            <w:pPr>
              <w:pStyle w:val="Compact"/>
              <w:spacing w:before="0" w:after="0" w:line="240" w:lineRule="auto"/>
              <w:jc w:val="left"/>
            </w:pPr>
            <w:r>
              <w:rPr>
                <w:sz w:val="21"/>
              </w:rPr>
              <w:t xml:space="preserve">1</w:t>
            </w:r>
          </w:p>
        </w:tc>
        <w:tc>
          <w:tcPr>
            <w:tcW w:type="dxa" w:w="4539"/>
          </w:tcPr>
          <w:p>
            <w:pPr>
              <w:pStyle w:val="Compact"/>
              <w:spacing w:before="0" w:after="0" w:line="240" w:lineRule="auto"/>
              <w:jc w:val="left"/>
            </w:pPr>
            <w:r>
              <w:rPr>
                <w:sz w:val="21"/>
              </w:rPr>
              <w:t xml:space="preserve">[ground, with the figures and the provision relied on]</w:t>
            </w:r>
          </w:p>
        </w:tc>
        <w:tc>
          <w:tcPr>
            <w:tcW w:type="dxa" w:w="2856"/>
          </w:tcPr>
          <w:p>
            <w:pPr>
              <w:pStyle w:val="Compact"/>
              <w:spacing w:before="0" w:after="0" w:line="240" w:lineRule="auto"/>
              <w:jc w:val="left"/>
            </w:pPr>
            <w:r>
              <w:rPr>
                <w:sz w:val="21"/>
              </w:rPr>
              <w:t xml:space="preserve">[ ]</w:t>
            </w:r>
          </w:p>
        </w:tc>
      </w:tr>
      <w:tr>
        <w:tc>
          <w:tcPr>
            <w:tcW w:type="dxa" w:w="2244"/>
          </w:tcPr>
          <w:p>
            <w:pPr>
              <w:pStyle w:val="Compact"/>
              <w:spacing w:before="0" w:after="0" w:line="240" w:lineRule="auto"/>
              <w:jc w:val="left"/>
            </w:pPr>
            <w:r>
              <w:rPr>
                <w:sz w:val="21"/>
              </w:rPr>
              <w:t xml:space="preserve">2</w:t>
            </w:r>
          </w:p>
        </w:tc>
        <w:tc>
          <w:tcPr>
            <w:tcW w:type="dxa" w:w="4539"/>
          </w:tcPr>
          <w:p>
            <w:pPr>
              <w:pStyle w:val="Compact"/>
              <w:spacing w:before="0" w:after="0" w:line="240" w:lineRule="auto"/>
              <w:jc w:val="left"/>
            </w:pPr>
            <w:r>
              <w:rPr>
                <w:sz w:val="21"/>
              </w:rPr>
              <w:t xml:space="preserve">[ ]</w:t>
            </w:r>
          </w:p>
        </w:tc>
        <w:tc>
          <w:tcPr>
            <w:tcW w:type="dxa" w:w="2856"/>
          </w:tcPr>
          <w:p>
            <w:pPr>
              <w:pStyle w:val="Compact"/>
              <w:spacing w:before="0" w:after="0" w:line="240" w:lineRule="auto"/>
              <w:jc w:val="left"/>
            </w:pPr>
            <w:r>
              <w:rPr>
                <w:sz w:val="21"/>
              </w:rPr>
              <w:t xml:space="preserve">[ ]</w:t>
            </w:r>
          </w:p>
        </w:tc>
      </w:tr>
      <w:tr>
        <w:tc>
          <w:tcPr>
            <w:tcW w:type="dxa" w:w="2244"/>
            <w:shd w:val="clear" w:color="auto" w:fill="F2F2F2"/>
          </w:tcPr>
          <w:p>
            <w:pPr>
              <w:pStyle w:val="Compact"/>
              <w:spacing w:before="0" w:after="0" w:line="240" w:lineRule="auto"/>
            </w:pPr>
          </w:p>
        </w:tc>
        <w:tc>
          <w:tcPr>
            <w:tcW w:type="dxa" w:w="4539"/>
            <w:shd w:val="clear" w:color="auto" w:fill="F2F2F2"/>
          </w:tcPr>
          <w:p>
            <w:pPr>
              <w:pStyle w:val="Compact"/>
              <w:spacing w:before="0" w:after="0" w:line="240" w:lineRule="auto"/>
              <w:jc w:val="left"/>
            </w:pPr>
            <w:r>
              <w:rPr>
                <w:bCs/>
                <w:b/>
                <w:sz w:val="21"/>
              </w:rPr>
              <w:t xml:space="preserve">Total</w:t>
            </w:r>
          </w:p>
        </w:tc>
        <w:tc>
          <w:tcPr>
            <w:tcW w:type="dxa" w:w="2856"/>
            <w:shd w:val="clear" w:color="auto" w:fill="F2F2F2"/>
          </w:tcPr>
          <w:p>
            <w:pPr>
              <w:pStyle w:val="Compact"/>
              <w:spacing w:before="0" w:after="0" w:line="240" w:lineRule="auto"/>
              <w:jc w:val="left"/>
            </w:pPr>
            <w:r>
              <w:rPr>
                <w:bCs/>
                <w:b/>
                <w:sz w:val="21"/>
              </w:rPr>
              <w:t xml:space="preserve">[ ]</w:t>
            </w:r>
          </w:p>
        </w:tc>
      </w:tr>
    </w:tbl>
    <w:p>
      <w:pPr>
        <w:pStyle w:val="BodyText"/>
        <w:spacing w:before="0" w:after="120" w:line="269" w:lineRule="auto"/>
        <w:jc w:val="both"/>
      </w:pPr>
      <w:r>
        <w:t xml:space="preserve">8.2 The applicant replied in FORM GST RFD-09 on [DD.MM.YYYY] [Option: after the time extended on request dated [ ]] and submitted [list of documents]. A personal hearing was held on [DD.MM.YYYY], attended by [designation of the authorised representative, not the person’s name], who [reiterated the reply] / [made the following further submissions: …] and [filed additional documents on [DD.MM.YYYY]].</w:t>
      </w:r>
    </w:p>
    <w:p>
      <w:pPr>
        <w:pStyle w:val="BodyText"/>
        <w:spacing w:before="0" w:after="120" w:line="269" w:lineRule="auto"/>
        <w:jc w:val="both"/>
      </w:pPr>
      <w:r>
        <w:t xml:space="preserve">[Option, where the applicant did not respond] 8.2 No reply was received. Opportunities of personal hearing were given on [DD.MM.YYYY], [DD.MM.YYYY] and [DD.MM.YYYY] by letters served on the portal [and by e-mail], but no one appeared and no adjournment was sought. The matter is therefore decided on the records available, as each of the grounds below is examined on its merits.</w:t>
      </w:r>
    </w:p>
    <w:p>
      <w:pPr>
        <w:pStyle w:val="BodyText"/>
        <w:spacing w:before="0" w:after="120" w:line="269" w:lineRule="auto"/>
        <w:jc w:val="both"/>
      </w:pPr>
      <w:r>
        <w:t xml:space="preserve">8.3</w:t>
      </w:r>
      <w:r>
        <w:t xml:space="preserve"> </w:t>
      </w:r>
      <w:r>
        <w:rPr>
          <w:bCs/>
          <w:b/>
        </w:rPr>
        <w:t xml:space="preserve">Findings on each ground.</w:t>
      </w:r>
      <w:r>
        <w:t xml:space="preserve"> </w:t>
      </w:r>
      <w:r>
        <w:t xml:space="preserve">Each ground in the notice, each point in the reply and each submission made at the hearing is dealt with below.</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60"/>
        <w:gridCol w:w="2024"/>
        <w:gridCol w:w="1638"/>
        <w:gridCol w:w="2602"/>
        <w:gridCol w:w="1253"/>
        <w:gridCol w:w="1060"/>
      </w:tblGrid>
      <w:tr>
        <w:trPr>
          <w:tblHeader w:val="true"/>
          <w:tblHeader/>
        </w:trPr>
        <w:tc>
          <w:tcPr>
            <w:tcW w:type="dxa" w:w="1060"/>
            <w:shd w:val="clear" w:color="auto" w:fill="DCE6F1"/>
          </w:tcPr>
          <w:p>
            <w:pPr>
              <w:pStyle w:val="Compact"/>
              <w:spacing w:before="0" w:after="0" w:line="240" w:lineRule="auto"/>
              <w:jc w:val="left"/>
            </w:pPr>
            <w:r>
              <w:rPr>
                <w:b/>
                <w:color w:val="1F3864"/>
                <w:sz w:val="21"/>
              </w:rPr>
              <w:t xml:space="preserve">Ground</w:t>
            </w:r>
          </w:p>
        </w:tc>
        <w:tc>
          <w:tcPr>
            <w:tcW w:type="dxa" w:w="2024"/>
            <w:shd w:val="clear" w:color="auto" w:fill="DCE6F1"/>
          </w:tcPr>
          <w:p>
            <w:pPr>
              <w:pStyle w:val="Compact"/>
              <w:spacing w:before="0" w:after="0" w:line="240" w:lineRule="auto"/>
              <w:jc w:val="left"/>
            </w:pPr>
            <w:r>
              <w:rPr>
                <w:b/>
                <w:color w:val="1F3864"/>
                <w:sz w:val="21"/>
              </w:rPr>
              <w:t xml:space="preserve">Applicant’s reply / submission at hearing</w:t>
            </w:r>
          </w:p>
        </w:tc>
        <w:tc>
          <w:tcPr>
            <w:tcW w:type="dxa" w:w="1638"/>
            <w:shd w:val="clear" w:color="auto" w:fill="DCE6F1"/>
          </w:tcPr>
          <w:p>
            <w:pPr>
              <w:pStyle w:val="Compact"/>
              <w:spacing w:before="0" w:after="0" w:line="240" w:lineRule="auto"/>
              <w:jc w:val="left"/>
            </w:pPr>
            <w:r>
              <w:rPr>
                <w:b/>
                <w:color w:val="1F3864"/>
                <w:sz w:val="21"/>
              </w:rPr>
              <w:t xml:space="preserve">Verification done</w:t>
            </w:r>
          </w:p>
        </w:tc>
        <w:tc>
          <w:tcPr>
            <w:tcW w:type="dxa" w:w="2602"/>
            <w:shd w:val="clear" w:color="auto" w:fill="DCE6F1"/>
          </w:tcPr>
          <w:p>
            <w:pPr>
              <w:pStyle w:val="Compact"/>
              <w:spacing w:before="0" w:after="0" w:line="240" w:lineRule="auto"/>
              <w:jc w:val="left"/>
            </w:pPr>
            <w:r>
              <w:rPr>
                <w:b/>
                <w:color w:val="1F3864"/>
                <w:sz w:val="21"/>
              </w:rPr>
              <w:t xml:space="preserve">Finding and provision relied on</w:t>
            </w:r>
          </w:p>
        </w:tc>
        <w:tc>
          <w:tcPr>
            <w:tcW w:type="dxa" w:w="1253"/>
            <w:shd w:val="clear" w:color="auto" w:fill="DCE6F1"/>
          </w:tcPr>
          <w:p>
            <w:pPr>
              <w:pStyle w:val="Compact"/>
              <w:spacing w:before="0" w:after="0" w:line="240" w:lineRule="auto"/>
              <w:jc w:val="left"/>
            </w:pPr>
            <w:r>
              <w:rPr>
                <w:b/>
                <w:color w:val="1F3864"/>
                <w:sz w:val="21"/>
              </w:rPr>
              <w:t xml:space="preserve">ITC / turnover / tax affected (₹)</w:t>
            </w:r>
          </w:p>
        </w:tc>
        <w:tc>
          <w:tcPr>
            <w:tcW w:type="dxa" w:w="1060"/>
            <w:shd w:val="clear" w:color="auto" w:fill="DCE6F1"/>
          </w:tcPr>
          <w:p>
            <w:pPr>
              <w:pStyle w:val="Compact"/>
              <w:spacing w:before="0" w:after="0" w:line="240" w:lineRule="auto"/>
              <w:jc w:val="left"/>
            </w:pPr>
            <w:r>
              <w:rPr>
                <w:b/>
                <w:color w:val="1F3864"/>
                <w:sz w:val="21"/>
              </w:rPr>
              <w:t xml:space="preserve">Effect on refund (₹)</w:t>
            </w:r>
          </w:p>
        </w:tc>
      </w:tr>
      <w:tr>
        <w:tc>
          <w:tcPr>
            <w:tcW w:type="dxa" w:w="1060"/>
          </w:tcPr>
          <w:p>
            <w:pPr>
              <w:pStyle w:val="Compact"/>
              <w:spacing w:before="0" w:after="0" w:line="240" w:lineRule="auto"/>
              <w:jc w:val="left"/>
            </w:pPr>
            <w:r>
              <w:rPr>
                <w:sz w:val="21"/>
              </w:rPr>
              <w:t xml:space="preserve">1</w:t>
            </w:r>
          </w:p>
        </w:tc>
        <w:tc>
          <w:tcPr>
            <w:tcW w:type="dxa" w:w="2024"/>
          </w:tcPr>
          <w:p>
            <w:pPr>
              <w:pStyle w:val="Compact"/>
              <w:spacing w:before="0" w:after="0" w:line="240" w:lineRule="auto"/>
              <w:jc w:val="left"/>
            </w:pPr>
            <w:r>
              <w:rPr>
                <w:sz w:val="21"/>
              </w:rPr>
              <w:t xml:space="preserve">[summary of the reply on this ground]</w:t>
            </w:r>
          </w:p>
        </w:tc>
        <w:tc>
          <w:tcPr>
            <w:tcW w:type="dxa" w:w="1638"/>
          </w:tcPr>
          <w:p>
            <w:pPr>
              <w:pStyle w:val="Compact"/>
              <w:spacing w:before="0" w:after="0" w:line="240" w:lineRule="auto"/>
              <w:jc w:val="left"/>
            </w:pPr>
            <w:r>
              <w:rPr>
                <w:sz w:val="21"/>
              </w:rPr>
              <w:t xml:space="preserve">[what was checked, against which record]</w:t>
            </w:r>
          </w:p>
        </w:tc>
        <w:tc>
          <w:tcPr>
            <w:tcW w:type="dxa" w:w="2602"/>
          </w:tcPr>
          <w:p>
            <w:pPr>
              <w:pStyle w:val="Compact"/>
              <w:spacing w:before="0" w:after="0" w:line="240" w:lineRule="auto"/>
              <w:jc w:val="left"/>
            </w:pPr>
            <w:r>
              <w:rPr>
                <w:sz w:val="21"/>
              </w:rPr>
              <w:t xml:space="preserve">[Accepted / Partly accepted / Not accepted, because …; section or rule]</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2</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r>
        <w:tc>
          <w:tcPr>
            <w:tcW w:type="dxa" w:w="1060"/>
          </w:tcPr>
          <w:p>
            <w:pPr>
              <w:pStyle w:val="Compact"/>
              <w:spacing w:before="0" w:after="0" w:line="240" w:lineRule="auto"/>
              <w:jc w:val="left"/>
            </w:pPr>
            <w:r>
              <w:rPr>
                <w:sz w:val="21"/>
              </w:rPr>
              <w:t xml:space="preserve">Further submission at hearing</w:t>
            </w:r>
          </w:p>
        </w:tc>
        <w:tc>
          <w:tcPr>
            <w:tcW w:type="dxa" w:w="2024"/>
          </w:tcPr>
          <w:p>
            <w:pPr>
              <w:pStyle w:val="Compact"/>
              <w:spacing w:before="0" w:after="0" w:line="240" w:lineRule="auto"/>
              <w:jc w:val="left"/>
            </w:pPr>
            <w:r>
              <w:rPr>
                <w:sz w:val="21"/>
              </w:rPr>
              <w:t xml:space="preserve">[ ]</w:t>
            </w:r>
          </w:p>
        </w:tc>
        <w:tc>
          <w:tcPr>
            <w:tcW w:type="dxa" w:w="1638"/>
          </w:tcPr>
          <w:p>
            <w:pPr>
              <w:pStyle w:val="Compact"/>
              <w:spacing w:before="0" w:after="0" w:line="240" w:lineRule="auto"/>
              <w:jc w:val="left"/>
            </w:pPr>
            <w:r>
              <w:rPr>
                <w:sz w:val="21"/>
              </w:rPr>
              <w:t xml:space="preserve">[ ]</w:t>
            </w:r>
          </w:p>
        </w:tc>
        <w:tc>
          <w:tcPr>
            <w:tcW w:type="dxa" w:w="2602"/>
          </w:tcPr>
          <w:p>
            <w:pPr>
              <w:pStyle w:val="Compact"/>
              <w:spacing w:before="0" w:after="0" w:line="240" w:lineRule="auto"/>
              <w:jc w:val="left"/>
            </w:pPr>
            <w:r>
              <w:rPr>
                <w:sz w:val="21"/>
              </w:rPr>
              <w:t xml:space="preserve">[ ]</w:t>
            </w:r>
          </w:p>
        </w:tc>
        <w:tc>
          <w:tcPr>
            <w:tcW w:type="dxa" w:w="1253"/>
          </w:tcPr>
          <w:p>
            <w:pPr>
              <w:pStyle w:val="Compact"/>
              <w:spacing w:before="0" w:after="0" w:line="240" w:lineRule="auto"/>
              <w:jc w:val="left"/>
            </w:pPr>
            <w:r>
              <w:rPr>
                <w:sz w:val="21"/>
              </w:rPr>
              <w:t xml:space="preserve">[ ]</w:t>
            </w:r>
          </w:p>
        </w:tc>
        <w:tc>
          <w:tcPr>
            <w:tcW w:type="dxa" w:w="1060"/>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w:t>
      </w:r>
      <w:r>
        <w:rPr>
          <w:sz w:val="21"/>
        </w:rPr>
        <w:t xml:space="preserve"> </w:t>
      </w:r>
      <w:r>
        <w:rPr>
          <w:sz w:val="21"/>
        </w:rPr>
        <w:t xml:space="preserve">write a separate paragraph under the table for any ground that needs more than three lines of reasoning. Keep the</w:t>
      </w:r>
      <w:r>
        <w:rPr>
          <w:sz w:val="21"/>
        </w:rPr>
        <w:t xml:space="preserve"> </w:t>
      </w:r>
      <w:r>
        <w:rPr>
          <w:sz w:val="21"/>
        </w:rPr>
        <w:t xml:space="preserve">“</w:t>
      </w:r>
      <w:r>
        <w:rPr>
          <w:sz w:val="21"/>
        </w:rPr>
        <w:t xml:space="preserve">affected</w:t>
      </w:r>
      <w:r>
        <w:rPr>
          <w:sz w:val="21"/>
        </w:rPr>
        <w:t xml:space="preserve">”</w:t>
      </w:r>
      <w:r>
        <w:rPr>
          <w:sz w:val="21"/>
        </w:rPr>
        <w:t xml:space="preserve"> </w:t>
      </w:r>
      <w:r>
        <w:rPr>
          <w:sz w:val="21"/>
        </w:rPr>
        <w:t xml:space="preserve">column (the ITC, turnover or tax that is the input) separate from the</w:t>
      </w:r>
      <w:r>
        <w:rPr>
          <w:sz w:val="21"/>
        </w:rPr>
        <w:t xml:space="preserve"> </w:t>
      </w:r>
      <w:r>
        <w:rPr>
          <w:sz w:val="21"/>
        </w:rPr>
        <w:t xml:space="preserve">“</w:t>
      </w:r>
      <w:r>
        <w:rPr>
          <w:sz w:val="21"/>
        </w:rPr>
        <w:t xml:space="preserve">effect on refund</w:t>
      </w:r>
      <w:r>
        <w:rPr>
          <w:sz w:val="21"/>
        </w:rPr>
        <w:t xml:space="preserve">”</w:t>
      </w:r>
      <w:r>
        <w:rPr>
          <w:sz w:val="21"/>
        </w:rPr>
        <w:t xml:space="preserve"> </w:t>
      </w:r>
      <w:r>
        <w:rPr>
          <w:sz w:val="21"/>
        </w:rPr>
        <w:t xml:space="preserve">column (the result after the formula), so that the two are never confused. Decide every ground, including one that becomes moot because of the finding on another ground (say</w:t>
      </w:r>
      <w:r>
        <w:rPr>
          <w:sz w:val="21"/>
        </w:rPr>
        <w:t xml:space="preserve"> </w:t>
      </w:r>
      <w:r>
        <w:rPr>
          <w:sz w:val="21"/>
        </w:rPr>
        <w:t xml:space="preserve">“</w:t>
      </w:r>
      <w:r>
        <w:rPr>
          <w:sz w:val="21"/>
        </w:rPr>
        <w:t xml:space="preserve">This ground does not survive, in view of the finding on ground [ ]</w:t>
      </w:r>
      <w:r>
        <w:rPr>
          <w:sz w:val="21"/>
        </w:rPr>
        <w:t xml:space="preserve">”</w:t>
      </w:r>
      <w:r>
        <w:rPr>
          <w:sz w:val="21"/>
        </w:rPr>
        <w:t xml:space="preserve">). If a ground is dropped, say so and why.</w:t>
      </w:r>
    </w:p>
    <w:p>
      <w:pPr>
        <w:pStyle w:val="FirstParagraph"/>
        <w:keepNext/>
        <w:spacing w:before="240" w:after="80"/>
        <w:pBdr>
          <w:bottom w:val="single" w:sz="6" w:space="1" w:color="B4C6E7"/>
        </w:pBdr>
      </w:pPr>
      <w:r>
        <w:rPr>
          <w:bCs/>
          <w:b/>
          <w:color w:val="1F3864"/>
          <w:sz w:val="25"/>
        </w:rPr>
        <w:t xml:space="preserve">9. Other conditions for payment of the refund</w:t>
      </w:r>
    </w:p>
    <w:p>
      <w:pPr>
        <w:pStyle w:val="BodyText"/>
        <w:spacing w:before="0" w:after="120" w:line="269" w:lineRule="auto"/>
        <w:jc w:val="both"/>
      </w:pPr>
      <w:r>
        <w:t xml:space="preserve">9.1</w:t>
      </w:r>
      <w:r>
        <w:t xml:space="preserve"> </w:t>
      </w:r>
      <w:r>
        <w:rPr>
          <w:bCs/>
          <w:b/>
        </w:rPr>
        <w:t xml:space="preserve">Unjust enrichment.</w:t>
      </w:r>
      <w:r>
        <w:t xml:space="preserve"> </w:t>
      </w:r>
      <w:r>
        <w:t xml:space="preserve">The refund is of unutilised input tax credit on zero-rated supplies, payable to the applicant under clause (a) of section 54(8). The question of unjust enrichment does not arise, and no certificate or declaration under rule 89(2)(l) or (m) is required (provisos to rule 89(2)(l) and (m)).</w:t>
      </w:r>
    </w:p>
    <w:p>
      <w:pPr>
        <w:pStyle w:val="BodyText"/>
        <w:spacing w:before="0" w:after="120" w:line="269" w:lineRule="auto"/>
        <w:jc w:val="both"/>
      </w:pPr>
      <w:r>
        <w:t xml:space="preserve">9.2</w:t>
      </w:r>
      <w:r>
        <w:t xml:space="preserve"> </w:t>
      </w:r>
      <w:r>
        <w:rPr>
          <w:bCs/>
          <w:b/>
        </w:rPr>
        <w:t xml:space="preserve">Dues and withholding (section 54(10) and 54(11)).</w:t>
      </w:r>
      <w:r>
        <w:t xml:space="preserve"> </w:t>
      </w:r>
      <w:r>
        <w:t xml:space="preserve">The [range report dated [DD.MM.YYYY]], the arrears and liability register of the Division, the back-office demand and recovery ledger and the portal (Electronic Liability Register Part II) were checked on [DD.MM.YYYY].</w:t>
      </w:r>
    </w:p>
    <w:p>
      <w:pPr>
        <w:pStyle w:val="BodyText"/>
        <w:spacing w:before="0" w:after="120" w:line="269" w:lineRule="auto"/>
        <w:jc w:val="both"/>
      </w:pPr>
      <w:r>
        <w:t xml:space="preserve">[Option A] No return was pending and no tax, interest, penalty or other amount was payable by the applicant under the CGST Act or the existing law that had not been stayed by the specified date. No amount is withheld or deducted.</w:t>
      </w:r>
    </w:p>
    <w:p>
      <w:pPr>
        <w:pStyle w:val="BodyText"/>
        <w:spacing w:before="0" w:after="120" w:line="269" w:lineRule="auto"/>
        <w:jc w:val="both"/>
      </w:pPr>
      <w:r>
        <w:t xml:space="preserve">[Option B] The applicant owes ₹[ ] under [Order No. [ ] dated [ ] / demand ID [ ]]. That amount was not stayed by any court, Tribunal or Appellate Authority by the specified date (the last date for filing an appeal), [and no appeal with the pre-deposit under section 107(6) is on record]. Under section 54(10)(b), ₹[ ] is deducted from the refund and</w:t>
      </w:r>
      <w:r>
        <w:t xml:space="preserve"> </w:t>
      </w:r>
      <w:r>
        <w:rPr>
          <w:bCs/>
          <w:b/>
        </w:rPr>
        <w:t xml:space="preserve">adjusted in this order</w:t>
      </w:r>
      <w:r>
        <w:t xml:space="preserve"> </w:t>
      </w:r>
      <w:r>
        <w:t xml:space="preserve">against that demand (rule 92(1); para 35 of Circular No. 125/44/2019-GST). [Under section 54(10)(a), ₹[ ] is withheld until the return for [period] is filed, by order in Part A of FORM GST RFD-07 dated [DD.MM.YYYY] (rule 92(2)).]</w:t>
      </w:r>
    </w:p>
    <w:p>
      <w:pPr>
        <w:pStyle w:val="BodyText"/>
        <w:spacing w:before="0" w:after="120" w:line="269" w:lineRule="auto"/>
        <w:jc w:val="both"/>
      </w:pPr>
      <w:r>
        <w:t xml:space="preserve">[Option C] By order dated [DD.MM.YYYY], the Commissioner, being of the opinion that the grant of this refund is likely to adversely affect the revenue in [the appeal / proceedings [No.] pending under section [ ]] on account of [malfeasance / fraud], namely [ ], has, after giving the applicant an opportunity of being heard, withheld ₹[ ] until [ ] under section 54(11). The withholding is recorded in Part A of FORM GST RFD-07 dated [DD.MM.YYYY] (rule 92(2)). If the applicant becomes entitled to the amount as a result of those proceedings, interest is payable under section 54(12).</w:t>
      </w:r>
    </w:p>
    <w:p>
      <w:pPr>
        <w:pStyle w:val="BlockText"/>
        <w:shd w:val="clear" w:color="auto" w:fill="E7E6E6"/>
      </w:pPr>
      <w:r>
        <w:rPr>
          <w:bCs/>
          <w:b/>
          <w:sz w:val="21"/>
        </w:rPr>
        <w:t xml:space="preserve">Drafting note:</w:t>
      </w:r>
      <w:r>
        <w:rPr>
          <w:sz w:val="21"/>
        </w:rPr>
        <w:t xml:space="preserve"> </w:t>
      </w:r>
      <w:r>
        <w:rPr>
          <w:sz w:val="21"/>
        </w:rPr>
        <w:t xml:space="preserve">only a confirmed amount not stayed by the specified date can be deducted or withheld under section 54(10). A demand set aside in appeal, a demand under appeal with the pre-deposit paid (deemed stayed under section 107(7)), or a mere show cause notice cannot be. Nothing is to be adjusted against a provisional refund (Instruction 06/2025-GST para 3.2). An adjustment under section 54(10)(b) is made in this RFD-06 itself; RFD-07 Part A is only for withholding (section 54(10)(a) or 54(11)), and Part B for its release. Never reject a refund in place of adjusting or withholding it.</w:t>
      </w:r>
    </w:p>
    <w:p>
      <w:pPr>
        <w:pStyle w:val="FirstParagraph"/>
        <w:spacing w:before="0" w:after="120" w:line="269" w:lineRule="auto"/>
        <w:jc w:val="both"/>
      </w:pPr>
      <w:r>
        <w:t xml:space="preserve">9.3</w:t>
      </w:r>
      <w:r>
        <w:t xml:space="preserve"> </w:t>
      </w:r>
      <w:r>
        <w:rPr>
          <w:bCs/>
          <w:b/>
        </w:rPr>
        <w:t xml:space="preserve">Minimum amount (section 54(14)).</w:t>
      </w:r>
      <w:r>
        <w:t xml:space="preserve"> </w:t>
      </w:r>
      <w:r>
        <w:t xml:space="preserve">The amount sanctioned under each tax head is not less than one thousand rupees. [Option: The amount found admissible under [head] is ₹[ ], which is less than one thousand rupees, and is therefore not paid (section 54(14); para 60 of Circular No. 125/44/2019-GST, which applies the limit to each tax head separately).]</w:t>
      </w:r>
    </w:p>
    <w:p>
      <w:pPr>
        <w:pStyle w:val="BlockText"/>
        <w:shd w:val="clear" w:color="auto" w:fill="E7E6E6"/>
      </w:pPr>
      <w:r>
        <w:rPr>
          <w:bCs/>
          <w:b/>
          <w:sz w:val="21"/>
        </w:rPr>
        <w:t xml:space="preserve">Drafting note (amount below ₹1,000 under a head):</w:t>
      </w:r>
      <w:r>
        <w:rPr>
          <w:sz w:val="21"/>
        </w:rPr>
        <w:t xml:space="preserve"> </w:t>
      </w:r>
      <w:r>
        <w:rPr>
          <w:sz w:val="21"/>
        </w:rPr>
        <w:t xml:space="preserve">say in para 11 what becomes of it. Show it in the</w:t>
      </w:r>
      <w:r>
        <w:rPr>
          <w:sz w:val="21"/>
        </w:rPr>
        <w:t xml:space="preserve"> </w:t>
      </w:r>
      <w:r>
        <w:rPr>
          <w:sz w:val="21"/>
        </w:rPr>
        <w:t xml:space="preserve">“</w:t>
      </w:r>
      <w:r>
        <w:rPr>
          <w:sz w:val="21"/>
        </w:rPr>
        <w:t xml:space="preserve">Rejected</w:t>
      </w:r>
      <w:r>
        <w:rPr>
          <w:sz w:val="21"/>
        </w:rPr>
        <w:t xml:space="preserve">”</w:t>
      </w:r>
      <w:r>
        <w:rPr>
          <w:sz w:val="21"/>
        </w:rPr>
        <w:t xml:space="preserve"> </w:t>
      </w:r>
      <w:r>
        <w:rPr>
          <w:sz w:val="21"/>
        </w:rPr>
        <w:t xml:space="preserve">column of the 11.1 table with the words</w:t>
      </w:r>
      <w:r>
        <w:rPr>
          <w:sz w:val="21"/>
        </w:rPr>
        <w:t xml:space="preserve"> </w:t>
      </w:r>
      <w:r>
        <w:rPr>
          <w:sz w:val="21"/>
        </w:rPr>
        <w:t xml:space="preserve">“</w:t>
      </w:r>
      <w:r>
        <w:rPr>
          <w:sz w:val="21"/>
        </w:rPr>
        <w:t xml:space="preserve">not paid under section 54(14)</w:t>
      </w:r>
      <w:r>
        <w:rPr>
          <w:sz w:val="21"/>
        </w:rPr>
        <w:t xml:space="preserve">”</w:t>
      </w:r>
      <w:r>
        <w:rPr>
          <w:sz w:val="21"/>
        </w:rPr>
        <w:t xml:space="preserve">, so the table balances. Where it was debited from the electronic credit or cash ledger on filing, direct its re-credit by PMT-03 with the rest of the rejected amount [confirm the Commissionerate’s practice].</w:t>
      </w:r>
    </w:p>
    <w:p>
      <w:pPr>
        <w:pStyle w:val="FirstParagraph"/>
        <w:spacing w:before="0" w:after="120" w:line="269" w:lineRule="auto"/>
        <w:jc w:val="both"/>
      </w:pPr>
      <w:r>
        <w:t xml:space="preserve">9.4</w:t>
      </w:r>
      <w:r>
        <w:t xml:space="preserve"> </w:t>
      </w:r>
      <w:r>
        <w:rPr>
          <w:bCs/>
          <w:b/>
        </w:rPr>
        <w:t xml:space="preserve">Bank account.</w:t>
      </w:r>
      <w:r>
        <w:t xml:space="preserve"> </w:t>
      </w:r>
      <w:r>
        <w:t xml:space="preserve">The refund will be credited to the bank account [ending [XXXX]] declared in the application, which is one of the accounts in the applicant’s registration particulars and has been validated on the portal (rule 92(4)).</w:t>
      </w:r>
    </w:p>
    <w:p>
      <w:pPr>
        <w:pStyle w:val="BodyText"/>
        <w:spacing w:before="0" w:after="120" w:line="269" w:lineRule="auto"/>
        <w:jc w:val="both"/>
      </w:pPr>
      <w:r>
        <w:t xml:space="preserve">9.5</w:t>
      </w:r>
      <w:r>
        <w:t xml:space="preserve"> </w:t>
      </w:r>
      <w:r>
        <w:rPr>
          <w:bCs/>
          <w:b/>
        </w:rPr>
        <w:t xml:space="preserve">Time limit and interest on delay (section 54(7), section 56 and rule 94).</w:t>
      </w:r>
      <w:r>
        <w:t xml:space="preserve"> </w:t>
      </w:r>
      <w:r>
        <w:t xml:space="preserve">The application was filed on [DD.MM.YYYY] (the ARN date, as indicated in RFD-02 under rule 90(2)); the period under section 54(7) and section 56 counts from that date and ends on [DD.MM.YYYY].</w:t>
      </w:r>
    </w:p>
    <w:p>
      <w:pPr>
        <w:pStyle w:val="BodyText"/>
        <w:spacing w:before="0" w:after="120" w:line="269" w:lineRule="auto"/>
        <w:jc w:val="both"/>
      </w:pPr>
      <w:r>
        <w:t xml:space="preserve">[Option A] This order and the payment order in FORM GST RFD-05 are issued on [DD.MM.YYYY], within the sixty days. A refund is made only when the amount is credited to the applicant’s bank account (para 34 of Circular No. 125/44/2019-GST); if the credit takes place after [the date on which the sixty days end], interest under section 56 is payable for the days of delay up to the date of credit, and will be sanctioned by a separate order under rule 94.</w:t>
      </w:r>
    </w:p>
    <w:p>
      <w:pPr>
        <w:pStyle w:val="BodyText"/>
        <w:spacing w:before="0" w:after="120" w:line="269" w:lineRule="auto"/>
        <w:jc w:val="both"/>
      </w:pPr>
      <w:r>
        <w:t xml:space="preserve">[Option B] The sixty days ended on [DD.MM.YYYY], before this order. Under section 56 and rule 94, interest at six per cent per annum (Notification No. 13/2017-Central Tax dated 28.06.2017) is payable on the refund sanctioned from [the day after the sixty days end] until the date on which the amount is credited to the applicant’s bank account (para 34 of Circular No. 125/44/2019-GST). Under rule 94(2), the period beyond fifteen days of receipt of the RFD-08 notice taken by the applicant to reply or to submit documents, i.e. from [DD.MM.YYYY] to [DD.MM.YYYY] ([ ] days), and any period taken to correct or validate the bank account, are excluded. A separate order under rule 94(1), with FORM GST RFD-05, will specify the amount of delayed refund, the period of delay and the interest payable.</w:t>
      </w:r>
    </w:p>
    <w:p>
      <w:pPr>
        <w:pStyle w:val="BodyText"/>
        <w:spacing w:before="0" w:after="120" w:line="269" w:lineRule="auto"/>
        <w:jc w:val="both"/>
      </w:pPr>
      <w:r>
        <w:t xml:space="preserve">9.6</w:t>
      </w:r>
      <w:r>
        <w:t xml:space="preserve"> </w:t>
      </w:r>
      <w:r>
        <w:rPr>
          <w:bCs/>
          <w:b/>
        </w:rPr>
        <w:t xml:space="preserve">Realisation of export proceeds.</w:t>
      </w:r>
      <w:r>
        <w:t xml:space="preserve"> </w:t>
      </w:r>
      <w:r>
        <w:t xml:space="preserve">As stated in para 2.4, realisation of export proceeds is not a condition for this refund. The applicant is reminded that under the proviso to section 16(3) of the IGST Act and rule 96B, if the proceeds of these exports are not realised within the period allowed under the Foreign Exchange Management Act, 1999 (including any extension), the refund relating to the unrealised exports is to be deposited with interest under section 50 within thirty days of the expiry of that period, failing which it will be recovered.</w:t>
      </w:r>
    </w:p>
    <w:p>
      <w:pPr>
        <w:pStyle w:val="BodyText"/>
        <w:keepNext/>
        <w:spacing w:before="240" w:after="80"/>
        <w:pBdr>
          <w:bottom w:val="single" w:sz="6" w:space="1" w:color="B4C6E7"/>
        </w:pBdr>
      </w:pPr>
      <w:r>
        <w:rPr>
          <w:bCs/>
          <w:b/>
          <w:color w:val="1F3864"/>
          <w:sz w:val="25"/>
        </w:rPr>
        <w:t xml:space="preserve">10. Conclusion</w:t>
      </w:r>
    </w:p>
    <w:p>
      <w:pPr>
        <w:pStyle w:val="BodyText"/>
        <w:spacing w:before="0" w:after="120" w:line="269" w:lineRule="auto"/>
        <w:jc w:val="both"/>
      </w:pPr>
      <w:r>
        <w:t xml:space="preserve">10.1 In view of the above, I find that the applicant is entitled to refund of ₹[ ] under clause (i) of the first proviso to section 54(3) of the CGST Act and section 16(3) of the IGST Act, read with rule 89(4), and that ₹[ ] is not admissible for the reasons in paras [3, 6, 7 and 8]. The inadmissible amount, having been debited from the electronic credit ledger, is to be re-credited under rule 93(2) on the conditions in para 11.4. Accordingly, I pass the following order.</w:t>
      </w:r>
    </w:p>
    <w:p>
      <w:pPr>
        <w:pStyle w:val="BodyText"/>
        <w:keepNext/>
        <w:spacing w:before="240" w:after="80"/>
        <w:pBdr>
          <w:bottom w:val="single" w:sz="6" w:space="1" w:color="B4C6E7"/>
        </w:pBdr>
        <w:jc w:val="center"/>
      </w:pPr>
      <w:r>
        <w:rPr>
          <w:bCs/>
          <w:b/>
          <w:color w:val="1F3864"/>
          <w:sz w:val="25"/>
        </w:rPr>
        <w:t xml:space="preserve">11. ORDER</w:t>
      </w:r>
    </w:p>
    <w:p>
      <w:pPr>
        <w:pStyle w:val="BodyText"/>
        <w:spacing w:before="0" w:after="120" w:line="269" w:lineRule="auto"/>
        <w:jc w:val="both"/>
      </w:pPr>
      <w:r>
        <w:t xml:space="preserve">11.1 Under section 54(5) of the CGST Act read with rules 92(1) and 92(4), I sanction refund of</w:t>
      </w:r>
      <w:r>
        <w:t xml:space="preserve"> </w:t>
      </w:r>
      <w:r>
        <w:rPr>
          <w:bCs/>
          <w:b/>
        </w:rPr>
        <w:t xml:space="preserve">₹[ ] (Rupees [amount in words] only)</w:t>
      </w:r>
      <w:r>
        <w:t xml:space="preserve"> </w:t>
      </w:r>
      <w:r>
        <w:t xml:space="preserve">to the applicant, payable under section 54(8)(a),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90"/>
        <w:gridCol w:w="1068"/>
        <w:gridCol w:w="1334"/>
        <w:gridCol w:w="1423"/>
        <w:gridCol w:w="1275"/>
        <w:gridCol w:w="1068"/>
        <w:gridCol w:w="1423"/>
        <w:gridCol w:w="1157"/>
      </w:tblGrid>
      <w:tr>
        <w:trPr>
          <w:tblHeader w:val="true"/>
          <w:tblHeader/>
        </w:trPr>
        <w:tc>
          <w:tcPr>
            <w:tcW w:type="dxa" w:w="890"/>
            <w:shd w:val="clear" w:color="auto" w:fill="DCE6F1"/>
          </w:tcPr>
          <w:p>
            <w:pPr>
              <w:pStyle w:val="Compact"/>
              <w:spacing w:before="0" w:after="0" w:line="240" w:lineRule="auto"/>
              <w:jc w:val="left"/>
            </w:pPr>
            <w:r>
              <w:rPr>
                <w:b/>
                <w:color w:val="1F3864"/>
                <w:sz w:val="18"/>
              </w:rPr>
              <w:t xml:space="preserve">Head</w:t>
            </w:r>
          </w:p>
        </w:tc>
        <w:tc>
          <w:tcPr>
            <w:tcW w:type="dxa" w:w="1068"/>
            <w:shd w:val="clear" w:color="auto" w:fill="DCE6F1"/>
          </w:tcPr>
          <w:p>
            <w:pPr>
              <w:pStyle w:val="Compact"/>
              <w:spacing w:before="0" w:after="0" w:line="240" w:lineRule="auto"/>
              <w:jc w:val="left"/>
            </w:pPr>
            <w:r>
              <w:rPr>
                <w:b/>
                <w:color w:val="1F3864"/>
                <w:sz w:val="18"/>
              </w:rPr>
              <w:t xml:space="preserve">Claimed (₹)</w:t>
            </w:r>
          </w:p>
        </w:tc>
        <w:tc>
          <w:tcPr>
            <w:tcW w:type="dxa" w:w="1334"/>
            <w:shd w:val="clear" w:color="auto" w:fill="DCE6F1"/>
          </w:tcPr>
          <w:p>
            <w:pPr>
              <w:pStyle w:val="Compact"/>
              <w:spacing w:before="0" w:after="0" w:line="240" w:lineRule="auto"/>
              <w:jc w:val="left"/>
            </w:pPr>
            <w:r>
              <w:rPr>
                <w:b/>
                <w:color w:val="1F3864"/>
                <w:sz w:val="18"/>
              </w:rPr>
              <w:t xml:space="preserve">Admissible (₹)</w:t>
            </w:r>
          </w:p>
        </w:tc>
        <w:tc>
          <w:tcPr>
            <w:tcW w:type="dxa" w:w="1423"/>
            <w:shd w:val="clear" w:color="auto" w:fill="DCE6F1"/>
          </w:tcPr>
          <w:p>
            <w:pPr>
              <w:pStyle w:val="Compact"/>
              <w:spacing w:before="0" w:after="0" w:line="240" w:lineRule="auto"/>
              <w:jc w:val="left"/>
            </w:pPr>
            <w:r>
              <w:rPr>
                <w:b/>
                <w:color w:val="1F3864"/>
                <w:sz w:val="18"/>
              </w:rPr>
              <w:t xml:space="preserve">Provisional refund paid (RFD-04 dated [ ], RFD-05 dated [ ]) (₹)</w:t>
            </w:r>
          </w:p>
        </w:tc>
        <w:tc>
          <w:tcPr>
            <w:tcW w:type="dxa" w:w="1275"/>
            <w:shd w:val="clear" w:color="auto" w:fill="DCE6F1"/>
          </w:tcPr>
          <w:p>
            <w:pPr>
              <w:pStyle w:val="Compact"/>
              <w:spacing w:before="0" w:after="0" w:line="240" w:lineRule="auto"/>
              <w:jc w:val="left"/>
            </w:pPr>
            <w:r>
              <w:rPr>
                <w:b/>
                <w:color w:val="1F3864"/>
                <w:sz w:val="18"/>
              </w:rPr>
              <w:t xml:space="preserve">Adjusted under section 54(10)(b) in this order / withheld by RFD-07 (₹)</w:t>
            </w:r>
          </w:p>
        </w:tc>
        <w:tc>
          <w:tcPr>
            <w:tcW w:type="dxa" w:w="1068"/>
            <w:shd w:val="clear" w:color="auto" w:fill="DCE6F1"/>
          </w:tcPr>
          <w:p>
            <w:pPr>
              <w:pStyle w:val="Compact"/>
              <w:spacing w:before="0" w:after="0" w:line="240" w:lineRule="auto"/>
              <w:jc w:val="left"/>
            </w:pPr>
            <w:r>
              <w:rPr>
                <w:b/>
                <w:color w:val="1F3864"/>
                <w:sz w:val="18"/>
              </w:rPr>
              <w:t xml:space="preserve">Net payable now by RFD-05 (₹)</w:t>
            </w:r>
          </w:p>
        </w:tc>
        <w:tc>
          <w:tcPr>
            <w:tcW w:type="dxa" w:w="1423"/>
            <w:shd w:val="clear" w:color="auto" w:fill="DCE6F1"/>
          </w:tcPr>
          <w:p>
            <w:pPr>
              <w:pStyle w:val="Compact"/>
              <w:spacing w:before="0" w:after="0" w:line="240" w:lineRule="auto"/>
              <w:jc w:val="left"/>
            </w:pPr>
            <w:r>
              <w:rPr>
                <w:b/>
                <w:color w:val="1F3864"/>
                <w:sz w:val="18"/>
              </w:rPr>
              <w:t xml:space="preserve">Excess provisional refund recoverable (para 11.5A) (₹)</w:t>
            </w:r>
          </w:p>
        </w:tc>
        <w:tc>
          <w:tcPr>
            <w:tcW w:type="dxa" w:w="1157"/>
            <w:shd w:val="clear" w:color="auto" w:fill="DCE6F1"/>
          </w:tcPr>
          <w:p>
            <w:pPr>
              <w:pStyle w:val="Compact"/>
              <w:spacing w:before="0" w:after="0" w:line="240" w:lineRule="auto"/>
              <w:jc w:val="left"/>
            </w:pPr>
            <w:r>
              <w:rPr>
                <w:b/>
                <w:color w:val="1F3864"/>
                <w:sz w:val="18"/>
              </w:rPr>
              <w:t xml:space="preserve">Rejected (₹)</w:t>
            </w:r>
          </w:p>
        </w:tc>
      </w:tr>
      <w:tr>
        <w:tc>
          <w:tcPr>
            <w:tcW w:type="dxa" w:w="890"/>
          </w:tcPr>
          <w:p>
            <w:pPr>
              <w:pStyle w:val="Compact"/>
              <w:spacing w:before="0" w:after="0" w:line="240" w:lineRule="auto"/>
              <w:jc w:val="left"/>
            </w:pPr>
            <w:r>
              <w:rPr>
                <w:sz w:val="18"/>
              </w:rPr>
              <w:t xml:space="preserve">IGST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SGST</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tcPr>
          <w:p>
            <w:pPr>
              <w:pStyle w:val="Compact"/>
              <w:spacing w:before="0" w:after="0" w:line="240" w:lineRule="auto"/>
              <w:jc w:val="left"/>
            </w:pPr>
            <w:r>
              <w:rPr>
                <w:sz w:val="18"/>
              </w:rPr>
              <w:t xml:space="preserve">Cess</w:t>
            </w:r>
          </w:p>
        </w:tc>
        <w:tc>
          <w:tcPr>
            <w:tcW w:type="dxa" w:w="1068"/>
          </w:tcPr>
          <w:p>
            <w:pPr>
              <w:pStyle w:val="Compact"/>
              <w:spacing w:before="0" w:after="0" w:line="240" w:lineRule="auto"/>
              <w:jc w:val="left"/>
            </w:pPr>
            <w:r>
              <w:rPr>
                <w:sz w:val="18"/>
              </w:rPr>
              <w:t xml:space="preserve">[ ]</w:t>
            </w:r>
          </w:p>
        </w:tc>
        <w:tc>
          <w:tcPr>
            <w:tcW w:type="dxa" w:w="1334"/>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275"/>
          </w:tcPr>
          <w:p>
            <w:pPr>
              <w:pStyle w:val="Compact"/>
              <w:spacing w:before="0" w:after="0" w:line="240" w:lineRule="auto"/>
              <w:jc w:val="left"/>
            </w:pPr>
            <w:r>
              <w:rPr>
                <w:sz w:val="18"/>
              </w:rPr>
              <w:t xml:space="preserve">[ ]</w:t>
            </w:r>
          </w:p>
        </w:tc>
        <w:tc>
          <w:tcPr>
            <w:tcW w:type="dxa" w:w="1068"/>
          </w:tcPr>
          <w:p>
            <w:pPr>
              <w:pStyle w:val="Compact"/>
              <w:spacing w:before="0" w:after="0" w:line="240" w:lineRule="auto"/>
              <w:jc w:val="left"/>
            </w:pPr>
            <w:r>
              <w:rPr>
                <w:sz w:val="18"/>
              </w:rPr>
              <w:t xml:space="preserve">[ ]</w:t>
            </w:r>
          </w:p>
        </w:tc>
        <w:tc>
          <w:tcPr>
            <w:tcW w:type="dxa" w:w="1423"/>
          </w:tcPr>
          <w:p>
            <w:pPr>
              <w:pStyle w:val="Compact"/>
              <w:spacing w:before="0" w:after="0" w:line="240" w:lineRule="auto"/>
              <w:jc w:val="left"/>
            </w:pPr>
            <w:r>
              <w:rPr>
                <w:sz w:val="18"/>
              </w:rPr>
              <w:t xml:space="preserve">[ ]</w:t>
            </w:r>
          </w:p>
        </w:tc>
        <w:tc>
          <w:tcPr>
            <w:tcW w:type="dxa" w:w="1157"/>
          </w:tcPr>
          <w:p>
            <w:pPr>
              <w:pStyle w:val="Compact"/>
              <w:spacing w:before="0" w:after="0" w:line="240" w:lineRule="auto"/>
              <w:jc w:val="left"/>
            </w:pPr>
            <w:r>
              <w:rPr>
                <w:sz w:val="18"/>
              </w:rPr>
              <w:t xml:space="preserve">[ ]</w:t>
            </w:r>
          </w:p>
        </w:tc>
      </w:tr>
      <w:tr>
        <w:tc>
          <w:tcPr>
            <w:tcW w:type="dxa" w:w="890"/>
            <w:shd w:val="clear" w:color="auto" w:fill="F2F2F2"/>
          </w:tcPr>
          <w:p>
            <w:pPr>
              <w:pStyle w:val="Compact"/>
              <w:spacing w:before="0" w:after="0" w:line="240" w:lineRule="auto"/>
              <w:jc w:val="left"/>
            </w:pPr>
            <w:r>
              <w:rPr>
                <w:bCs/>
                <w:b/>
                <w:sz w:val="18"/>
              </w:rPr>
              <w:t xml:space="preserve">Total</w:t>
            </w:r>
          </w:p>
        </w:tc>
        <w:tc>
          <w:tcPr>
            <w:tcW w:type="dxa" w:w="1068"/>
            <w:shd w:val="clear" w:color="auto" w:fill="F2F2F2"/>
          </w:tcPr>
          <w:p>
            <w:pPr>
              <w:pStyle w:val="Compact"/>
              <w:spacing w:before="0" w:after="0" w:line="240" w:lineRule="auto"/>
              <w:jc w:val="left"/>
            </w:pPr>
            <w:r>
              <w:rPr>
                <w:bCs/>
                <w:b/>
                <w:sz w:val="18"/>
              </w:rPr>
              <w:t xml:space="preserve">[ ]</w:t>
            </w:r>
          </w:p>
        </w:tc>
        <w:tc>
          <w:tcPr>
            <w:tcW w:type="dxa" w:w="1334"/>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275"/>
            <w:shd w:val="clear" w:color="auto" w:fill="F2F2F2"/>
          </w:tcPr>
          <w:p>
            <w:pPr>
              <w:pStyle w:val="Compact"/>
              <w:spacing w:before="0" w:after="0" w:line="240" w:lineRule="auto"/>
              <w:jc w:val="left"/>
            </w:pPr>
            <w:r>
              <w:rPr>
                <w:bCs/>
                <w:b/>
                <w:sz w:val="18"/>
              </w:rPr>
              <w:t xml:space="preserve">[ ]</w:t>
            </w:r>
          </w:p>
        </w:tc>
        <w:tc>
          <w:tcPr>
            <w:tcW w:type="dxa" w:w="1068"/>
            <w:shd w:val="clear" w:color="auto" w:fill="F2F2F2"/>
          </w:tcPr>
          <w:p>
            <w:pPr>
              <w:pStyle w:val="Compact"/>
              <w:spacing w:before="0" w:after="0" w:line="240" w:lineRule="auto"/>
              <w:jc w:val="left"/>
            </w:pPr>
            <w:r>
              <w:rPr>
                <w:bCs/>
                <w:b/>
                <w:sz w:val="18"/>
              </w:rPr>
              <w:t xml:space="preserve">[ ]</w:t>
            </w:r>
          </w:p>
        </w:tc>
        <w:tc>
          <w:tcPr>
            <w:tcW w:type="dxa" w:w="1423"/>
            <w:shd w:val="clear" w:color="auto" w:fill="F2F2F2"/>
          </w:tcPr>
          <w:p>
            <w:pPr>
              <w:pStyle w:val="Compact"/>
              <w:spacing w:before="0" w:after="0" w:line="240" w:lineRule="auto"/>
              <w:jc w:val="left"/>
            </w:pPr>
            <w:r>
              <w:rPr>
                <w:bCs/>
                <w:b/>
                <w:sz w:val="18"/>
              </w:rPr>
              <w:t xml:space="preserve">[ ]</w:t>
            </w:r>
          </w:p>
        </w:tc>
        <w:tc>
          <w:tcPr>
            <w:tcW w:type="dxa" w:w="1157"/>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11.2 The net amount of ₹[ ] shall be credited to the applicant’s bank account by payment order in FORM GST RFD-05 (rule 92(4)). [Option: ₹[ ] adjusted under section 54(10)(b) shall be appropriated against [demand ID / order]; ₹[ ] is withheld by RFD-07 Part A as stated in para 9.2.]</w:t>
      </w:r>
    </w:p>
    <w:p>
      <w:pPr>
        <w:pStyle w:val="BodyText"/>
        <w:spacing w:before="0" w:after="120" w:line="269" w:lineRule="auto"/>
        <w:jc w:val="both"/>
      </w:pPr>
      <w:r>
        <w:t xml:space="preserve">11.3 Under rule 92(3), I reject refund of</w:t>
      </w:r>
      <w:r>
        <w:t xml:space="preserve"> </w:t>
      </w:r>
      <w:r>
        <w:rPr>
          <w:bCs/>
          <w:b/>
        </w:rPr>
        <w:t xml:space="preserve">₹[ ] (Rupees [amount in words] only)</w:t>
      </w:r>
      <w:r>
        <w:t xml:space="preserve"> </w:t>
      </w:r>
      <w:r>
        <w:t xml:space="preserve">(IGST ₹[ ], CGST ₹[ ], SGST ₹[ ], Cess ₹[ ]) for the reasons in paras [3, 6, 7 and 8].</w:t>
      </w:r>
    </w:p>
    <w:p>
      <w:pPr>
        <w:pStyle w:val="BodyText"/>
        <w:spacing w:before="0" w:after="120" w:line="269" w:lineRule="auto"/>
        <w:jc w:val="both"/>
      </w:pPr>
      <w:r>
        <w:t xml:space="preserve">11.4 Under rule 93(2), the amount of ₹[ ] (IGST ₹[ ], CGST ₹[ ], SGST ₹[ ], Cess ₹[ ]) rejected in para 11.3, which was debited from the electronic credit ledger, shall be re-credited to that ledger by an order in FORM GST PMT-03, after the applicant gives an undertaking in writing that it will not file an appeal against this order, or, if it files an appeal, after the appeal is finally rejected (Explanation to rule 93; paras 21 and 23 of Circular No. 125/44/2019-GST). If the appeal succeeds, the applicant may file a fresh claim under the category</w:t>
      </w:r>
      <w:r>
        <w:t xml:space="preserve"> </w:t>
      </w:r>
      <w:r>
        <w:t xml:space="preserve">“</w:t>
      </w:r>
      <w:r>
        <w:t xml:space="preserve">on account of assessment / provisional assessment / appeal / any other order</w:t>
      </w:r>
      <w:r>
        <w:t xml:space="preserve">”</w:t>
      </w:r>
      <w:r>
        <w:t xml:space="preserve"> </w:t>
      </w:r>
      <w:r>
        <w:t xml:space="preserve">(para 24 of that Circular).</w:t>
      </w:r>
    </w:p>
    <w:p>
      <w:pPr>
        <w:pStyle w:val="BodyText"/>
        <w:spacing w:before="0" w:after="120" w:line="269" w:lineRule="auto"/>
        <w:jc w:val="both"/>
      </w:pPr>
      <w:r>
        <w:t xml:space="preserve">11.5</w:t>
      </w:r>
      <w:r>
        <w:t xml:space="preserve"> </w:t>
      </w:r>
      <w:r>
        <w:rPr>
          <w:bCs/>
          <w:b/>
        </w:rPr>
        <w:t xml:space="preserve">[Option: only where the RFD-08 notice also proposed recovery of ineligible ITC, with a summary in FORM GST DRC-01 under rule 142(1)]</w:t>
      </w:r>
      <w:r>
        <w:t xml:space="preserve"> </w:t>
      </w:r>
      <w:r>
        <w:t xml:space="preserve">Under section [73 / 74 / 74A] read with section 54, I confirm the demand of input tax credit of ₹[ ] (IGST ₹[ ], CGST ₹[ ], SGST ₹[ ]) wrongly availed, as found in para 8, with interest under section 50 and penalty of ₹[ ] under section [73(9) / 74(9) / 74A(5)]. A summary of this demand shall be issued in FORM GST DRC-07 and entered in the electronic liability register. [If the applicant has paid this amount with interest by DRC-03 No. [ ] dated [ ], record it here and drop the penalty to the extent allowed by section [73(8) / 74(8) / 74A(8) or 74A(9)].] The re-credit in para 11.4 covers the whole rejected amount, including this ITC, as in the example in para 23 of Circular No. 125/44/2019-GST.</w:t>
      </w:r>
    </w:p>
    <w:p>
      <w:pPr>
        <w:pStyle w:val="BlockText"/>
        <w:shd w:val="clear" w:color="auto" w:fill="E7E6E6"/>
      </w:pPr>
      <w:r>
        <w:rPr>
          <w:bCs/>
          <w:b/>
          <w:sz w:val="21"/>
        </w:rPr>
        <w:t xml:space="preserve">Drafting note:</w:t>
      </w:r>
      <w:r>
        <w:rPr>
          <w:sz w:val="21"/>
        </w:rPr>
        <w:t xml:space="preserve"> </w:t>
      </w:r>
      <w:r>
        <w:rPr>
          <w:sz w:val="21"/>
        </w:rPr>
        <w:t xml:space="preserve">keep para 11.5 only where the notice proposed the recovery. Use section 74A for demands relating to financial year 2024-25 onwards, and sections 73/74 for earlier years. If the notice proposed only rejection, delete para 11.5 and, where ITC was found ineligible, refer the matter for separate proceedings in a covering note, not in this order.</w:t>
      </w:r>
    </w:p>
    <w:p>
      <w:pPr>
        <w:pStyle w:val="FirstParagraph"/>
        <w:spacing w:before="0" w:after="120" w:line="269" w:lineRule="auto"/>
        <w:jc w:val="both"/>
      </w:pPr>
      <w:r>
        <w:t xml:space="preserve">11.5A</w:t>
      </w:r>
      <w:r>
        <w:t xml:space="preserve"> </w:t>
      </w:r>
      <w:r>
        <w:rPr>
          <w:bCs/>
          <w:b/>
        </w:rPr>
        <w:t xml:space="preserve">[Option: only where the provisional refund paid exceeds the amount found admissible, and the RFD-08 notice proposed its recovery]</w:t>
      </w:r>
      <w:r>
        <w:t xml:space="preserve"> </w:t>
      </w:r>
      <w:r>
        <w:t xml:space="preserve">The provisional refund of ₹[ ] sanctioned by RFD-04 dated [ ] and paid by RFD-05 dated [ ] exceeds the amount found admissible, ₹[ ], by ₹[ ]. As proposed in the notice in FORM GST RFD-08 dated [ ], with its summary in FORM GST DRC-01 under rule 142(1)(a), issued under section 54 read with section [73 / 74 / 74A] (para 3.4 of Instruction No. 06/2025-GST), I confirm ₹[ ] (IGST ₹[ ], CGST ₹[ ], SGST ₹[ ], Cess ₹[ ]) as refund erroneously paid, recoverable from the applicant with interest under section 50 [and penalty of ₹[ ] under section [73(9) / 74(9) / 74A(5)]]. A summary shall be issued in FORM GST DRC-07. No amount is payable to the applicant under this order.</w:t>
      </w:r>
    </w:p>
    <w:p>
      <w:pPr>
        <w:pStyle w:val="BlockText"/>
        <w:shd w:val="clear" w:color="auto" w:fill="E7E6E6"/>
      </w:pPr>
      <w:r>
        <w:rPr>
          <w:bCs/>
          <w:b/>
          <w:sz w:val="21"/>
        </w:rPr>
        <w:t xml:space="preserve">Drafting note (recovery):</w:t>
      </w:r>
      <w:r>
        <w:rPr>
          <w:sz w:val="21"/>
        </w:rPr>
        <w:t xml:space="preserve"> </w:t>
      </w:r>
      <w:r>
        <w:rPr>
          <w:sz w:val="21"/>
        </w:rPr>
        <w:t xml:space="preserve">provisional refunds under Instruction 06/2025-GST are paid only on applications filed on or after 01.10.2025, so section 74A will ordinarily apply (section 74A(12): tax pertaining to financial year 2024-25 onwards). Its notice limit for an erroneous refund is forty-two months from the date of the refund (section 74A(2)). If the applicant paid the excess with interest within sixty days of the notice, no penalty is imposed and the proceedings are concluded (section 74A(8)(ii)): record the DRC-03 and delete the penalty.</w:t>
      </w:r>
    </w:p>
    <w:p>
      <w:pPr>
        <w:pStyle w:val="FirstParagraph"/>
        <w:spacing w:before="0" w:after="120" w:line="269" w:lineRule="auto"/>
        <w:jc w:val="both"/>
      </w:pPr>
      <w:r>
        <w:t xml:space="preserve">11.6 [Option: Interest under section 56 on the delayed refund shall be paid by a separate order under rule 94, as stated in para 9.5.]</w:t>
      </w:r>
    </w:p>
    <w:p>
      <w:pPr>
        <w:pStyle w:val="BlockText"/>
        <w:shd w:val="clear" w:color="auto" w:fill="E7E6E6"/>
      </w:pPr>
      <w:r>
        <w:rPr>
          <w:bCs/>
          <w:b/>
          <w:sz w:val="21"/>
        </w:rPr>
        <w:t xml:space="preserve">Drafting note: final check before signing.</w:t>
      </w:r>
      <w:r>
        <w:rPr>
          <w:sz w:val="21"/>
        </w:rPr>
        <w:t xml:space="preserve"> </w:t>
      </w:r>
      <w:r>
        <w:rPr>
          <w:sz w:val="21"/>
        </w:rPr>
        <w:t xml:space="preserve">(1) The admissible amount in the computation, the head-wise table in para 11, the figures in the ORDER and the amount in words all agree. (2) Under every tax head, admissible + rejected = amount claimed, and admissible = provisional refund paid (if any) + amount adjusted or withheld + net amount now payable − excess provisional refund recoverable; where there is an excess, the adjusted and net payable columns are nil. (3) The amount re-credited by PMT-03 equals the amount rejected that was debited from the credit ledger, head-wise. (4) Every ground in the RFD-08 notice has a finding. (5) No bracket, blank date, drafting note or another case’s figures remain. (6) Figures are rounded to the nearest rupee (section 170). (7) Paragraph numbers run in order.</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applicant] (GSTIN [ ]), [address] (through the common portal and by e-mail to the registered e-mail address)</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(by name to the Assistant Commissioner (Review – Refunds), Headquarters), for review under section 107(2).</w:t>
      </w:r>
    </w:p>
    <w:p>
      <w:pPr>
        <w:numPr>
          <w:ilvl w:val="0"/>
          <w:numId w:val="1002"/>
        </w:numPr>
        <w:pStyle w:val="Compact"/>
        <w:spacing w:before="0" w:after="120" w:line="269" w:lineRule="auto"/>
      </w:pPr>
      <w:r>
        <w:t xml:space="preserve">The Assistant / Deputy Commissioner (Post-Audit), Medchal CGST Commissionerate, for post-audit of refund orders.</w:t>
      </w:r>
    </w:p>
    <w:p>
      <w:pPr>
        <w:numPr>
          <w:ilvl w:val="0"/>
          <w:numId w:val="1002"/>
        </w:numPr>
        <w:pStyle w:val="Compact"/>
        <w:spacing w:before="0" w:after="120" w:line="269" w:lineRule="auto"/>
      </w:pPr>
      <w:r>
        <w:t xml:space="preserve">The Superintendent, [Range], Sangareddy CGST Division, for information and for updating the refund register.</w:t>
      </w:r>
    </w:p>
    <w:p>
      <w:pPr>
        <w:numPr>
          <w:ilvl w:val="0"/>
          <w:numId w:val="1002"/>
        </w:numPr>
        <w:pStyle w:val="Compact"/>
        <w:spacing w:before="0" w:after="120" w:line="269" w:lineRule="auto"/>
      </w:pPr>
      <w:r>
        <w:t xml:space="preserve">Guard file / Office copy.</w:t>
      </w:r>
    </w:p>
    <w:p>
      <w:pPr>
        <w:pStyle w:val="FirstParagraph"/>
        <w:keepNext/>
        <w:spacing w:before="240" w:after="80"/>
        <w:pBdr>
          <w:bottom w:val="single" w:sz="6" w:space="1" w:color="B4C6E7"/>
        </w:pBdr>
      </w:pPr>
      <w:r>
        <w:rPr>
          <w:bCs/>
          <w:b/>
          <w:color w:val="1F3864"/>
          <w:sz w:val="25"/>
        </w:rPr>
        <w:t xml:space="preserve">Annexure for the drafting officer (delete before signing): worked example with hypothetical figures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71"/>
        <w:gridCol w:w="7202"/>
        <w:gridCol w:w="1165"/>
      </w:tblGrid>
      <w:tr>
        <w:trPr>
          <w:tblHeader w:val="true"/>
          <w:tblHeader/>
        </w:trPr>
        <w:tc>
          <w:tcPr>
            <w:tcW w:type="dxa" w:w="1271"/>
            <w:shd w:val="clear" w:color="auto" w:fill="DCE6F1"/>
          </w:tcPr>
          <w:p>
            <w:pPr>
              <w:pStyle w:val="Compact"/>
              <w:spacing w:before="0" w:after="0" w:line="240" w:lineRule="auto"/>
              <w:jc w:val="left"/>
            </w:pPr>
            <w:r>
              <w:rPr>
                <w:b/>
                <w:color w:val="1F3864"/>
                <w:sz w:val="21"/>
              </w:rPr>
              <w:t xml:space="preserve">Step</w:t>
            </w:r>
          </w:p>
        </w:tc>
        <w:tc>
          <w:tcPr>
            <w:tcW w:type="dxa" w:w="7202"/>
            <w:shd w:val="clear" w:color="auto" w:fill="DCE6F1"/>
          </w:tcPr>
          <w:p>
            <w:pPr>
              <w:pStyle w:val="Compact"/>
              <w:spacing w:before="0" w:after="0" w:line="240" w:lineRule="auto"/>
              <w:jc w:val="left"/>
            </w:pPr>
            <w:r>
              <w:rPr>
                <w:b/>
                <w:color w:val="1F3864"/>
                <w:sz w:val="21"/>
              </w:rPr>
              <w:t xml:space="preserve">Working</w:t>
            </w:r>
          </w:p>
        </w:tc>
        <w:tc>
          <w:tcPr>
            <w:tcW w:type="dxa" w:w="1165"/>
            <w:shd w:val="clear" w:color="auto" w:fill="DCE6F1"/>
          </w:tcPr>
          <w:p>
            <w:pPr>
              <w:pStyle w:val="Compact"/>
              <w:spacing w:before="0" w:after="0" w:line="240" w:lineRule="auto"/>
              <w:jc w:val="left"/>
            </w:pPr>
            <w:r>
              <w:rPr>
                <w:b/>
                <w:color w:val="1F3864"/>
                <w:sz w:val="21"/>
              </w:rPr>
              <w:t xml:space="preserve">Amount (₹)</w:t>
            </w:r>
          </w:p>
        </w:tc>
      </w:tr>
      <w:tr>
        <w:tc>
          <w:tcPr>
            <w:tcW w:type="dxa" w:w="1271"/>
          </w:tcPr>
          <w:p>
            <w:pPr>
              <w:pStyle w:val="Compact"/>
              <w:spacing w:before="0" w:after="0" w:line="240" w:lineRule="auto"/>
              <w:jc w:val="left"/>
            </w:pPr>
            <w:r>
              <w:rPr>
                <w:sz w:val="21"/>
              </w:rPr>
              <w:t xml:space="preserve">Value of exports</w:t>
            </w:r>
          </w:p>
        </w:tc>
        <w:tc>
          <w:tcPr>
            <w:tcW w:type="dxa" w:w="7202"/>
          </w:tcPr>
          <w:p>
            <w:pPr>
              <w:pStyle w:val="Compact"/>
              <w:spacing w:before="0" w:after="0" w:line="240" w:lineRule="auto"/>
              <w:jc w:val="left"/>
            </w:pPr>
            <w:r>
              <w:rPr>
                <w:sz w:val="21"/>
              </w:rPr>
              <w:t xml:space="preserve">SB 1: invoice 10,00,000, FOB 9,80,000 → 9,80,000; SB 2: invoice 5,00,000, FOB 5,10,000 → 5,00,000</w:t>
            </w:r>
          </w:p>
        </w:tc>
        <w:tc>
          <w:tcPr>
            <w:tcW w:type="dxa" w:w="1165"/>
          </w:tcPr>
          <w:p>
            <w:pPr>
              <w:pStyle w:val="Compact"/>
              <w:spacing w:before="0" w:after="0" w:line="240" w:lineRule="auto"/>
              <w:jc w:val="left"/>
            </w:pPr>
            <w:r>
              <w:rPr>
                <w:sz w:val="21"/>
              </w:rPr>
              <w:t xml:space="preserve">14,80,000</w:t>
            </w:r>
          </w:p>
        </w:tc>
      </w:tr>
      <w:tr>
        <w:tc>
          <w:tcPr>
            <w:tcW w:type="dxa" w:w="1271"/>
          </w:tcPr>
          <w:p>
            <w:pPr>
              <w:pStyle w:val="Compact"/>
              <w:spacing w:before="0" w:after="0" w:line="240" w:lineRule="auto"/>
              <w:jc w:val="left"/>
            </w:pPr>
            <w:r>
              <w:rPr>
                <w:sz w:val="21"/>
              </w:rPr>
              <w:t xml:space="preserve">Time-barred export</w:t>
            </w:r>
          </w:p>
        </w:tc>
        <w:tc>
          <w:tcPr>
            <w:tcW w:type="dxa" w:w="7202"/>
          </w:tcPr>
          <w:p>
            <w:pPr>
              <w:pStyle w:val="Compact"/>
              <w:spacing w:before="0" w:after="0" w:line="240" w:lineRule="auto"/>
              <w:jc w:val="left"/>
            </w:pPr>
            <w:r>
              <w:rPr>
                <w:sz w:val="21"/>
              </w:rPr>
              <w:t xml:space="preserve">SB 3, lower value 2,00,000: out of the numerator, kept in Adjusted Total Turnover</w:t>
            </w:r>
          </w:p>
        </w:tc>
        <w:tc>
          <w:tcPr>
            <w:tcW w:type="dxa" w:w="1165"/>
          </w:tcPr>
          <w:p>
            <w:pPr>
              <w:pStyle w:val="Compact"/>
              <w:spacing w:before="0" w:after="0" w:line="240" w:lineRule="auto"/>
              <w:jc w:val="left"/>
            </w:pPr>
            <w:r>
              <w:rPr>
                <w:sz w:val="21"/>
              </w:rPr>
              <w:t xml:space="preserve">2,00,000</w:t>
            </w:r>
          </w:p>
        </w:tc>
      </w:tr>
      <w:tr>
        <w:tc>
          <w:tcPr>
            <w:tcW w:type="dxa" w:w="1271"/>
          </w:tcPr>
          <w:p>
            <w:pPr>
              <w:pStyle w:val="Compact"/>
              <w:spacing w:before="0" w:after="0" w:line="240" w:lineRule="auto"/>
              <w:jc w:val="left"/>
            </w:pPr>
            <w:r>
              <w:rPr>
                <w:sz w:val="21"/>
              </w:rPr>
              <w:t xml:space="preserve">Adjusted Total Turnover</w:t>
            </w:r>
          </w:p>
        </w:tc>
        <w:tc>
          <w:tcPr>
            <w:tcW w:type="dxa" w:w="7202"/>
          </w:tcPr>
          <w:p>
            <w:pPr>
              <w:pStyle w:val="Compact"/>
              <w:spacing w:before="0" w:after="0" w:line="240" w:lineRule="auto"/>
              <w:jc w:val="left"/>
            </w:pPr>
            <w:r>
              <w:rPr>
                <w:sz w:val="21"/>
              </w:rPr>
              <w:t xml:space="preserve">14,80,000 + 2,00,000 + domestic taxable 5,00,000 (exempt 1,00,000 kept out)</w:t>
            </w:r>
          </w:p>
        </w:tc>
        <w:tc>
          <w:tcPr>
            <w:tcW w:type="dxa" w:w="1165"/>
          </w:tcPr>
          <w:p>
            <w:pPr>
              <w:pStyle w:val="Compact"/>
              <w:spacing w:before="0" w:after="0" w:line="240" w:lineRule="auto"/>
              <w:jc w:val="left"/>
            </w:pPr>
            <w:r>
              <w:rPr>
                <w:sz w:val="21"/>
              </w:rPr>
              <w:t xml:space="preserve">21,80,000</w:t>
            </w:r>
          </w:p>
        </w:tc>
      </w:tr>
      <w:tr>
        <w:tc>
          <w:tcPr>
            <w:tcW w:type="dxa" w:w="1271"/>
          </w:tcPr>
          <w:p>
            <w:pPr>
              <w:pStyle w:val="Compact"/>
              <w:spacing w:before="0" w:after="0" w:line="240" w:lineRule="auto"/>
              <w:jc w:val="left"/>
            </w:pPr>
            <w:r>
              <w:rPr>
                <w:sz w:val="21"/>
              </w:rPr>
              <w:t xml:space="preserve">Net ITC</w:t>
            </w:r>
          </w:p>
        </w:tc>
        <w:tc>
          <w:tcPr>
            <w:tcW w:type="dxa" w:w="7202"/>
          </w:tcPr>
          <w:p>
            <w:pPr>
              <w:pStyle w:val="Compact"/>
              <w:spacing w:before="0" w:after="0" w:line="240" w:lineRule="auto"/>
              <w:jc w:val="left"/>
            </w:pPr>
            <w:r>
              <w:rPr>
                <w:sz w:val="21"/>
              </w:rPr>
              <w:t xml:space="preserve">Table 4A 3,00,000 − capital goods 40,000 − blocked 10,000</w:t>
            </w:r>
          </w:p>
        </w:tc>
        <w:tc>
          <w:tcPr>
            <w:tcW w:type="dxa" w:w="1165"/>
          </w:tcPr>
          <w:p>
            <w:pPr>
              <w:pStyle w:val="Compact"/>
              <w:spacing w:before="0" w:after="0" w:line="240" w:lineRule="auto"/>
              <w:jc w:val="left"/>
            </w:pPr>
            <w:r>
              <w:rPr>
                <w:sz w:val="21"/>
              </w:rPr>
              <w:t xml:space="preserve">2,50,000</w:t>
            </w:r>
          </w:p>
        </w:tc>
      </w:tr>
      <w:tr>
        <w:tc>
          <w:tcPr>
            <w:tcW w:type="dxa" w:w="1271"/>
          </w:tcPr>
          <w:p>
            <w:pPr>
              <w:pStyle w:val="Compact"/>
              <w:spacing w:before="0" w:after="0" w:line="240" w:lineRule="auto"/>
              <w:jc w:val="left"/>
            </w:pPr>
            <w:r>
              <w:rPr>
                <w:sz w:val="21"/>
              </w:rPr>
              <w:t xml:space="preserve">Formula</w:t>
            </w:r>
          </w:p>
        </w:tc>
        <w:tc>
          <w:tcPr>
            <w:tcW w:type="dxa" w:w="7202"/>
          </w:tcPr>
          <w:p>
            <w:pPr>
              <w:pStyle w:val="Compact"/>
              <w:spacing w:before="0" w:after="0" w:line="240" w:lineRule="auto"/>
              <w:jc w:val="left"/>
            </w:pPr>
            <w:r>
              <w:rPr>
                <w:sz w:val="21"/>
              </w:rPr>
              <w:t xml:space="preserve">14,80,000 × 2,50,000 ÷ 21,80,000 = 1,69,724.77</w:t>
            </w:r>
          </w:p>
        </w:tc>
        <w:tc>
          <w:tcPr>
            <w:tcW w:type="dxa" w:w="1165"/>
          </w:tcPr>
          <w:p>
            <w:pPr>
              <w:pStyle w:val="Compact"/>
              <w:spacing w:before="0" w:after="0" w:line="240" w:lineRule="auto"/>
              <w:jc w:val="left"/>
            </w:pPr>
            <w:r>
              <w:rPr>
                <w:sz w:val="21"/>
              </w:rPr>
              <w:t xml:space="preserve">1,69,725</w:t>
            </w:r>
          </w:p>
        </w:tc>
      </w:tr>
      <w:tr>
        <w:tc>
          <w:tcPr>
            <w:tcW w:type="dxa" w:w="1271"/>
          </w:tcPr>
          <w:p>
            <w:pPr>
              <w:pStyle w:val="Compact"/>
              <w:spacing w:before="0" w:after="0" w:line="240" w:lineRule="auto"/>
              <w:jc w:val="left"/>
            </w:pPr>
            <w:r>
              <w:rPr>
                <w:sz w:val="21"/>
              </w:rPr>
              <w:t xml:space="preserve">Admissible</w:t>
            </w:r>
          </w:p>
        </w:tc>
        <w:tc>
          <w:tcPr>
            <w:tcW w:type="dxa" w:w="7202"/>
          </w:tcPr>
          <w:p>
            <w:pPr>
              <w:pStyle w:val="Compact"/>
              <w:spacing w:before="0" w:after="0" w:line="240" w:lineRule="auto"/>
              <w:jc w:val="left"/>
            </w:pPr>
            <w:r>
              <w:rPr>
                <w:sz w:val="21"/>
              </w:rPr>
              <w:t xml:space="preserve">Least of 1,69,725, ledger at end 2,00,000 and at filing 1,90,000 (claimed 1,80,000)</w:t>
            </w:r>
          </w:p>
        </w:tc>
        <w:tc>
          <w:tcPr>
            <w:tcW w:type="dxa" w:w="1165"/>
          </w:tcPr>
          <w:p>
            <w:pPr>
              <w:pStyle w:val="Compact"/>
              <w:spacing w:before="0" w:after="0" w:line="240" w:lineRule="auto"/>
              <w:jc w:val="left"/>
            </w:pPr>
            <w:r>
              <w:rPr>
                <w:sz w:val="21"/>
              </w:rPr>
              <w:t xml:space="preserve">1,69,725</w:t>
            </w:r>
          </w:p>
        </w:tc>
      </w:tr>
      <w:tr>
        <w:tc>
          <w:tcPr>
            <w:tcW w:type="dxa" w:w="1271"/>
          </w:tcPr>
          <w:p>
            <w:pPr>
              <w:pStyle w:val="Compact"/>
              <w:spacing w:before="0" w:after="0" w:line="240" w:lineRule="auto"/>
              <w:jc w:val="left"/>
            </w:pPr>
            <w:r>
              <w:rPr>
                <w:sz w:val="21"/>
              </w:rPr>
              <w:t xml:space="preserve">Rejected</w:t>
            </w:r>
          </w:p>
        </w:tc>
        <w:tc>
          <w:tcPr>
            <w:tcW w:type="dxa" w:w="7202"/>
          </w:tcPr>
          <w:p>
            <w:pPr>
              <w:pStyle w:val="Compact"/>
              <w:spacing w:before="0" w:after="0" w:line="240" w:lineRule="auto"/>
              <w:jc w:val="left"/>
            </w:pPr>
            <w:r>
              <w:rPr>
                <w:sz w:val="21"/>
              </w:rPr>
              <w:t xml:space="preserve">1,80,000 − 1,69,725 (dropping SB 3 from the denominator too would give 1,86,869, ₹17,144 too much)</w:t>
            </w:r>
          </w:p>
        </w:tc>
        <w:tc>
          <w:tcPr>
            <w:tcW w:type="dxa" w:w="1165"/>
          </w:tcPr>
          <w:p>
            <w:pPr>
              <w:pStyle w:val="Compact"/>
              <w:spacing w:before="0" w:after="0" w:line="240" w:lineRule="auto"/>
              <w:jc w:val="left"/>
            </w:pPr>
            <w:r>
              <w:rPr>
                <w:sz w:val="21"/>
              </w:rPr>
              <w:t xml:space="preserve">10,275</w:t>
            </w:r>
          </w:p>
        </w:tc>
      </w:tr>
    </w:tbl>
    <w:p>
      <w:pPr>
        <w:pStyle w:val="BlockText"/>
        <w:shd w:val="clear" w:color="auto" w:fill="E7E6E6"/>
        <w:spacing w:before="360"/>
      </w:pPr>
      <w:r>
        <w:rPr>
          <w:bCs/>
          <w:b/>
          <w:sz w:val="21"/>
        </w:rPr>
        <w:t xml:space="preserve">How to use this template.</w:t>
      </w:r>
      <w:r>
        <w:rPr>
          <w:sz w:val="21"/>
        </w:rPr>
        <w:t xml:space="preserve"> </w:t>
      </w:r>
      <w:r>
        <w:rPr>
          <w:sz w:val="21"/>
        </w:rPr>
        <w:t xml:space="preserve">Text in [square brackets] is to be filled in or chosen. Paragraphs marked</w:t>
      </w:r>
      <w:r>
        <w:rPr>
          <w:sz w:val="21"/>
        </w:rPr>
        <w:t xml:space="preserve"> </w:t>
      </w:r>
      <w:r>
        <w:rPr>
          <w:bCs/>
          <w:b/>
          <w:sz w:val="21"/>
        </w:rPr>
        <w:t xml:space="preserve">[Option A]</w:t>
      </w:r>
      <w:r>
        <w:rPr>
          <w:sz w:val="21"/>
        </w:rPr>
        <w:t xml:space="preserve">,</w:t>
      </w:r>
      <w:r>
        <w:rPr>
          <w:sz w:val="21"/>
        </w:rPr>
        <w:t xml:space="preserve"> </w:t>
      </w:r>
      <w:r>
        <w:rPr>
          <w:bCs/>
          <w:b/>
          <w:sz w:val="21"/>
        </w:rPr>
        <w:t xml:space="preserve">[Option B]</w:t>
      </w:r>
      <w:r>
        <w:rPr>
          <w:sz w:val="21"/>
        </w:rPr>
        <w:t xml:space="preserve"> </w:t>
      </w:r>
      <w:r>
        <w:rPr>
          <w:sz w:val="21"/>
        </w:rPr>
        <w:t xml:space="preserve">are alternatives: keep the one that fits and delete the rest.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box is guidance for the officer and must be deleted before the order is signed. Do not leave any bracket, blank date or drafting note in the issued order.</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T2: Refund of unutilised ITC on export of goods without payment of tax (under LUT)</dc:title>
  <dc:creator>Sangareddy CGST Division</dc:creator>
  <cp:keywords/>
  <dcterms:created xsi:type="dcterms:W3CDTF">2026-10-12T14:52:39Z</dcterms:created>
  <dcterms:modified xsi:type="dcterms:W3CDTF">2026-10-12T14:52:39Z</dcterms:modified>
</cp:coreProperties>
</file>

<file path=docProps/custom.xml><?xml version="1.0" encoding="utf-8"?>
<Properties xmlns="http://schemas.openxmlformats.org/officeDocument/2006/custom-properties" xmlns:vt="http://schemas.openxmlformats.org/officeDocument/2006/docPropsVTypes"/>
</file>