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RFD-06 [See rules 92(1), 92(3), 92(4), 92(5) and 96(7)]</w:t>
      </w:r>
      <w:r>
        <w:rPr>
          <w:color w:val="1F3864"/>
        </w:rPr>
        <w:br/>
      </w:r>
      <w:r>
        <w:rPr>
          <w:bCs/>
          <w:b/>
          <w:color w:val="1F3864"/>
        </w:rPr>
        <w:t xml:space="preserve">SPEAKING ORDER ANNEXED TO THE REFUND SANCTION / REJECTION ORDER</w:t>
      </w:r>
      <w:r>
        <w:rPr>
          <w:color w:val="1F3864"/>
        </w:rPr>
        <w:br/>
      </w:r>
      <w:r>
        <w:rPr>
          <w:bCs/>
          <w:b/>
          <w:color w:val="1F3864"/>
        </w:rPr>
        <w:t xml:space="preserve">REFUND OF UNUTILISED INPUT TAX CREDIT ON EXPORT OF SERVICES WITHOUT PAYMENT OF TAX UNDER LETTER OF UNDERTAKING [SECTION 54(3)(i) OF THE CGST ACT READ WITH SECTION 16(3) OF THE IGST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71"/>
        <w:gridCol w:w="7167"/>
      </w:tblGrid>
      <w:tr>
        <w:trPr>
          <w:tblHeader w:val="true"/>
          <w:tblHeader/>
        </w:trPr>
        <w:tc>
          <w:tcPr>
            <w:tcW w:type="dxa" w:w="247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167"/>
            <w:shd w:val="clear" w:color="auto" w:fill="DCE6F1"/>
          </w:tcPr>
          <w:p>
            <w:pPr>
              <w:pStyle w:val="Compact"/>
              <w:spacing w:before="0" w:after="0" w:line="240" w:lineRule="auto"/>
              <w:jc w:val="left"/>
            </w:pPr>
            <w:r>
              <w:rPr>
                <w:b/>
                <w:color w:val="1F3864"/>
                <w:sz w:val="21"/>
              </w:rPr>
              <w:t xml:space="preserve">Details</w:t>
            </w:r>
          </w:p>
        </w:tc>
      </w:tr>
      <w:tr>
        <w:tc>
          <w:tcPr>
            <w:tcW w:type="dxa" w:w="2471"/>
            <w:shd w:val="clear" w:color="auto" w:fill="F5F8FC"/>
          </w:tcPr>
          <w:p>
            <w:pPr>
              <w:pStyle w:val="Compact"/>
              <w:spacing w:before="0" w:after="0" w:line="240" w:lineRule="auto"/>
              <w:jc w:val="left"/>
            </w:pPr>
            <w:r>
              <w:rPr>
                <w:b/>
                <w:sz w:val="21"/>
              </w:rPr>
              <w:t xml:space="preserve">Order No. and date</w:t>
            </w:r>
          </w:p>
        </w:tc>
        <w:tc>
          <w:tcPr>
            <w:tcW w:type="dxa" w:w="7167"/>
          </w:tcPr>
          <w:p>
            <w:pPr>
              <w:pStyle w:val="Compact"/>
              <w:spacing w:before="0" w:after="0" w:line="240" w:lineRule="auto"/>
              <w:jc w:val="left"/>
            </w:pPr>
            <w:r>
              <w:rPr>
                <w:sz w:val="21"/>
              </w:rPr>
              <w:t xml:space="preserve">[Order No.] dated [DD.MM.YYYY]</w:t>
            </w:r>
          </w:p>
        </w:tc>
      </w:tr>
      <w:tr>
        <w:tc>
          <w:tcPr>
            <w:tcW w:type="dxa" w:w="2471"/>
            <w:shd w:val="clear" w:color="auto" w:fill="F5F8FC"/>
          </w:tcPr>
          <w:p>
            <w:pPr>
              <w:pStyle w:val="Compact"/>
              <w:spacing w:before="0" w:after="0" w:line="240" w:lineRule="auto"/>
              <w:jc w:val="left"/>
            </w:pPr>
            <w:r>
              <w:rPr>
                <w:b/>
                <w:sz w:val="21"/>
              </w:rPr>
              <w:t xml:space="preserve">Reference No. (RFN) / DIN</w:t>
            </w:r>
          </w:p>
        </w:tc>
        <w:tc>
          <w:tcPr>
            <w:tcW w:type="dxa" w:w="7167"/>
          </w:tcPr>
          <w:p>
            <w:pPr>
              <w:pStyle w:val="Compact"/>
              <w:spacing w:before="0" w:after="0" w:line="240" w:lineRule="auto"/>
              <w:jc w:val="left"/>
            </w:pPr>
            <w:r>
              <w:rPr>
                <w:sz w:val="21"/>
              </w:rPr>
              <w:t xml:space="preserve">RFN [ ] generated on the common portal. [A DIN is not required on a communication served through the portal that bears an RFN (Circular No. 249/06/2025-GST); quote a DIN on any copy sent outside the portal, such as by e-mail.]</w:t>
            </w:r>
          </w:p>
        </w:tc>
      </w:tr>
      <w:tr>
        <w:tc>
          <w:tcPr>
            <w:tcW w:type="dxa" w:w="2471"/>
            <w:shd w:val="clear" w:color="auto" w:fill="F5F8FC"/>
          </w:tcPr>
          <w:p>
            <w:pPr>
              <w:pStyle w:val="Compact"/>
              <w:spacing w:before="0" w:after="0" w:line="240" w:lineRule="auto"/>
              <w:jc w:val="left"/>
            </w:pPr>
            <w:r>
              <w:rPr>
                <w:b/>
                <w:sz w:val="21"/>
              </w:rPr>
              <w:t xml:space="preserve">Name and address of the applicant</w:t>
            </w:r>
          </w:p>
        </w:tc>
        <w:tc>
          <w:tcPr>
            <w:tcW w:type="dxa" w:w="7167"/>
          </w:tcPr>
          <w:p>
            <w:pPr>
              <w:pStyle w:val="Compact"/>
              <w:spacing w:before="0" w:after="0" w:line="240" w:lineRule="auto"/>
              <w:jc w:val="left"/>
            </w:pPr>
            <w:r>
              <w:rPr>
                <w:sz w:val="21"/>
              </w:rPr>
              <w:t xml:space="preserve">[Legal name] ([trade name]), [principal place of business]</w:t>
            </w:r>
          </w:p>
        </w:tc>
      </w:tr>
      <w:tr>
        <w:tc>
          <w:tcPr>
            <w:tcW w:type="dxa" w:w="2471"/>
            <w:shd w:val="clear" w:color="auto" w:fill="F5F8FC"/>
          </w:tcPr>
          <w:p>
            <w:pPr>
              <w:pStyle w:val="Compact"/>
              <w:spacing w:before="0" w:after="0" w:line="240" w:lineRule="auto"/>
              <w:jc w:val="left"/>
            </w:pPr>
            <w:r>
              <w:rPr>
                <w:b/>
                <w:sz w:val="21"/>
              </w:rPr>
              <w:t xml:space="preserve">GSTIN</w:t>
            </w:r>
          </w:p>
        </w:tc>
        <w:tc>
          <w:tcPr>
            <w:tcW w:type="dxa" w:w="7167"/>
          </w:tcPr>
          <w:p>
            <w:pPr>
              <w:pStyle w:val="Compact"/>
              <w:spacing w:before="0" w:after="0" w:line="240" w:lineRule="auto"/>
              <w:jc w:val="left"/>
            </w:pPr>
            <w:r>
              <w:rPr>
                <w:sz w:val="21"/>
              </w:rPr>
              <w:t xml:space="preserve">[GSTIN]</w:t>
            </w:r>
          </w:p>
        </w:tc>
      </w:tr>
      <w:tr>
        <w:tc>
          <w:tcPr>
            <w:tcW w:type="dxa" w:w="2471"/>
            <w:shd w:val="clear" w:color="auto" w:fill="F5F8FC"/>
          </w:tcPr>
          <w:p>
            <w:pPr>
              <w:pStyle w:val="Compact"/>
              <w:spacing w:before="0" w:after="0" w:line="240" w:lineRule="auto"/>
              <w:jc w:val="left"/>
            </w:pPr>
            <w:r>
              <w:rPr>
                <w:b/>
                <w:sz w:val="21"/>
              </w:rPr>
              <w:t xml:space="preserve">Refund category as selected in RFD-01</w:t>
            </w:r>
          </w:p>
        </w:tc>
        <w:tc>
          <w:tcPr>
            <w:tcW w:type="dxa" w:w="7167"/>
          </w:tcPr>
          <w:p>
            <w:pPr>
              <w:pStyle w:val="Compact"/>
              <w:spacing w:before="0" w:after="0" w:line="240" w:lineRule="auto"/>
              <w:jc w:val="left"/>
            </w:pPr>
            <w:r>
              <w:rPr>
                <w:sz w:val="21"/>
              </w:rPr>
              <w:t xml:space="preserve">Export of goods / services without payment of tax (accumulated ITC)</w:t>
            </w:r>
          </w:p>
        </w:tc>
      </w:tr>
      <w:tr>
        <w:tc>
          <w:tcPr>
            <w:tcW w:type="dxa" w:w="2471"/>
            <w:shd w:val="clear" w:color="auto" w:fill="F5F8FC"/>
          </w:tcPr>
          <w:p>
            <w:pPr>
              <w:pStyle w:val="Compact"/>
              <w:spacing w:before="0" w:after="0" w:line="240" w:lineRule="auto"/>
              <w:jc w:val="left"/>
            </w:pPr>
            <w:r>
              <w:rPr>
                <w:b/>
                <w:sz w:val="21"/>
              </w:rPr>
              <w:t xml:space="preserve">Tax period(s)</w:t>
            </w:r>
          </w:p>
        </w:tc>
        <w:tc>
          <w:tcPr>
            <w:tcW w:type="dxa" w:w="7167"/>
          </w:tcPr>
          <w:p>
            <w:pPr>
              <w:pStyle w:val="Compact"/>
              <w:spacing w:before="0" w:after="0" w:line="240" w:lineRule="auto"/>
              <w:jc w:val="left"/>
            </w:pPr>
            <w:r>
              <w:rPr>
                <w:sz w:val="21"/>
              </w:rPr>
              <w:t xml:space="preserve">[Month YYYY] to [Month YYYY]</w:t>
            </w:r>
          </w:p>
        </w:tc>
      </w:tr>
      <w:tr>
        <w:tc>
          <w:tcPr>
            <w:tcW w:type="dxa" w:w="2471"/>
            <w:shd w:val="clear" w:color="auto" w:fill="F5F8FC"/>
          </w:tcPr>
          <w:p>
            <w:pPr>
              <w:pStyle w:val="Compact"/>
              <w:spacing w:before="0" w:after="0" w:line="240" w:lineRule="auto"/>
              <w:jc w:val="left"/>
            </w:pPr>
            <w:r>
              <w:rPr>
                <w:b/>
                <w:sz w:val="21"/>
              </w:rPr>
              <w:t xml:space="preserve">ARN and date of filing of RFD-01</w:t>
            </w:r>
          </w:p>
        </w:tc>
        <w:tc>
          <w:tcPr>
            <w:tcW w:type="dxa" w:w="7167"/>
          </w:tcPr>
          <w:p>
            <w:pPr>
              <w:pStyle w:val="Compact"/>
              <w:spacing w:before="0" w:after="0" w:line="240" w:lineRule="auto"/>
              <w:jc w:val="left"/>
            </w:pPr>
            <w:r>
              <w:rPr>
                <w:sz w:val="21"/>
              </w:rPr>
              <w:t xml:space="preserve">[ARN] dated [DD.MM.YYYY]</w:t>
            </w:r>
          </w:p>
        </w:tc>
      </w:tr>
      <w:tr>
        <w:tc>
          <w:tcPr>
            <w:tcW w:type="dxa" w:w="2471"/>
            <w:shd w:val="clear" w:color="auto" w:fill="F5F8FC"/>
          </w:tcPr>
          <w:p>
            <w:pPr>
              <w:pStyle w:val="Compact"/>
              <w:spacing w:before="0" w:after="0" w:line="240" w:lineRule="auto"/>
              <w:jc w:val="left"/>
            </w:pPr>
            <w:r>
              <w:rPr>
                <w:b/>
                <w:sz w:val="21"/>
              </w:rPr>
              <w:t xml:space="preserve">Acknowledgement (RFD-02)</w:t>
            </w:r>
          </w:p>
        </w:tc>
        <w:tc>
          <w:tcPr>
            <w:tcW w:type="dxa" w:w="7167"/>
          </w:tcPr>
          <w:p>
            <w:pPr>
              <w:pStyle w:val="Compact"/>
              <w:spacing w:before="0" w:after="0" w:line="240" w:lineRule="auto"/>
              <w:jc w:val="left"/>
            </w:pPr>
            <w:r>
              <w:rPr>
                <w:sz w:val="21"/>
              </w:rPr>
              <w:t xml:space="preserve">Issued on [DD.MM.YYYY] [Option: after deficiency memo RFD-03 dated [DD.MM.YYYY] on the earlier ARN [ARN] dated [DD.MM.YYYY]]</w:t>
            </w:r>
          </w:p>
        </w:tc>
      </w:tr>
      <w:tr>
        <w:tc>
          <w:tcPr>
            <w:tcW w:type="dxa" w:w="2471"/>
            <w:shd w:val="clear" w:color="auto" w:fill="F5F8FC"/>
          </w:tcPr>
          <w:p>
            <w:pPr>
              <w:pStyle w:val="Compact"/>
              <w:spacing w:before="0" w:after="0" w:line="240" w:lineRule="auto"/>
              <w:jc w:val="left"/>
            </w:pPr>
            <w:r>
              <w:rPr>
                <w:b/>
                <w:sz w:val="21"/>
              </w:rPr>
              <w:t xml:space="preserve">Date of receipt of the application for section 54(7) and section 56</w:t>
            </w:r>
          </w:p>
        </w:tc>
        <w:tc>
          <w:tcPr>
            <w:tcW w:type="dxa" w:w="7167"/>
          </w:tcPr>
          <w:p>
            <w:pPr>
              <w:pStyle w:val="Compact"/>
              <w:spacing w:before="0" w:after="0" w:line="240" w:lineRule="auto"/>
              <w:jc w:val="left"/>
            </w:pPr>
            <w:r>
              <w:rPr>
                <w:sz w:val="21"/>
              </w:rPr>
              <w:t xml:space="preserve">[DD.MM.YYYY], the date of filing (ARN), as indicated in RFD-02 (rule 90(2)); sixty days end on [DD.MM.YYYY]</w:t>
            </w:r>
          </w:p>
        </w:tc>
      </w:tr>
      <w:tr>
        <w:tc>
          <w:tcPr>
            <w:tcW w:type="dxa" w:w="2471"/>
            <w:shd w:val="clear" w:color="auto" w:fill="F5F8FC"/>
          </w:tcPr>
          <w:p>
            <w:pPr>
              <w:pStyle w:val="Compact"/>
              <w:spacing w:before="0" w:after="0" w:line="240" w:lineRule="auto"/>
              <w:jc w:val="left"/>
            </w:pPr>
            <w:r>
              <w:rPr>
                <w:b/>
                <w:sz w:val="21"/>
              </w:rPr>
              <w:t xml:space="preserve">Provisional refund (RFD-04)</w:t>
            </w:r>
          </w:p>
        </w:tc>
        <w:tc>
          <w:tcPr>
            <w:tcW w:type="dxa" w:w="7167"/>
          </w:tcPr>
          <w:p>
            <w:pPr>
              <w:pStyle w:val="Compact"/>
              <w:spacing w:before="0" w:after="0" w:line="240" w:lineRule="auto"/>
              <w:jc w:val="left"/>
            </w:pPr>
            <w:r>
              <w:rPr>
                <w:sz w:val="21"/>
              </w:rPr>
              <w:t xml:space="preserve">[RFD-04 No. [ ] dated [DD.MM.YYYY] for ₹[ ]] / [Not granted, reasons in para 5]</w:t>
            </w:r>
          </w:p>
        </w:tc>
      </w:tr>
      <w:tr>
        <w:tc>
          <w:tcPr>
            <w:tcW w:type="dxa" w:w="2471"/>
            <w:shd w:val="clear" w:color="auto" w:fill="F5F8FC"/>
          </w:tcPr>
          <w:p>
            <w:pPr>
              <w:pStyle w:val="Compact"/>
              <w:spacing w:before="0" w:after="0" w:line="240" w:lineRule="auto"/>
              <w:jc w:val="left"/>
            </w:pPr>
            <w:r>
              <w:rPr>
                <w:b/>
                <w:sz w:val="21"/>
              </w:rPr>
              <w:t xml:space="preserve">Notice (RFD-08) and reply (RFD-09)</w:t>
            </w:r>
          </w:p>
        </w:tc>
        <w:tc>
          <w:tcPr>
            <w:tcW w:type="dxa" w:w="7167"/>
          </w:tcPr>
          <w:p>
            <w:pPr>
              <w:pStyle w:val="Compact"/>
              <w:spacing w:before="0" w:after="0" w:line="240" w:lineRule="auto"/>
              <w:jc w:val="left"/>
            </w:pPr>
            <w:r>
              <w:rPr>
                <w:sz w:val="21"/>
              </w:rPr>
              <w:t xml:space="preserve">[RFD-08 No. [ ] dated [DD.MM.YYYY]; reply dated [DD.MM.YYYY]] / [Not issued, as the claim is sanctioned in full]</w:t>
            </w:r>
          </w:p>
        </w:tc>
      </w:tr>
      <w:tr>
        <w:tc>
          <w:tcPr>
            <w:tcW w:type="dxa" w:w="2471"/>
            <w:shd w:val="clear" w:color="auto" w:fill="F5F8FC"/>
          </w:tcPr>
          <w:p>
            <w:pPr>
              <w:pStyle w:val="Compact"/>
              <w:spacing w:before="0" w:after="0" w:line="240" w:lineRule="auto"/>
              <w:jc w:val="left"/>
            </w:pPr>
            <w:r>
              <w:rPr>
                <w:b/>
                <w:sz w:val="21"/>
              </w:rPr>
              <w:t xml:space="preserve">Personal hearing</w:t>
            </w:r>
          </w:p>
        </w:tc>
        <w:tc>
          <w:tcPr>
            <w:tcW w:type="dxa" w:w="7167"/>
          </w:tcPr>
          <w:p>
            <w:pPr>
              <w:pStyle w:val="Compact"/>
              <w:spacing w:before="0" w:after="0" w:line="240" w:lineRule="auto"/>
              <w:jc w:val="left"/>
            </w:pPr>
            <w:r>
              <w:rPr>
                <w:sz w:val="21"/>
              </w:rPr>
              <w:t xml:space="preserve">[DD.MM.YYYY], attended by [designation of the authorised representative] / [Not required, as the claim is sanctioned in full]</w:t>
            </w:r>
          </w:p>
        </w:tc>
      </w:tr>
      <w:tr>
        <w:tc>
          <w:tcPr>
            <w:tcW w:type="dxa" w:w="2471"/>
            <w:shd w:val="clear" w:color="auto" w:fill="F5F8FC"/>
          </w:tcPr>
          <w:p>
            <w:pPr>
              <w:pStyle w:val="Compact"/>
              <w:spacing w:before="0" w:after="0" w:line="240" w:lineRule="auto"/>
              <w:jc w:val="left"/>
            </w:pPr>
            <w:r>
              <w:rPr>
                <w:b/>
                <w:sz w:val="21"/>
              </w:rPr>
              <w:t xml:space="preserve">Amount claimed</w:t>
            </w:r>
          </w:p>
        </w:tc>
        <w:tc>
          <w:tcPr>
            <w:tcW w:type="dxa" w:w="7167"/>
          </w:tcPr>
          <w:p>
            <w:pPr>
              <w:pStyle w:val="Compact"/>
              <w:spacing w:before="0" w:after="0" w:line="240" w:lineRule="auto"/>
              <w:jc w:val="left"/>
            </w:pPr>
            <w:r>
              <w:rPr>
                <w:sz w:val="21"/>
              </w:rPr>
              <w:t xml:space="preserve">IGST ₹[ ]; CGST ₹[ ]; SGST/UTGST ₹[ ]; Cess ₹[ ]; Total ₹[ ]</w:t>
            </w:r>
          </w:p>
        </w:tc>
      </w:tr>
      <w:tr>
        <w:tc>
          <w:tcPr>
            <w:tcW w:type="dxa" w:w="2471"/>
            <w:shd w:val="clear" w:color="auto" w:fill="F5F8FC"/>
          </w:tcPr>
          <w:p>
            <w:pPr>
              <w:pStyle w:val="Compact"/>
              <w:spacing w:before="0" w:after="0" w:line="240" w:lineRule="auto"/>
              <w:jc w:val="left"/>
            </w:pPr>
            <w:r>
              <w:rPr>
                <w:b/>
                <w:sz w:val="21"/>
              </w:rPr>
              <w:t xml:space="preserve">Result</w:t>
            </w:r>
          </w:p>
        </w:tc>
        <w:tc>
          <w:tcPr>
            <w:tcW w:type="dxa" w:w="7167"/>
          </w:tcPr>
          <w:p>
            <w:pPr>
              <w:pStyle w:val="Compact"/>
              <w:spacing w:before="0" w:after="0" w:line="240" w:lineRule="auto"/>
              <w:jc w:val="left"/>
            </w:pPr>
            <w:r>
              <w:rPr>
                <w:sz w:val="21"/>
              </w:rPr>
              <w:t xml:space="preserve">Sanctioned ₹[ ]; Rejected ₹[ ]; Adjusted against dues / withheld ₹[ ] (head-wise details in para 11)</w:t>
            </w:r>
          </w:p>
        </w:tc>
      </w:tr>
    </w:tbl>
    <w:p>
      <w:pPr>
        <w:pStyle w:val="BodyText"/>
        <w:keepNext/>
        <w:spacing w:before="240" w:after="80"/>
        <w:jc w:val="center"/>
        <w:pBdr>
          <w:bottom w:val="single" w:sz="6" w:space="1" w:color="B4C6E7"/>
        </w:pBdr>
      </w:pPr>
      <w:r>
        <w:rPr>
          <w:bCs/>
          <w:b/>
          <w:color w:val="1F3864"/>
          <w:sz w:val="25"/>
        </w:rPr>
        <w:t xml:space="preserve">IMPORTANT NOTE FOR THE APPLICANT</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to be filed</w:t>
      </w:r>
      <w:r>
        <w:t xml:space="preserve"> </w:t>
      </w:r>
      <w:r>
        <w:rPr>
          <w:bCs/>
          <w:b/>
        </w:rPr>
        <w:t xml:space="preserve">electronically in FORM GST APL-01 on the common portal</w:t>
      </w:r>
      <w:r>
        <w:t xml:space="preserve">, with the documents uploaded there (rule 108). No court fee stamp is required. As this order is available on the common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t xml:space="preserve">Under section 107(6), no appeal can be filed unless the appellant has paid (a) in full, the part of the tax, interest, fine, fee and penalty arising from this order that is admitted; and (b) ten per cent of the remaining</w:t>
      </w:r>
      <w:r>
        <w:t xml:space="preserve"> </w:t>
      </w:r>
      <w:r>
        <w:rPr>
          <w:bCs/>
          <w:b/>
        </w:rPr>
        <w:t xml:space="preserve">tax in dispute</w:t>
      </w:r>
      <w:r>
        <w:t xml:space="preserve"> </w:t>
      </w:r>
      <w:r>
        <w:t xml:space="preserve">arising from this order, subject to a maximum of twenty crore rupees. Where an order demands only a penalty without any demand of tax, ten per cent of that penalty is payable (proviso to section 107(6)). [Drafting note: where this order only sanctions or rejects a refund and confirms no demand, no tax is</w:t>
      </w:r>
      <w:r>
        <w:t xml:space="preserve"> </w:t>
      </w:r>
      <w:r>
        <w:t xml:space="preserve">“</w:t>
      </w:r>
      <w:r>
        <w:t xml:space="preserve">in dispute</w:t>
      </w:r>
      <w:r>
        <w:t xml:space="preserve">”</w:t>
      </w:r>
      <w:r>
        <w:t xml:space="preserve"> </w:t>
      </w:r>
      <w:r>
        <w:t xml:space="preserve">under section 107(6); keep this paragraph unchanged, as it is a general statement of the law.]</w:t>
      </w:r>
    </w:p>
    <w:p>
      <w:pPr>
        <w:numPr>
          <w:ilvl w:val="0"/>
          <w:numId w:val="1001"/>
        </w:numPr>
        <w:pStyle w:val="Compact"/>
        <w:spacing w:before="0" w:after="120" w:line="269" w:lineRule="auto"/>
      </w:pPr>
      <w:r>
        <w:t xml:space="preserve">This order is passed under the CGST Act and the CGST Rules, and also under the corresponding provisions of the [State] GST Act, 2017 / Union Territory GST Act, 2017 and the Integrated Goods and Services Tax Act, 2017 (the IGST Act), as applicable (the State or Union Territory portion is decided under section 6 of the State GST Act or the Union Territory GST Act, as the case may be; IGST under section 20 of the IGST Act). The sanction and payment orders for all tax heads are issued by this office, to which the application is assigned (para 27 of Circular No. 125/44/2019-GST).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Brief facts</w:t>
      </w:r>
    </w:p>
    <w:p>
      <w:pPr>
        <w:pStyle w:val="BodyText"/>
        <w:spacing w:before="0" w:after="120" w:line="269" w:lineRule="auto"/>
        <w:jc w:val="both"/>
      </w:pPr>
      <w:r>
        <w:t xml:space="preserve">1.1 [Legal name] (the applicant), registered under GSTIN [ ], supplies [description of services, e.g. software development / IT-enabled / consultancy services] under SAC [ ] to [number] recipient(s) located in [country / countries], under [agreement(s) dated [ ]]. During [period] it supplied these services without payment of integrated tax under Letter of Undertaking (LUT) ARN [ ] dated [DD.MM.YYYY], furnished for financial year [YYYY-YY].</w:t>
      </w:r>
    </w:p>
    <w:p>
      <w:pPr>
        <w:pStyle w:val="BodyText"/>
        <w:spacing w:before="0" w:after="120" w:line="269" w:lineRule="auto"/>
        <w:jc w:val="both"/>
      </w:pPr>
      <w:r>
        <w:t xml:space="preserve">1.2 The applicant filed FORM GST RFD-01 under ARN [ ] dated [DD.MM.YYYY] for refund of ₹[ ] (IGST ₹[ ], CGST ₹[ ], SGST ₹[ ], Cess ₹[ ]) of input tax credit accumulated on account of these supplies, with Statement 3 listing [ ] invoices and the related foreign inward remittance certificates (FIRCs) / bank realisation certificates (BRCs) / e-BRCs. The application was acknowledged in FORM GST RFD-02 on [DD.MM.YYYY].</w:t>
      </w:r>
    </w:p>
    <w:p>
      <w:pPr>
        <w:pStyle w:val="BodyText"/>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Under section 2(6) of the IGST Act,</w:t>
      </w:r>
      <w:r>
        <w:t xml:space="preserve"> </w:t>
      </w:r>
      <w:r>
        <w:t xml:space="preserve">“</w:t>
      </w:r>
      <w:r>
        <w:t xml:space="preserve">export of services</w:t>
      </w:r>
      <w:r>
        <w:t xml:space="preserve">”</w:t>
      </w:r>
      <w:r>
        <w:t xml:space="preserve"> </w:t>
      </w:r>
      <w:r>
        <w:t xml:space="preserve">means the supply of a service when (i) the supplier is located in India; (ii) the recipient is located outside India; (iii) the place of supply is outside India; (iv) the payment for the service has been received by the supplier in convertible foreign exchange or in Indian rupees wherever permitted by the Reserve Bank of India; and (v) the supplier and the recipient are not merely establishments of a distinct person in accordance with Explanation 1 to section 8.</w:t>
      </w:r>
    </w:p>
    <w:p>
      <w:pPr>
        <w:pStyle w:val="BodyText"/>
        <w:spacing w:before="0" w:after="120" w:line="269" w:lineRule="auto"/>
        <w:jc w:val="both"/>
      </w:pPr>
      <w:r>
        <w:t xml:space="preserve">2.2 Where the supplier or the recipient is located outside India, the place of supply is decided under section 13 of the IGST Act. The general rule in section 13(2) is the location of the recipient. Sub-sections (3) to (7) and (10) to (12) of section 13 contain specific rules (for example, services performed on goods physically made available by the recipient, or services that need the physical presence of the recipient, under section 13(3)); section 13(8) makes the location of the supplier the place of supply for the services listed there; and section 13(13) allows the Government to notify the place of effective use and enjoyment. Clause (b) of section 13(8), which covered intermediary services, was omitted by section 157 of the Finance Act, 2026, with effect from [date of commencement of section 157: the law text records only the date of the Act, 30.03.2026, and no separate notification has been seen; confirm before use]. The omission is prospective: for supplies made before that date, the place of supply of intermediary services remains the location of the supplier, and whether a supply is an intermediary service is decided on the tests in Circular No. 159/15/2021-GST.</w:t>
      </w:r>
    </w:p>
    <w:p>
      <w:pPr>
        <w:pStyle w:val="BodyText"/>
        <w:spacing w:before="0" w:after="120" w:line="269" w:lineRule="auto"/>
        <w:jc w:val="both"/>
      </w:pPr>
      <w:r>
        <w:t xml:space="preserve">2.3 Under section 16(1)(a) of the IGST Act, export of services is a zero-rated supply, and under section 16(3) (as substituted with effect from 01.10.2023) the supplier may make it under LUT without payment of integrated tax and claim refund of unutilised input tax credit. The refund is computed under rule 89(4):</w:t>
      </w:r>
    </w:p>
    <w:p>
      <w:pPr>
        <w:pStyle w:val="BlockText"/>
        <w:shd w:val="clear" w:color="auto" w:fill="E7E6E6"/>
      </w:pPr>
      <w:r>
        <w:rPr>
          <w:bCs/>
          <w:b/>
          <w:sz w:val="21"/>
        </w:rPr>
        <w:t xml:space="preserve">Refund Amount = (Turnover of zero-rated supply of goods + Turnover of zero-rated supply of services) × Net ITC ÷ Adjusted Total Turnover</w:t>
      </w:r>
    </w:p>
    <w:p>
      <w:pPr>
        <w:pStyle w:val="FirstParagraph"/>
        <w:spacing w:before="0" w:after="120" w:line="269" w:lineRule="auto"/>
        <w:jc w:val="both"/>
      </w:pPr>
      <w:r>
        <w:t xml:space="preserve">where</w:t>
      </w:r>
      <w:r>
        <w:t xml:space="preserve"> </w:t>
      </w:r>
      <w:r>
        <w:t xml:space="preserve">“</w:t>
      </w:r>
      <w:r>
        <w:t xml:space="preserve">Turnover of zero-rated supply of services</w:t>
      </w:r>
      <w:r>
        <w:t xml:space="preserve">”</w:t>
      </w:r>
      <w:r>
        <w:t xml:space="preserve"> </w:t>
      </w:r>
      <w:r>
        <w:t xml:space="preserve">is the aggregate of the payments received during the relevant period for zero-rated supply of services and zero-rated supply of services completed during the period for which payment had been received in advance in an earlier period, reduced by advances received for zero-rated supply of services not completed during the period (rule 89(4)(D));</w:t>
      </w:r>
      <w:r>
        <w:t xml:space="preserve"> </w:t>
      </w:r>
      <w:r>
        <w:t xml:space="preserve">“</w:t>
      </w:r>
      <w:r>
        <w:t xml:space="preserve">Net ITC</w:t>
      </w:r>
      <w:r>
        <w:t xml:space="preserve">”</w:t>
      </w:r>
      <w:r>
        <w:t xml:space="preserve"> </w:t>
      </w:r>
      <w:r>
        <w:t xml:space="preserve">is credit availed on inputs and input services during the period; and</w:t>
      </w:r>
      <w:r>
        <w:t xml:space="preserve"> </w:t>
      </w:r>
      <w:r>
        <w:t xml:space="preserve">“</w:t>
      </w:r>
      <w:r>
        <w:t xml:space="preserve">Adjusted Total Turnover</w:t>
      </w:r>
      <w:r>
        <w:t xml:space="preserve">”</w:t>
      </w:r>
      <w:r>
        <w:t xml:space="preserve"> </w:t>
      </w:r>
      <w:r>
        <w:t xml:space="preserve">includes the turnover of zero-rated supply of services</w:t>
      </w:r>
      <w:r>
        <w:t xml:space="preserve"> </w:t>
      </w:r>
      <w:r>
        <w:rPr>
          <w:bCs/>
          <w:b/>
        </w:rPr>
        <w:t xml:space="preserve">determined in the same manner under clause (D)</w:t>
      </w:r>
      <w:r>
        <w:t xml:space="preserve"> </w:t>
      </w:r>
      <w:r>
        <w:t xml:space="preserve">and of non-zero-rated supply of services, excluding the value of exempt supplies other than zero-rated supplies (rule 89(4)(E)).</w:t>
      </w:r>
    </w:p>
    <w:p>
      <w:pPr>
        <w:pStyle w:val="BodyText"/>
        <w:spacing w:before="0" w:after="120" w:line="269" w:lineRule="auto"/>
        <w:jc w:val="both"/>
      </w:pPr>
      <w:r>
        <w:t xml:space="preserve">2.4 Under rule 89(2)(c), the application is accompanied by a statement containing the number and date of invoices and the relevant BRCs or FIRCs. Under clause (c) of Explanation 2 to section 54, the relevant date for services exported is the date of receipt of payment in convertible foreign exchange or in Indian rupees wherever permitted by the RBI, where the supply had been completed before the payment; or the date of issue of the invoice, where payment had been received in advance of the invoice.</w:t>
      </w:r>
    </w:p>
    <w:p>
      <w:pPr>
        <w:pStyle w:val="BodyText"/>
        <w:spacing w:before="0" w:after="120" w:line="269" w:lineRule="auto"/>
        <w:jc w:val="both"/>
      </w:pPr>
      <w:r>
        <w:t xml:space="preserve">2.5 Circular No. 161/17/2021-GST clarifies when a supplier in India and a recipient outside India are establishments of a distinct person. Circular No. 202/14/2023-GST clarifies that payment received in Indian rupees through a Special Rupee Vostro Account, as permitted by the RBI, satisfies section 2(6)(iv).</w:t>
      </w:r>
    </w:p>
    <w:p>
      <w:pPr>
        <w:pStyle w:val="BodyText"/>
        <w:keepNext/>
        <w:spacing w:before="240" w:after="80"/>
        <w:pBdr>
          <w:bottom w:val="single" w:sz="6" w:space="1" w:color="B4C6E7"/>
        </w:pBdr>
      </w:pPr>
      <w:r>
        <w:rPr>
          <w:bCs/>
          <w:b/>
          <w:color w:val="1F3864"/>
          <w:sz w:val="25"/>
        </w:rPr>
        <w:t xml:space="preserve">3. Limitation</w:t>
      </w:r>
    </w:p>
    <w:p>
      <w:pPr>
        <w:pStyle w:val="BodyText"/>
        <w:spacing w:before="0" w:after="120" w:line="269" w:lineRule="auto"/>
        <w:jc w:val="both"/>
      </w:pPr>
      <w:r>
        <w:t xml:space="preserve">3.1 The relevant date under clause (c) of Explanation 2 has been checked for each invoice, from the date of the related remittance (or the invoice date for advances), in Table 1. [Option A: All relevant dates fall on or after [DD.MM.YYYY], and the application filed on [DD.MM.YYYY] is within two years of each.] [Option B: Remittances at serial numbers [ ] were received before [DD.MM.YYYY] and are beyond two years on the date of filing. Their value of ₹[ ] is excluded from the turnover of zero-rated supply of services, but, being payments received in the relevant period, remains in the zero-rated services value within Adjusted Total Turnover.]</w:t>
      </w:r>
    </w:p>
    <w:p>
      <w:pPr>
        <w:pStyle w:val="BlockText"/>
        <w:shd w:val="clear" w:color="auto" w:fill="E7E6E6"/>
      </w:pPr>
      <w:r>
        <w:rPr>
          <w:bCs/>
          <w:b/>
          <w:sz w:val="21"/>
        </w:rPr>
        <w:t xml:space="preserve">Drafting note:</w:t>
      </w:r>
      <w:r>
        <w:rPr>
          <w:sz w:val="21"/>
        </w:rPr>
        <w:t xml:space="preserve"> </w:t>
      </w:r>
      <w:r>
        <w:rPr>
          <w:sz w:val="21"/>
        </w:rPr>
        <w:t xml:space="preserve">if any earlier application for the same period was returned in RFD-03, the period from that filing to the RFD-03 is excluded (proviso to rule 90(3)).</w:t>
      </w:r>
    </w:p>
    <w:p>
      <w:pPr>
        <w:pStyle w:val="FirstParagraph"/>
        <w:keepNext/>
        <w:spacing w:before="240" w:after="80"/>
        <w:pBdr>
          <w:bottom w:val="single" w:sz="6" w:space="1" w:color="B4C6E7"/>
        </w:pBdr>
      </w:pPr>
      <w:r>
        <w:rPr>
          <w:bCs/>
          <w:b/>
          <w:color w:val="1F3864"/>
          <w:sz w:val="25"/>
        </w:rPr>
        <w:t xml:space="preserve">4. Other conditions for admissibility</w:t>
      </w:r>
    </w:p>
    <w:p>
      <w:pPr>
        <w:pStyle w:val="BodyText"/>
        <w:spacing w:before="0" w:after="120" w:line="269" w:lineRule="auto"/>
        <w:jc w:val="both"/>
      </w:pPr>
      <w:r>
        <w:t xml:space="preserve">4.1 The application was complete in terms of rule 89(2) and was acknowledged in RFD-02 within fifteen days under rule 90(2). The applicant has filed all returns due up to the date of the application (para 6 of Circular 125). The amount claimed was debited from the electronic credit ledger by debit entry No. [ ] dated [DD.MM.YYYY] (rule 89(3)). The undertaking in relation to section 16(2)(c) has been filed online (para 2.4 of Circular No. 197/09/2023-GST). The back-office refund history shows no other claim for this period in this or any other category, and no remittance in Statement 3 was used in an earlier claim. The applicant [has / has not] undergone Aadhaar authentication under rule 10B [if not, see para 5, Option D].</w:t>
      </w:r>
    </w:p>
    <w:p>
      <w:pPr>
        <w:pStyle w:val="BodyText"/>
        <w:keepNext/>
        <w:spacing w:before="240" w:after="80"/>
        <w:pBdr>
          <w:bottom w:val="single" w:sz="6" w:space="1" w:color="B4C6E7"/>
        </w:pBdr>
      </w:pPr>
      <w:r>
        <w:rPr>
          <w:bCs/>
          <w:b/>
          <w:color w:val="1F3864"/>
          <w:sz w:val="25"/>
        </w:rPr>
        <w:t xml:space="preserve">5. Provisional refund</w:t>
      </w:r>
    </w:p>
    <w:p>
      <w:pPr>
        <w:pStyle w:val="BodyText"/>
        <w:spacing w:before="0" w:after="120" w:line="269" w:lineRule="auto"/>
        <w:jc w:val="both"/>
      </w:pPr>
      <w:r>
        <w:t xml:space="preserve">5.1 Section 54(6) of the CGST Act, read with rule 91 of the CGST Rules, provides for refund on a provisional basis of ninety per cent of the amount claimed on account of zero-rated supply of goods or services. Under rule 91(2), as substituted by Notification No. 13/2025-Central Tax dated 17.09.2025 with effect from 01.10.2025, the proper officer is to issue the provisional refund order in FORM GST RFD-04 within seven days of the acknowledgement, on the basis of the identification and evaluation of risk by the system. Under the first proviso to rule 91(2), the proper officer may, for reasons to be recorded in writing, decide that the applicant is not to be granted refund on a provisional basis. Instruction No. 06/2025-GST dated 03.10.2025 (paras 3.1 to 3.3) directs that ninety per cent of the amount claimed be sanctioned provisionally where the system categorises the application as</w:t>
      </w:r>
      <w:r>
        <w:t xml:space="preserve"> </w:t>
      </w:r>
      <w:r>
        <w:t xml:space="preserve">“</w:t>
      </w:r>
      <w:r>
        <w:t xml:space="preserve">low-risk</w:t>
      </w:r>
      <w:r>
        <w:t xml:space="preserve">”</w:t>
      </w:r>
      <w:r>
        <w:t xml:space="preserve">, without further scrutiny for that purpose; that applications not categorised as low-risk get no provisional refund and are scrutinised in detail; and that the first proviso to rule 91(2) be used sparingly, case by case, and not on presumptive grounds or merely because routine proceedings such as scrutiny have begun. Provisional refund is not available to the categories notified under section 54(6) by Notification No. 14/2025-Central Tax dated 17.09.2025, namely a person who has not undergone Aadhaar authentication under rule 10B, and a person engaged in the supply of areca nuts (0802 80), pan masala (2106 90 20), tobacco and manufactured tobacco substitutes (chapter 24) or essential oils (3301); nor, under rule 91(1), to a person prosecuted, during the five years before the tax period of the claim, for an offence where the tax evaded exceeds two hundred and fifty lakh rupees.</w:t>
      </w:r>
    </w:p>
    <w:p>
      <w:pPr>
        <w:pStyle w:val="BlockText"/>
        <w:shd w:val="clear" w:color="auto" w:fill="E7E6E6"/>
      </w:pPr>
      <w:r>
        <w:rPr>
          <w:bCs/>
          <w:b/>
          <w:sz w:val="21"/>
        </w:rPr>
        <w:t xml:space="preserve">Drafting note:</w:t>
      </w:r>
      <w:r>
        <w:rPr>
          <w:sz w:val="21"/>
        </w:rPr>
        <w:t xml:space="preserve"> </w:t>
      </w:r>
      <w:r>
        <w:rPr>
          <w:sz w:val="21"/>
        </w:rPr>
        <w:t xml:space="preserve">keep one of Options A to D. Record the system risk category exactly as shown on the back-office screen. Under para 3.2 of Instruction 06/2025, no amount can be adjusted or withheld under section 54(10) or 54(11) from a provisional refund; where the applicant has such dues, the Instruction allows the officer to decide the claim finally at the earliest instead, and recover the dues from the final sanction. Provisional refund may also be refused where, on an earlier refund of the applicant, the issue is pending in appeal, a show cause notice has been issued, or an order has not attained finality.</w:t>
      </w:r>
    </w:p>
    <w:p>
      <w:pPr>
        <w:pStyle w:val="FirstParagraph"/>
        <w:spacing w:before="0" w:after="120" w:line="269" w:lineRule="auto"/>
        <w:jc w:val="both"/>
      </w:pPr>
      <w:r>
        <w:t xml:space="preserve">5.2</w:t>
      </w:r>
      <w:r>
        <w:t xml:space="preserve"> </w:t>
      </w:r>
      <w:r>
        <w:rPr>
          <w:bCs/>
          <w:b/>
        </w:rPr>
        <w:t xml:space="preserve">[Option A: provisional refund granted]</w:t>
      </w:r>
      <w:r>
        <w:t xml:space="preserve"> </w:t>
      </w:r>
      <w:r>
        <w:t xml:space="preserve">The claim was marked</w:t>
      </w:r>
      <w:r>
        <w:t xml:space="preserve"> </w:t>
      </w:r>
      <w:r>
        <w:t xml:space="preserve">“</w:t>
      </w:r>
      <w:r>
        <w:t xml:space="preserve">low-risk</w:t>
      </w:r>
      <w:r>
        <w:t xml:space="preserve">”</w:t>
      </w:r>
      <w:r>
        <w:t xml:space="preserve"> </w:t>
      </w:r>
      <w:r>
        <w:t xml:space="preserve">by the system. Provisional refund of ₹[ ] (IGST ₹[ ], CGST ₹[ ], SGST ₹[ ], Cess ₹[ ]), being ninety per cent of the amount claimed, was sanctioned by RFD-04 No. [ ] dated [DD.MM.YYYY] and paid by RFD-05 dated [DD.MM.YYYY]. That amount is accounted for in the final sanction in para 11 under rule 92(1). [Option, where the amount finally admissible is less than the provisional refund paid: the excess of ₹[ ] was proposed for recovery in the RFD-08 notice, with its summary in FORM GST DRC-01 (rule 142(1)(a)), under section 54 read with section [73 / 74 / 74A] (para 3.4 of Instruction No. 06/2025-GST; paras 15 and 16 of Circular No. 125/44/2019-GST) and is decided in para 11.]</w:t>
      </w:r>
    </w:p>
    <w:p>
      <w:pPr>
        <w:pStyle w:val="BodyText"/>
        <w:spacing w:before="0" w:after="120" w:line="269" w:lineRule="auto"/>
        <w:jc w:val="both"/>
      </w:pPr>
      <w:r>
        <w:t xml:space="preserve">5.2</w:t>
      </w:r>
      <w:r>
        <w:t xml:space="preserve"> </w:t>
      </w:r>
      <w:r>
        <w:rPr>
          <w:bCs/>
          <w:b/>
        </w:rPr>
        <w:t xml:space="preserve">[Option B: claim not low-risk]</w:t>
      </w:r>
      <w:r>
        <w:t xml:space="preserve"> </w:t>
      </w:r>
      <w:r>
        <w:t xml:space="preserve">The claim was not marked</w:t>
      </w:r>
      <w:r>
        <w:t xml:space="preserve"> </w:t>
      </w:r>
      <w:r>
        <w:t xml:space="preserve">“</w:t>
      </w:r>
      <w:r>
        <w:t xml:space="preserve">low-risk</w:t>
      </w:r>
      <w:r>
        <w:t xml:space="preserve">”</w:t>
      </w:r>
      <w:r>
        <w:t xml:space="preserve"> </w:t>
      </w:r>
      <w:r>
        <w:t xml:space="preserve">by the system ([risk category as shown]). In terms of para 3.1 of Instruction 06/2025-GST, no provisional refund was sanctioned, and the claim has been examined in detail as set out below.</w:t>
      </w:r>
    </w:p>
    <w:p>
      <w:pPr>
        <w:pStyle w:val="BodyText"/>
        <w:spacing w:before="0" w:after="120" w:line="269" w:lineRule="auto"/>
        <w:jc w:val="both"/>
      </w:pPr>
      <w:r>
        <w:t xml:space="preserve">5.2</w:t>
      </w:r>
      <w:r>
        <w:t xml:space="preserve"> </w:t>
      </w:r>
      <w:r>
        <w:rPr>
          <w:bCs/>
          <w:b/>
        </w:rPr>
        <w:t xml:space="preserve">[Option C: low-risk, but provisional refund not granted under the first proviso to rule 91(2)]</w:t>
      </w:r>
      <w:r>
        <w:t xml:space="preserve"> </w:t>
      </w:r>
      <w:r>
        <w:t xml:space="preserve">Although the claim was categorised as</w:t>
      </w:r>
      <w:r>
        <w:t xml:space="preserve"> </w:t>
      </w:r>
      <w:r>
        <w:t xml:space="preserve">“</w:t>
      </w:r>
      <w:r>
        <w:t xml:space="preserve">low-risk</w:t>
      </w:r>
      <w:r>
        <w:t xml:space="preserve">”</w:t>
      </w:r>
      <w:r>
        <w:t xml:space="preserve">, provisional refund was not granted, for the reasons recorded in writing on [DD.MM.YYYY] under the first proviso to rule 91(2), namely [state the specific, case-related reason, for example: (i) on the earlier refund claim ARN [ ], show cause notice No. [ ] dated [ ] has been issued and has not attained finality (para 3.2 of Instruction 06/2025-GST); or (ii) the applicant owes ₹[ ] under [order], which cannot be adjusted against a provisional refund, so the claim was taken up for final decision at the earliest (para 3.2)]. The reason is not presumptive and does not rest merely on routine proceedings (para 3.3).</w:t>
      </w:r>
    </w:p>
    <w:p>
      <w:pPr>
        <w:pStyle w:val="BodyText"/>
        <w:spacing w:before="0" w:after="120" w:line="269" w:lineRule="auto"/>
        <w:jc w:val="both"/>
      </w:pPr>
      <w:r>
        <w:t xml:space="preserve">5.2</w:t>
      </w:r>
      <w:r>
        <w:t xml:space="preserve"> </w:t>
      </w:r>
      <w:r>
        <w:rPr>
          <w:bCs/>
          <w:b/>
        </w:rPr>
        <w:t xml:space="preserve">[Option D: provisional refund barred]</w:t>
      </w:r>
      <w:r>
        <w:t xml:space="preserve"> </w:t>
      </w:r>
      <w:r>
        <w:t xml:space="preserve">Provisional refund was not available because [the applicant has not undergone Aadhaar authentication under rule 10B] / [the applicant supplies [goods] covered by Notification No. 14/2025-Central Tax] (section 54(6)) / [the applicant was prosecuted in [case] within the period stated in rule 91(1)].</w:t>
      </w:r>
    </w:p>
    <w:p>
      <w:pPr>
        <w:pStyle w:val="BodyText"/>
        <w:keepNext/>
        <w:spacing w:before="240" w:after="80"/>
        <w:pBdr>
          <w:bottom w:val="single" w:sz="6" w:space="1" w:color="B4C6E7"/>
        </w:pBdr>
      </w:pPr>
      <w:r>
        <w:rPr>
          <w:bCs/>
          <w:b/>
          <w:color w:val="1F3864"/>
          <w:sz w:val="25"/>
        </w:rPr>
        <w:t xml:space="preserve">6. Verification that the supplies are exports of services</w:t>
      </w:r>
    </w:p>
    <w:p>
      <w:pPr>
        <w:pStyle w:val="BodyText"/>
        <w:spacing w:before="0" w:after="120" w:line="269" w:lineRule="auto"/>
        <w:jc w:val="both"/>
      </w:pPr>
      <w:r>
        <w:t xml:space="preserve">6.1 The [agreement(s) dated [ ]], the invoices, the FIRCs / e-BRCs and [the scope-of-work documents] were examined against each condition of section 2(6):</w:t>
      </w:r>
    </w:p>
    <w:p>
      <w:pPr>
        <w:pStyle w:val="BodyText"/>
        <w:spacing w:before="0" w:after="120" w:line="269" w:lineRule="auto"/>
      </w:pPr>
      <w:r>
        <w:rPr>
          <w:iCs/>
          <w:i/>
        </w:rPr>
        <w:t xml:space="preserve">Table A: Conditions of section 2(6) of the IGST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842"/>
        <w:gridCol w:w="4987"/>
        <w:gridCol w:w="1809"/>
      </w:tblGrid>
      <w:tr>
        <w:trPr>
          <w:tblHeader w:val="true"/>
          <w:tblHeader/>
        </w:trPr>
        <w:tc>
          <w:tcPr>
            <w:tcW w:type="dxa" w:w="2842"/>
            <w:shd w:val="clear" w:color="auto" w:fill="DCE6F1"/>
          </w:tcPr>
          <w:p>
            <w:pPr>
              <w:pStyle w:val="Compact"/>
              <w:spacing w:before="0" w:after="0" w:line="240" w:lineRule="auto"/>
              <w:jc w:val="left"/>
            </w:pPr>
            <w:r>
              <w:rPr>
                <w:b/>
                <w:color w:val="1F3864"/>
                <w:sz w:val="21"/>
              </w:rPr>
              <w:t xml:space="preserve">Condition</w:t>
            </w:r>
          </w:p>
        </w:tc>
        <w:tc>
          <w:tcPr>
            <w:tcW w:type="dxa" w:w="4987"/>
            <w:shd w:val="clear" w:color="auto" w:fill="DCE6F1"/>
          </w:tcPr>
          <w:p>
            <w:pPr>
              <w:pStyle w:val="Compact"/>
              <w:spacing w:before="0" w:after="0" w:line="240" w:lineRule="auto"/>
              <w:jc w:val="left"/>
            </w:pPr>
            <w:r>
              <w:rPr>
                <w:b/>
                <w:color w:val="1F3864"/>
                <w:sz w:val="21"/>
              </w:rPr>
              <w:t xml:space="preserve">Evidence examined</w:t>
            </w:r>
          </w:p>
        </w:tc>
        <w:tc>
          <w:tcPr>
            <w:tcW w:type="dxa" w:w="1809"/>
            <w:shd w:val="clear" w:color="auto" w:fill="DCE6F1"/>
          </w:tcPr>
          <w:p>
            <w:pPr>
              <w:pStyle w:val="Compact"/>
              <w:spacing w:before="0" w:after="0" w:line="240" w:lineRule="auto"/>
              <w:jc w:val="left"/>
            </w:pPr>
            <w:r>
              <w:rPr>
                <w:b/>
                <w:color w:val="1F3864"/>
                <w:sz w:val="21"/>
              </w:rPr>
              <w:t xml:space="preserve">Finding</w:t>
            </w:r>
          </w:p>
        </w:tc>
      </w:tr>
      <w:tr>
        <w:tc>
          <w:tcPr>
            <w:tcW w:type="dxa" w:w="2842"/>
          </w:tcPr>
          <w:p>
            <w:pPr>
              <w:pStyle w:val="Compact"/>
              <w:spacing w:before="0" w:after="0" w:line="240" w:lineRule="auto"/>
              <w:jc w:val="left"/>
            </w:pPr>
            <w:r>
              <w:rPr>
                <w:sz w:val="21"/>
              </w:rPr>
              <w:t xml:space="preserve">(i) Supplier located in India</w:t>
            </w:r>
          </w:p>
        </w:tc>
        <w:tc>
          <w:tcPr>
            <w:tcW w:type="dxa" w:w="4987"/>
          </w:tcPr>
          <w:p>
            <w:pPr>
              <w:pStyle w:val="Compact"/>
              <w:spacing w:before="0" w:after="0" w:line="240" w:lineRule="auto"/>
              <w:jc w:val="left"/>
            </w:pPr>
            <w:r>
              <w:rPr>
                <w:sz w:val="21"/>
              </w:rPr>
              <w:t xml:space="preserve">Registration certificate; place of business in [ ]</w:t>
            </w:r>
          </w:p>
        </w:tc>
        <w:tc>
          <w:tcPr>
            <w:tcW w:type="dxa" w:w="1809"/>
          </w:tcPr>
          <w:p>
            <w:pPr>
              <w:pStyle w:val="Compact"/>
              <w:spacing w:before="0" w:after="0" w:line="240" w:lineRule="auto"/>
              <w:jc w:val="left"/>
            </w:pPr>
            <w:r>
              <w:rPr>
                <w:sz w:val="21"/>
              </w:rPr>
              <w:t xml:space="preserve">Satisfied</w:t>
            </w:r>
          </w:p>
        </w:tc>
      </w:tr>
      <w:tr>
        <w:tc>
          <w:tcPr>
            <w:tcW w:type="dxa" w:w="2842"/>
          </w:tcPr>
          <w:p>
            <w:pPr>
              <w:pStyle w:val="Compact"/>
              <w:spacing w:before="0" w:after="0" w:line="240" w:lineRule="auto"/>
              <w:jc w:val="left"/>
            </w:pPr>
            <w:r>
              <w:rPr>
                <w:sz w:val="21"/>
              </w:rPr>
              <w:t xml:space="preserve">(ii) Recipient located outside India</w:t>
            </w:r>
          </w:p>
        </w:tc>
        <w:tc>
          <w:tcPr>
            <w:tcW w:type="dxa" w:w="4987"/>
          </w:tcPr>
          <w:p>
            <w:pPr>
              <w:pStyle w:val="Compact"/>
              <w:spacing w:before="0" w:after="0" w:line="240" w:lineRule="auto"/>
              <w:jc w:val="left"/>
            </w:pPr>
            <w:r>
              <w:rPr>
                <w:sz w:val="21"/>
              </w:rPr>
              <w:t xml:space="preserve">Agreement; recipient’s address in [country]; [ ]</w:t>
            </w:r>
          </w:p>
        </w:tc>
        <w:tc>
          <w:tcPr>
            <w:tcW w:type="dxa" w:w="1809"/>
          </w:tcPr>
          <w:p>
            <w:pPr>
              <w:pStyle w:val="Compact"/>
              <w:spacing w:before="0" w:after="0" w:line="240" w:lineRule="auto"/>
              <w:jc w:val="left"/>
            </w:pPr>
            <w:r>
              <w:rPr>
                <w:sz w:val="21"/>
              </w:rPr>
              <w:t xml:space="preserve">[Satisfied / Not satisfied because …]</w:t>
            </w:r>
          </w:p>
        </w:tc>
      </w:tr>
      <w:tr>
        <w:tc>
          <w:tcPr>
            <w:tcW w:type="dxa" w:w="2842"/>
          </w:tcPr>
          <w:p>
            <w:pPr>
              <w:pStyle w:val="Compact"/>
              <w:spacing w:before="0" w:after="0" w:line="240" w:lineRule="auto"/>
              <w:jc w:val="left"/>
            </w:pPr>
            <w:r>
              <w:rPr>
                <w:sz w:val="21"/>
              </w:rPr>
              <w:t xml:space="preserve">(iii) Place of supply outside India</w:t>
            </w:r>
          </w:p>
        </w:tc>
        <w:tc>
          <w:tcPr>
            <w:tcW w:type="dxa" w:w="4987"/>
          </w:tcPr>
          <w:p>
            <w:pPr>
              <w:pStyle w:val="Compact"/>
              <w:spacing w:before="0" w:after="0" w:line="240" w:lineRule="auto"/>
              <w:jc w:val="left"/>
            </w:pPr>
            <w:r>
              <w:rPr>
                <w:sz w:val="21"/>
              </w:rPr>
              <w:t xml:space="preserve">Nature of service and section 13 analysis in para 6.2</w:t>
            </w:r>
          </w:p>
        </w:tc>
        <w:tc>
          <w:tcPr>
            <w:tcW w:type="dxa" w:w="1809"/>
          </w:tcPr>
          <w:p>
            <w:pPr>
              <w:pStyle w:val="Compact"/>
              <w:spacing w:before="0" w:after="0" w:line="240" w:lineRule="auto"/>
              <w:jc w:val="left"/>
            </w:pPr>
            <w:r>
              <w:rPr>
                <w:sz w:val="21"/>
              </w:rPr>
              <w:t xml:space="preserve">[Satisfied / …]</w:t>
            </w:r>
          </w:p>
        </w:tc>
      </w:tr>
      <w:tr>
        <w:tc>
          <w:tcPr>
            <w:tcW w:type="dxa" w:w="2842"/>
          </w:tcPr>
          <w:p>
            <w:pPr>
              <w:pStyle w:val="Compact"/>
              <w:spacing w:before="0" w:after="0" w:line="240" w:lineRule="auto"/>
              <w:jc w:val="left"/>
            </w:pPr>
            <w:r>
              <w:rPr>
                <w:sz w:val="21"/>
              </w:rPr>
              <w:t xml:space="preserve">(iv) Payment in convertible foreign exchange or permitted INR</w:t>
            </w:r>
          </w:p>
        </w:tc>
        <w:tc>
          <w:tcPr>
            <w:tcW w:type="dxa" w:w="4987"/>
          </w:tcPr>
          <w:p>
            <w:pPr>
              <w:pStyle w:val="Compact"/>
              <w:spacing w:before="0" w:after="0" w:line="240" w:lineRule="auto"/>
              <w:jc w:val="left"/>
            </w:pPr>
            <w:r>
              <w:rPr>
                <w:sz w:val="21"/>
              </w:rPr>
              <w:t xml:space="preserve">FIRCs / e-BRCs Nos. [ ]; [SRVA credit, Circular 202/14/2023]</w:t>
            </w:r>
          </w:p>
        </w:tc>
        <w:tc>
          <w:tcPr>
            <w:tcW w:type="dxa" w:w="1809"/>
          </w:tcPr>
          <w:p>
            <w:pPr>
              <w:pStyle w:val="Compact"/>
              <w:spacing w:before="0" w:after="0" w:line="240" w:lineRule="auto"/>
              <w:jc w:val="left"/>
            </w:pPr>
            <w:r>
              <w:rPr>
                <w:sz w:val="21"/>
              </w:rPr>
              <w:t xml:space="preserve">[Satisfied / Satisfied except remittances at S. Nos. [ ]]</w:t>
            </w:r>
          </w:p>
        </w:tc>
      </w:tr>
      <w:tr>
        <w:tc>
          <w:tcPr>
            <w:tcW w:type="dxa" w:w="2842"/>
          </w:tcPr>
          <w:p>
            <w:pPr>
              <w:pStyle w:val="Compact"/>
              <w:spacing w:before="0" w:after="0" w:line="240" w:lineRule="auto"/>
              <w:jc w:val="left"/>
            </w:pPr>
            <w:r>
              <w:rPr>
                <w:sz w:val="21"/>
              </w:rPr>
              <w:t xml:space="preserve">(v) Not merely establishments of a distinct person</w:t>
            </w:r>
          </w:p>
        </w:tc>
        <w:tc>
          <w:tcPr>
            <w:tcW w:type="dxa" w:w="4987"/>
          </w:tcPr>
          <w:p>
            <w:pPr>
              <w:pStyle w:val="Compact"/>
              <w:spacing w:before="0" w:after="0" w:line="240" w:lineRule="auto"/>
              <w:jc w:val="left"/>
            </w:pPr>
            <w:r>
              <w:rPr>
                <w:sz w:val="21"/>
              </w:rPr>
              <w:t xml:space="preserve">Recipient is [an unrelated entity / a related but separately incorporated entity (a subsidiary or holding company is a separate person: Circular 161/17/2021)]</w:t>
            </w:r>
          </w:p>
        </w:tc>
        <w:tc>
          <w:tcPr>
            <w:tcW w:type="dxa" w:w="1809"/>
          </w:tcPr>
          <w:p>
            <w:pPr>
              <w:pStyle w:val="Compact"/>
              <w:spacing w:before="0" w:after="0" w:line="240" w:lineRule="auto"/>
              <w:jc w:val="left"/>
            </w:pPr>
            <w:r>
              <w:rPr>
                <w:sz w:val="21"/>
              </w:rPr>
              <w:t xml:space="preserve">[Satisfied / …]</w:t>
            </w:r>
          </w:p>
        </w:tc>
      </w:tr>
    </w:tbl>
    <w:p>
      <w:pPr>
        <w:pStyle w:val="BodyText"/>
        <w:spacing w:before="0" w:after="120" w:line="269" w:lineRule="auto"/>
        <w:jc w:val="both"/>
      </w:pPr>
      <w:r>
        <w:t xml:space="preserve">6.2</w:t>
      </w:r>
      <w:r>
        <w:t xml:space="preserve"> </w:t>
      </w:r>
      <w:r>
        <w:rPr>
          <w:bCs/>
          <w:b/>
        </w:rPr>
        <w:t xml:space="preserve">Place of supply.</w:t>
      </w:r>
      <w:r>
        <w:t xml:space="preserve"> </w:t>
      </w:r>
      <w:r>
        <w:t xml:space="preserve">The service consists of [describe in two or three lines what the applicant actually does, for whom, and how it is delivered]. [Option A: It is not a service covered by sub-sections (3) to (13) of section 13. Under section 13(2), the place of supply is the location of the recipient, [country], which is outside India.] [Option B: The applicant’s agreements cover more than one kind of service, namely [ ], [ ] and [ ]. Each is examined separately: …] [Option C, intermediary, for supplies before the omission of section 13(8)(b) (see para 2.2): Applying the tests in Circular 159/15/2021 (a minimum of three parties; two distinct supplies, the main supply and the ancillary arranging supply; the intermediary only arranges or facilitates and does not supply the main supply on its own account; sub-contracting of the main supply is not intermediary), the applicant [supplies the main service on its own account to the recipient and is not an intermediary] / [arranges the supply of [ ] by [third party] to [customers] and is paid a commission, so it is an intermediary, the place of supply is its own location in India under section 13(8)(b), and the supply is not an export].]</w:t>
      </w:r>
    </w:p>
    <w:p>
      <w:pPr>
        <w:pStyle w:val="BodyText"/>
        <w:spacing w:before="0" w:after="120" w:line="269" w:lineRule="auto"/>
        <w:jc w:val="both"/>
      </w:pPr>
      <w:r>
        <w:t xml:space="preserve">6.3</w:t>
      </w:r>
      <w:r>
        <w:t xml:space="preserve"> </w:t>
      </w:r>
      <w:r>
        <w:rPr>
          <w:bCs/>
          <w:b/>
        </w:rPr>
        <w:t xml:space="preserve">Payments received.</w:t>
      </w:r>
      <w:r>
        <w:t xml:space="preserve"> </w:t>
      </w:r>
      <w:r>
        <w:t xml:space="preserve">The turnover of zero-rated supply of services under rule 89(4)(D) for the period is worked out from the FIRCs / e-BRCs, matched to invoices and GSTR-1 Table 6A:</w:t>
      </w:r>
    </w:p>
    <w:p>
      <w:pPr>
        <w:pStyle w:val="BodyText"/>
        <w:spacing w:before="0" w:after="120" w:line="269" w:lineRule="auto"/>
      </w:pPr>
      <w:r>
        <w:rPr>
          <w:iCs/>
          <w:i/>
        </w:rPr>
        <w:t xml:space="preserve">Table 1: Invoices and remittances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97"/>
        <w:gridCol w:w="1196"/>
        <w:gridCol w:w="1196"/>
        <w:gridCol w:w="1462"/>
        <w:gridCol w:w="1296"/>
        <w:gridCol w:w="1196"/>
        <w:gridCol w:w="1097"/>
        <w:gridCol w:w="1196"/>
      </w:tblGrid>
      <w:tr>
        <w:trPr>
          <w:tblHeader w:val="true"/>
          <w:tblHeader/>
        </w:trPr>
        <w:tc>
          <w:tcPr>
            <w:tcW w:type="dxa" w:w="997"/>
            <w:shd w:val="clear" w:color="auto" w:fill="DCE6F1"/>
          </w:tcPr>
          <w:p>
            <w:pPr>
              <w:pStyle w:val="Compact"/>
              <w:spacing w:before="0" w:after="0" w:line="240" w:lineRule="auto"/>
              <w:jc w:val="left"/>
            </w:pPr>
            <w:r>
              <w:rPr>
                <w:b/>
                <w:color w:val="1F3864"/>
                <w:sz w:val="18"/>
              </w:rPr>
              <w:t xml:space="preserve">S. No.</w:t>
            </w:r>
          </w:p>
        </w:tc>
        <w:tc>
          <w:tcPr>
            <w:tcW w:type="dxa" w:w="1196"/>
            <w:shd w:val="clear" w:color="auto" w:fill="DCE6F1"/>
          </w:tcPr>
          <w:p>
            <w:pPr>
              <w:pStyle w:val="Compact"/>
              <w:spacing w:before="0" w:after="0" w:line="240" w:lineRule="auto"/>
              <w:jc w:val="left"/>
            </w:pPr>
            <w:r>
              <w:rPr>
                <w:b/>
                <w:color w:val="1F3864"/>
                <w:sz w:val="18"/>
              </w:rPr>
              <w:t xml:space="preserve">Invoice No. and date</w:t>
            </w:r>
          </w:p>
        </w:tc>
        <w:tc>
          <w:tcPr>
            <w:tcW w:type="dxa" w:w="1196"/>
            <w:shd w:val="clear" w:color="auto" w:fill="DCE6F1"/>
          </w:tcPr>
          <w:p>
            <w:pPr>
              <w:pStyle w:val="Compact"/>
              <w:spacing w:before="0" w:after="0" w:line="240" w:lineRule="auto"/>
              <w:jc w:val="left"/>
            </w:pPr>
            <w:r>
              <w:rPr>
                <w:b/>
                <w:color w:val="1F3864"/>
                <w:sz w:val="18"/>
              </w:rPr>
              <w:t xml:space="preserve">Invoice value (₹)</w:t>
            </w:r>
          </w:p>
        </w:tc>
        <w:tc>
          <w:tcPr>
            <w:tcW w:type="dxa" w:w="1462"/>
            <w:shd w:val="clear" w:color="auto" w:fill="DCE6F1"/>
          </w:tcPr>
          <w:p>
            <w:pPr>
              <w:pStyle w:val="Compact"/>
              <w:spacing w:before="0" w:after="0" w:line="240" w:lineRule="auto"/>
              <w:jc w:val="left"/>
            </w:pPr>
            <w:r>
              <w:rPr>
                <w:b/>
                <w:color w:val="1F3864"/>
                <w:sz w:val="18"/>
              </w:rPr>
              <w:t xml:space="preserve">FIRC / e-BRC No. and date (relevant date)</w:t>
            </w:r>
          </w:p>
        </w:tc>
        <w:tc>
          <w:tcPr>
            <w:tcW w:type="dxa" w:w="1296"/>
            <w:shd w:val="clear" w:color="auto" w:fill="DCE6F1"/>
          </w:tcPr>
          <w:p>
            <w:pPr>
              <w:pStyle w:val="Compact"/>
              <w:spacing w:before="0" w:after="0" w:line="240" w:lineRule="auto"/>
              <w:jc w:val="left"/>
            </w:pPr>
            <w:r>
              <w:rPr>
                <w:b/>
                <w:color w:val="1F3864"/>
                <w:sz w:val="18"/>
              </w:rPr>
              <w:t xml:space="preserve">Amount realised (₹)</w:t>
            </w:r>
          </w:p>
        </w:tc>
        <w:tc>
          <w:tcPr>
            <w:tcW w:type="dxa" w:w="1196"/>
            <w:shd w:val="clear" w:color="auto" w:fill="DCE6F1"/>
          </w:tcPr>
          <w:p>
            <w:pPr>
              <w:pStyle w:val="Compact"/>
              <w:spacing w:before="0" w:after="0" w:line="240" w:lineRule="auto"/>
              <w:jc w:val="left"/>
            </w:pPr>
            <w:r>
              <w:rPr>
                <w:b/>
                <w:color w:val="1F3864"/>
                <w:sz w:val="18"/>
              </w:rPr>
              <w:t xml:space="preserve">Advance or after supply?</w:t>
            </w:r>
          </w:p>
        </w:tc>
        <w:tc>
          <w:tcPr>
            <w:tcW w:type="dxa" w:w="1097"/>
            <w:shd w:val="clear" w:color="auto" w:fill="DCE6F1"/>
          </w:tcPr>
          <w:p>
            <w:pPr>
              <w:pStyle w:val="Compact"/>
              <w:spacing w:before="0" w:after="0" w:line="240" w:lineRule="auto"/>
              <w:jc w:val="left"/>
            </w:pPr>
            <w:r>
              <w:rPr>
                <w:b/>
                <w:color w:val="1F3864"/>
                <w:sz w:val="18"/>
              </w:rPr>
              <w:t xml:space="preserve">Within two years?</w:t>
            </w:r>
          </w:p>
        </w:tc>
        <w:tc>
          <w:tcPr>
            <w:tcW w:type="dxa" w:w="1196"/>
            <w:shd w:val="clear" w:color="auto" w:fill="DCE6F1"/>
          </w:tcPr>
          <w:p>
            <w:pPr>
              <w:pStyle w:val="Compact"/>
              <w:spacing w:before="0" w:after="0" w:line="240" w:lineRule="auto"/>
              <w:jc w:val="left"/>
            </w:pPr>
            <w:r>
              <w:rPr>
                <w:b/>
                <w:color w:val="1F3864"/>
                <w:sz w:val="18"/>
              </w:rPr>
              <w:t xml:space="preserve">Remarks</w:t>
            </w:r>
          </w:p>
        </w:tc>
      </w:tr>
      <w:tr>
        <w:tc>
          <w:tcPr>
            <w:tcW w:type="dxa" w:w="997"/>
          </w:tcPr>
          <w:p>
            <w:pPr>
              <w:pStyle w:val="Compact"/>
              <w:spacing w:before="0" w:after="0" w:line="240" w:lineRule="auto"/>
              <w:jc w:val="left"/>
            </w:pPr>
            <w:r>
              <w:rPr>
                <w:sz w:val="18"/>
              </w:rPr>
              <w:t xml:space="preserve">1</w:t>
            </w:r>
          </w:p>
        </w:tc>
        <w:tc>
          <w:tcPr>
            <w:tcW w:type="dxa" w:w="1196"/>
          </w:tcPr>
          <w:p>
            <w:pPr>
              <w:pStyle w:val="Compact"/>
              <w:spacing w:before="0" w:after="0" w:line="240" w:lineRule="auto"/>
              <w:jc w:val="left"/>
            </w:pPr>
            <w:r>
              <w:rPr>
                <w:sz w:val="18"/>
              </w:rPr>
              <w:t xml:space="preserve">[ ]</w:t>
            </w:r>
          </w:p>
        </w:tc>
        <w:tc>
          <w:tcPr>
            <w:tcW w:type="dxa" w:w="1196"/>
          </w:tcPr>
          <w:p>
            <w:pPr>
              <w:pStyle w:val="Compact"/>
              <w:spacing w:before="0" w:after="0" w:line="240" w:lineRule="auto"/>
              <w:jc w:val="left"/>
            </w:pPr>
            <w:r>
              <w:rPr>
                <w:sz w:val="18"/>
              </w:rPr>
              <w:t xml:space="preserve">[ ]</w:t>
            </w:r>
          </w:p>
        </w:tc>
        <w:tc>
          <w:tcPr>
            <w:tcW w:type="dxa" w:w="1462"/>
          </w:tcPr>
          <w:p>
            <w:pPr>
              <w:pStyle w:val="Compact"/>
              <w:spacing w:before="0" w:after="0" w:line="240" w:lineRule="auto"/>
              <w:jc w:val="left"/>
            </w:pPr>
            <w:r>
              <w:rPr>
                <w:sz w:val="18"/>
              </w:rPr>
              <w:t xml:space="preserve">[ ]</w:t>
            </w:r>
          </w:p>
        </w:tc>
        <w:tc>
          <w:tcPr>
            <w:tcW w:type="dxa" w:w="1296"/>
          </w:tcPr>
          <w:p>
            <w:pPr>
              <w:pStyle w:val="Compact"/>
              <w:spacing w:before="0" w:after="0" w:line="240" w:lineRule="auto"/>
              <w:jc w:val="left"/>
            </w:pPr>
            <w:r>
              <w:rPr>
                <w:sz w:val="18"/>
              </w:rPr>
              <w:t xml:space="preserve">[ ]</w:t>
            </w:r>
          </w:p>
        </w:tc>
        <w:tc>
          <w:tcPr>
            <w:tcW w:type="dxa" w:w="1196"/>
          </w:tcPr>
          <w:p>
            <w:pPr>
              <w:pStyle w:val="Compact"/>
              <w:spacing w:before="0" w:after="0" w:line="240" w:lineRule="auto"/>
              <w:jc w:val="left"/>
            </w:pPr>
            <w:r>
              <w:rPr>
                <w:sz w:val="18"/>
              </w:rPr>
              <w:t xml:space="preserve">[ ]</w:t>
            </w:r>
          </w:p>
        </w:tc>
        <w:tc>
          <w:tcPr>
            <w:tcW w:type="dxa" w:w="1097"/>
          </w:tcPr>
          <w:p>
            <w:pPr>
              <w:pStyle w:val="Compact"/>
              <w:spacing w:before="0" w:after="0" w:line="240" w:lineRule="auto"/>
              <w:jc w:val="left"/>
            </w:pPr>
            <w:r>
              <w:rPr>
                <w:sz w:val="18"/>
              </w:rPr>
              <w:t xml:space="preserve">[Yes / No]</w:t>
            </w:r>
          </w:p>
        </w:tc>
        <w:tc>
          <w:tcPr>
            <w:tcW w:type="dxa" w:w="1196"/>
          </w:tcPr>
          <w:p>
            <w:pPr>
              <w:pStyle w:val="Compact"/>
              <w:spacing w:before="0" w:after="0" w:line="240" w:lineRule="auto"/>
              <w:jc w:val="left"/>
            </w:pPr>
            <w:r>
              <w:rPr>
                <w:sz w:val="18"/>
              </w:rPr>
              <w:t xml:space="preserve">[ ]</w:t>
            </w:r>
          </w:p>
        </w:tc>
      </w:tr>
      <w:tr>
        <w:tc>
          <w:tcPr>
            <w:tcW w:type="dxa" w:w="997"/>
            <w:shd w:val="clear" w:color="auto" w:fill="F2F2F2"/>
          </w:tcPr>
          <w:p>
            <w:pPr>
              <w:pStyle w:val="Compact"/>
              <w:spacing w:before="0" w:after="0" w:line="240" w:lineRule="auto"/>
            </w:pPr>
          </w:p>
        </w:tc>
        <w:tc>
          <w:tcPr>
            <w:tcW w:type="dxa" w:w="1196"/>
            <w:shd w:val="clear" w:color="auto" w:fill="F2F2F2"/>
          </w:tcPr>
          <w:p>
            <w:pPr>
              <w:pStyle w:val="Compact"/>
              <w:spacing w:before="0" w:after="0" w:line="240" w:lineRule="auto"/>
              <w:jc w:val="left"/>
            </w:pPr>
            <w:r>
              <w:rPr>
                <w:bCs/>
                <w:b/>
                <w:sz w:val="18"/>
              </w:rPr>
              <w:t xml:space="preserve">Total</w:t>
            </w:r>
          </w:p>
        </w:tc>
        <w:tc>
          <w:tcPr>
            <w:tcW w:type="dxa" w:w="1196"/>
            <w:shd w:val="clear" w:color="auto" w:fill="F2F2F2"/>
          </w:tcPr>
          <w:p>
            <w:pPr>
              <w:pStyle w:val="Compact"/>
              <w:spacing w:before="0" w:after="0" w:line="240" w:lineRule="auto"/>
              <w:jc w:val="left"/>
            </w:pPr>
            <w:r>
              <w:rPr>
                <w:bCs/>
                <w:b/>
                <w:sz w:val="18"/>
              </w:rPr>
              <w:t xml:space="preserve">[ ]</w:t>
            </w:r>
          </w:p>
        </w:tc>
        <w:tc>
          <w:tcPr>
            <w:tcW w:type="dxa" w:w="1462"/>
            <w:shd w:val="clear" w:color="auto" w:fill="F2F2F2"/>
          </w:tcPr>
          <w:p>
            <w:pPr>
              <w:pStyle w:val="Compact"/>
              <w:spacing w:before="0" w:after="0" w:line="240" w:lineRule="auto"/>
            </w:pPr>
          </w:p>
        </w:tc>
        <w:tc>
          <w:tcPr>
            <w:tcW w:type="dxa" w:w="1296"/>
            <w:shd w:val="clear" w:color="auto" w:fill="F2F2F2"/>
          </w:tcPr>
          <w:p>
            <w:pPr>
              <w:pStyle w:val="Compact"/>
              <w:spacing w:before="0" w:after="0" w:line="240" w:lineRule="auto"/>
              <w:jc w:val="left"/>
            </w:pPr>
            <w:r>
              <w:rPr>
                <w:bCs/>
                <w:b/>
                <w:sz w:val="18"/>
              </w:rPr>
              <w:t xml:space="preserve">[ ]</w:t>
            </w:r>
          </w:p>
        </w:tc>
        <w:tc>
          <w:tcPr>
            <w:tcW w:type="dxa" w:w="1196"/>
            <w:shd w:val="clear" w:color="auto" w:fill="F2F2F2"/>
          </w:tcPr>
          <w:p>
            <w:pPr>
              <w:pStyle w:val="Compact"/>
              <w:spacing w:before="0" w:after="0" w:line="240" w:lineRule="auto"/>
            </w:pPr>
          </w:p>
        </w:tc>
        <w:tc>
          <w:tcPr>
            <w:tcW w:type="dxa" w:w="1097"/>
            <w:shd w:val="clear" w:color="auto" w:fill="F2F2F2"/>
          </w:tcPr>
          <w:p>
            <w:pPr>
              <w:pStyle w:val="Compact"/>
              <w:spacing w:before="0" w:after="0" w:line="240" w:lineRule="auto"/>
            </w:pPr>
          </w:p>
        </w:tc>
        <w:tc>
          <w:tcPr>
            <w:tcW w:type="dxa" w:w="1196"/>
            <w:shd w:val="clear" w:color="auto" w:fill="F2F2F2"/>
          </w:tcPr>
          <w:p>
            <w:pPr>
              <w:pStyle w:val="Compact"/>
              <w:spacing w:before="0" w:after="0" w:line="240" w:lineRule="auto"/>
            </w:pPr>
          </w:p>
        </w:tc>
      </w:tr>
    </w:tbl>
    <w:p>
      <w:pPr>
        <w:spacing w:before="0" w:after="120" w:line="269" w:lineRule="auto"/>
      </w:pP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329"/>
        <w:gridCol w:w="1309"/>
      </w:tblGrid>
      <w:tr>
        <w:trPr>
          <w:tblHeader w:val="true"/>
          <w:tblHeader/>
        </w:trPr>
        <w:tc>
          <w:tcPr>
            <w:tcW w:type="dxa" w:w="8329"/>
            <w:shd w:val="clear" w:color="auto" w:fill="DCE6F1"/>
          </w:tcPr>
          <w:p>
            <w:pPr>
              <w:pStyle w:val="Compact"/>
              <w:spacing w:before="0" w:after="0" w:line="240" w:lineRule="auto"/>
              <w:jc w:val="left"/>
            </w:pPr>
            <w:r>
              <w:rPr>
                <w:b/>
                <w:color w:val="1F3864"/>
                <w:sz w:val="21"/>
              </w:rPr>
              <w:t xml:space="preserve">Component of rule 89(4)(D)</w:t>
            </w:r>
          </w:p>
        </w:tc>
        <w:tc>
          <w:tcPr>
            <w:tcW w:type="dxa" w:w="1309"/>
            <w:shd w:val="clear" w:color="auto" w:fill="DCE6F1"/>
          </w:tcPr>
          <w:p>
            <w:pPr>
              <w:pStyle w:val="Compact"/>
              <w:spacing w:before="0" w:after="0" w:line="240" w:lineRule="auto"/>
              <w:jc w:val="left"/>
            </w:pPr>
            <w:r>
              <w:rPr>
                <w:b/>
                <w:color w:val="1F3864"/>
                <w:sz w:val="21"/>
              </w:rPr>
              <w:t xml:space="preserve">Amount (₹)</w:t>
            </w:r>
          </w:p>
        </w:tc>
      </w:tr>
      <w:tr>
        <w:tc>
          <w:tcPr>
            <w:tcW w:type="dxa" w:w="8329"/>
          </w:tcPr>
          <w:p>
            <w:pPr>
              <w:pStyle w:val="Compact"/>
              <w:spacing w:before="0" w:after="0" w:line="240" w:lineRule="auto"/>
              <w:jc w:val="left"/>
            </w:pPr>
            <w:r>
              <w:rPr>
                <w:sz w:val="21"/>
              </w:rPr>
              <w:t xml:space="preserve">(a) All payments received during the period for zero-rated supply of services (including advances)</w:t>
            </w:r>
          </w:p>
        </w:tc>
        <w:tc>
          <w:tcPr>
            <w:tcW w:type="dxa" w:w="1309"/>
          </w:tcPr>
          <w:p>
            <w:pPr>
              <w:pStyle w:val="Compact"/>
              <w:spacing w:before="0" w:after="0" w:line="240" w:lineRule="auto"/>
              <w:jc w:val="left"/>
            </w:pPr>
            <w:r>
              <w:rPr>
                <w:sz w:val="21"/>
              </w:rPr>
              <w:t xml:space="preserve">[ ]</w:t>
            </w:r>
          </w:p>
        </w:tc>
      </w:tr>
      <w:tr>
        <w:tc>
          <w:tcPr>
            <w:tcW w:type="dxa" w:w="8329"/>
          </w:tcPr>
          <w:p>
            <w:pPr>
              <w:pStyle w:val="Compact"/>
              <w:spacing w:before="0" w:after="0" w:line="240" w:lineRule="auto"/>
              <w:jc w:val="left"/>
            </w:pPr>
            <w:r>
              <w:rPr>
                <w:sz w:val="21"/>
              </w:rPr>
              <w:t xml:space="preserve">(b) Services completed during the period for which advance was received in an earlier period</w:t>
            </w:r>
          </w:p>
        </w:tc>
        <w:tc>
          <w:tcPr>
            <w:tcW w:type="dxa" w:w="1309"/>
          </w:tcPr>
          <w:p>
            <w:pPr>
              <w:pStyle w:val="Compact"/>
              <w:spacing w:before="0" w:after="0" w:line="240" w:lineRule="auto"/>
              <w:jc w:val="left"/>
            </w:pPr>
            <w:r>
              <w:rPr>
                <w:sz w:val="21"/>
              </w:rPr>
              <w:t xml:space="preserve">[ ]</w:t>
            </w:r>
          </w:p>
        </w:tc>
      </w:tr>
      <w:tr>
        <w:tc>
          <w:tcPr>
            <w:tcW w:type="dxa" w:w="8329"/>
          </w:tcPr>
          <w:p>
            <w:pPr>
              <w:pStyle w:val="Compact"/>
              <w:spacing w:before="0" w:after="0" w:line="240" w:lineRule="auto"/>
              <w:jc w:val="left"/>
            </w:pPr>
            <w:r>
              <w:rPr>
                <w:sz w:val="21"/>
              </w:rPr>
              <w:t xml:space="preserve">(c) Less: advances received during the period for services not completed during the period</w:t>
            </w:r>
          </w:p>
        </w:tc>
        <w:tc>
          <w:tcPr>
            <w:tcW w:type="dxa" w:w="1309"/>
          </w:tcPr>
          <w:p>
            <w:pPr>
              <w:pStyle w:val="Compact"/>
              <w:spacing w:before="0" w:after="0" w:line="240" w:lineRule="auto"/>
              <w:jc w:val="left"/>
            </w:pPr>
            <w:r>
              <w:rPr>
                <w:sz w:val="21"/>
              </w:rPr>
              <w:t xml:space="preserve">[ ]</w:t>
            </w:r>
          </w:p>
        </w:tc>
      </w:tr>
      <w:tr>
        <w:tc>
          <w:tcPr>
            <w:tcW w:type="dxa" w:w="8329"/>
          </w:tcPr>
          <w:p>
            <w:pPr>
              <w:pStyle w:val="Compact"/>
              <w:spacing w:before="0" w:after="0" w:line="240" w:lineRule="auto"/>
              <w:jc w:val="left"/>
            </w:pPr>
            <w:r>
              <w:rPr>
                <w:sz w:val="21"/>
              </w:rPr>
              <w:t xml:space="preserve">Turnover of zero-rated supply of services = (a) + (b) − (c)</w:t>
            </w:r>
          </w:p>
        </w:tc>
        <w:tc>
          <w:tcPr>
            <w:tcW w:type="dxa" w:w="1309"/>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6.4 [Option: A remittance was received after the period in rule 96A(1)(b); as payment has been received, the supply remains a zero-rated export (para 4.5 of Circular No. 197/09/2023-GST).] [Option: The amount realised is less than the invoice by ₹[ ] withheld as tax by the recipient’s country; [that amount is treated as received / not received] because [ ]. [Drafting note: record the basis relied on, such as the contract price and the tax-deduction certificate of the recipient’s country. If treated as not received, the amount is out of both the numerator and the zero-rated value in the Adjusted Total Turnover.]] [Option: FIRCs filed with the reply in RFD-09 (Nos. [ ]) were also examined, as the reply is the occasion to produce them.] [Option: Remittances at S. Nos. [ ] could not be linked to any invoice because [ ]; they are excluded.]</w:t>
      </w:r>
    </w:p>
    <w:p>
      <w:pPr>
        <w:pStyle w:val="BodyText"/>
        <w:spacing w:before="0" w:after="120" w:line="269" w:lineRule="auto"/>
      </w:pPr>
      <w:r>
        <w:t xml:space="preserve">6.5</w:t>
      </w:r>
      <w:r>
        <w:t xml:space="preserve"> </w:t>
      </w:r>
      <w:r>
        <w:rPr>
          <w:bCs/>
          <w:b/>
        </w:rPr>
        <w:t xml:space="preserve">LUT.</w:t>
      </w:r>
      <w:r>
        <w:t xml:space="preserve"> </w:t>
      </w:r>
      <w:r>
        <w:t xml:space="preserve">The LUT ARN [ ] dated [DD.MM.YYYY] covers the period of all invoices (rule 96A).</w:t>
      </w:r>
    </w:p>
    <w:p>
      <w:pPr>
        <w:pStyle w:val="BodyText"/>
        <w:spacing w:before="0" w:after="120" w:line="269" w:lineRule="auto"/>
        <w:jc w:val="both"/>
      </w:pPr>
      <w:r>
        <w:t xml:space="preserve">6.6</w:t>
      </w:r>
      <w:r>
        <w:t xml:space="preserve"> </w:t>
      </w:r>
      <w:r>
        <w:rPr>
          <w:bCs/>
          <w:b/>
        </w:rPr>
        <w:t xml:space="preserve">Credit.</w:t>
      </w:r>
      <w:r>
        <w:t xml:space="preserve"> </w:t>
      </w:r>
      <w:r>
        <w:t xml:space="preserve">Net ITC of ₹[ ] consists of credit on inputs and input services availed during the period, reflected in GSTR-2B of the period or an earlier period (para 1.3 of Circular No. 197/09/2023-GST). Credit on capital goods (₹[ ]) is excluded by the definition of Net ITC. No credit blocked by section 17(5) or barred by section 16(4) has been included. Credit on imports of goods (bills of entry), on Input Service Distributor documents and on inward supplies taxed under reverse charge was checked against [the bills of entry / ISD invoices / GSTR-3B Table 4A(3) and the cash payment of that tax]; it is not excluded merely because it does not appear as a supplier invoice in GSTR-2B (para 4 of Circular No. 139/09/2020-GST). [Option: Credit of ₹[ ] on [description] was excluded as [ground], as decided in para 8.]</w:t>
      </w:r>
    </w:p>
    <w:p>
      <w:pPr>
        <w:pStyle w:val="BodyText"/>
        <w:spacing w:before="0" w:after="120" w:line="269" w:lineRule="auto"/>
        <w:jc w:val="both"/>
      </w:pPr>
      <w:r>
        <w:t xml:space="preserve">6.7</w:t>
      </w:r>
      <w:r>
        <w:t xml:space="preserve"> </w:t>
      </w:r>
      <w:r>
        <w:rPr>
          <w:bCs/>
          <w:b/>
        </w:rPr>
        <w:t xml:space="preserve">Risk checks.</w:t>
      </w:r>
      <w:r>
        <w:t xml:space="preserve"> </w:t>
      </w:r>
      <w:r>
        <w:t xml:space="preserve">[Record the checks made, for example a claim disproportionate to the applicant’s size or staff; a recently registered GSTIN; recipients with no identifiable business; a mismatch between the FIRC purpose code and the service; any alert in the risk or intelligence reports. Record each result. Delete this para if no risk check was needed.]</w:t>
      </w:r>
    </w:p>
    <w:p>
      <w:pPr>
        <w:pStyle w:val="BlockText"/>
        <w:shd w:val="clear" w:color="auto" w:fill="E7E6E6"/>
      </w:pPr>
      <w:r>
        <w:rPr>
          <w:bCs/>
          <w:b/>
          <w:sz w:val="21"/>
        </w:rPr>
        <w:t xml:space="preserve">Drafting note:</w:t>
      </w:r>
      <w:r>
        <w:rPr>
          <w:sz w:val="21"/>
        </w:rPr>
        <w:t xml:space="preserve"> </w:t>
      </w:r>
      <w:r>
        <w:rPr>
          <w:sz w:val="21"/>
        </w:rPr>
        <w:t xml:space="preserve">if the order holds that any supply is not an export (for example, intermediary before the omission of section 13(8)(b), or the recipient is merely an establishment of a distinct person), say what follows: the supply is a taxable supply in India on which tax was payable, so refer it for proceedings under section 73 / 74 / 74A; the input tax credit itself has not been found ineligible, so the rejected amount is re-credited by PMT-03 in para 11.4.</w:t>
      </w:r>
    </w:p>
    <w:p>
      <w:pPr>
        <w:pStyle w:val="FirstParagraph"/>
        <w:keepNext/>
        <w:spacing w:before="240" w:after="80"/>
        <w:pBdr>
          <w:bottom w:val="single" w:sz="6" w:space="1" w:color="B4C6E7"/>
        </w:pBdr>
      </w:pPr>
      <w:r>
        <w:rPr>
          <w:bCs/>
          <w:b/>
          <w:color w:val="1F3864"/>
          <w:sz w:val="25"/>
        </w:rPr>
        <w:t xml:space="preserve">7. Computation of the admissible refund</w:t>
      </w:r>
    </w:p>
    <w:p>
      <w:pPr>
        <w:pStyle w:val="BodyText"/>
        <w:spacing w:before="0" w:after="120" w:line="269" w:lineRule="auto"/>
      </w:pPr>
      <w:r>
        <w:t xml:space="preserve">7.1 Sources of the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760"/>
        <w:gridCol w:w="4596"/>
        <w:gridCol w:w="722"/>
        <w:gridCol w:w="788"/>
        <w:gridCol w:w="788"/>
        <w:gridCol w:w="985"/>
      </w:tblGrid>
      <w:tr>
        <w:trPr>
          <w:tblHeader w:val="true"/>
          <w:tblHeader/>
        </w:trPr>
        <w:tc>
          <w:tcPr>
            <w:tcW w:type="dxa" w:w="1760"/>
            <w:shd w:val="clear" w:color="auto" w:fill="DCE6F1"/>
          </w:tcPr>
          <w:p>
            <w:pPr>
              <w:pStyle w:val="Compact"/>
              <w:spacing w:before="0" w:after="0" w:line="240" w:lineRule="auto"/>
              <w:jc w:val="left"/>
            </w:pPr>
            <w:r>
              <w:rPr>
                <w:b/>
                <w:color w:val="1F3864"/>
                <w:sz w:val="21"/>
              </w:rPr>
              <w:t xml:space="preserve">Component</w:t>
            </w:r>
          </w:p>
        </w:tc>
        <w:tc>
          <w:tcPr>
            <w:tcW w:type="dxa" w:w="4596"/>
            <w:shd w:val="clear" w:color="auto" w:fill="DCE6F1"/>
          </w:tcPr>
          <w:p>
            <w:pPr>
              <w:pStyle w:val="Compact"/>
              <w:spacing w:before="0" w:after="0" w:line="240" w:lineRule="auto"/>
              <w:jc w:val="left"/>
            </w:pPr>
            <w:r>
              <w:rPr>
                <w:b/>
                <w:color w:val="1F3864"/>
                <w:sz w:val="21"/>
              </w:rPr>
              <w:t xml:space="preserve">Source used</w:t>
            </w:r>
          </w:p>
        </w:tc>
        <w:tc>
          <w:tcPr>
            <w:tcW w:type="dxa" w:w="722"/>
            <w:shd w:val="clear" w:color="auto" w:fill="DCE6F1"/>
          </w:tcPr>
          <w:p>
            <w:pPr>
              <w:pStyle w:val="Compact"/>
              <w:spacing w:before="0" w:after="0" w:line="240" w:lineRule="auto"/>
              <w:jc w:val="left"/>
            </w:pPr>
            <w:r>
              <w:rPr>
                <w:b/>
                <w:color w:val="1F3864"/>
                <w:sz w:val="21"/>
              </w:rPr>
              <w:t xml:space="preserve">As per RFD-01 (₹)</w:t>
            </w:r>
          </w:p>
        </w:tc>
        <w:tc>
          <w:tcPr>
            <w:tcW w:type="dxa" w:w="788"/>
            <w:shd w:val="clear" w:color="auto" w:fill="DCE6F1"/>
          </w:tcPr>
          <w:p>
            <w:pPr>
              <w:pStyle w:val="Compact"/>
              <w:spacing w:before="0" w:after="0" w:line="240" w:lineRule="auto"/>
              <w:jc w:val="left"/>
            </w:pPr>
            <w:r>
              <w:rPr>
                <w:b/>
                <w:color w:val="1F3864"/>
                <w:sz w:val="21"/>
              </w:rPr>
              <w:t xml:space="preserve">As per returns / FIRCs (₹)</w:t>
            </w:r>
          </w:p>
        </w:tc>
        <w:tc>
          <w:tcPr>
            <w:tcW w:type="dxa" w:w="788"/>
            <w:shd w:val="clear" w:color="auto" w:fill="DCE6F1"/>
          </w:tcPr>
          <w:p>
            <w:pPr>
              <w:pStyle w:val="Compact"/>
              <w:spacing w:before="0" w:after="0" w:line="240" w:lineRule="auto"/>
              <w:jc w:val="left"/>
            </w:pPr>
            <w:r>
              <w:rPr>
                <w:b/>
                <w:color w:val="1F3864"/>
                <w:sz w:val="21"/>
              </w:rPr>
              <w:t xml:space="preserve">Adopted (₹)</w:t>
            </w:r>
          </w:p>
        </w:tc>
        <w:tc>
          <w:tcPr>
            <w:tcW w:type="dxa" w:w="985"/>
            <w:shd w:val="clear" w:color="auto" w:fill="DCE6F1"/>
          </w:tcPr>
          <w:p>
            <w:pPr>
              <w:pStyle w:val="Compact"/>
              <w:spacing w:before="0" w:after="0" w:line="240" w:lineRule="auto"/>
              <w:jc w:val="left"/>
            </w:pPr>
            <w:r>
              <w:rPr>
                <w:b/>
                <w:color w:val="1F3864"/>
                <w:sz w:val="21"/>
              </w:rPr>
              <w:t xml:space="preserve">Reason for any difference</w:t>
            </w:r>
          </w:p>
        </w:tc>
      </w:tr>
      <w:tr>
        <w:tc>
          <w:tcPr>
            <w:tcW w:type="dxa" w:w="1760"/>
          </w:tcPr>
          <w:p>
            <w:pPr>
              <w:pStyle w:val="Compact"/>
              <w:spacing w:before="0" w:after="0" w:line="240" w:lineRule="auto"/>
              <w:jc w:val="left"/>
            </w:pPr>
            <w:r>
              <w:rPr>
                <w:sz w:val="21"/>
              </w:rPr>
              <w:t xml:space="preserve">Turnover of zero-rated supply of services (A)</w:t>
            </w:r>
          </w:p>
        </w:tc>
        <w:tc>
          <w:tcPr>
            <w:tcW w:type="dxa" w:w="4596"/>
          </w:tcPr>
          <w:p>
            <w:pPr>
              <w:pStyle w:val="Compact"/>
              <w:spacing w:before="0" w:after="0" w:line="240" w:lineRule="auto"/>
              <w:jc w:val="left"/>
            </w:pPr>
            <w:r>
              <w:rPr>
                <w:sz w:val="21"/>
              </w:rPr>
              <w:t xml:space="preserve">Para 6.3, rule 89(4)(D), within limitation</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Turnover of zero-rated supply of goods (B)</w:t>
            </w:r>
          </w:p>
        </w:tc>
        <w:tc>
          <w:tcPr>
            <w:tcW w:type="dxa" w:w="4596"/>
          </w:tcPr>
          <w:p>
            <w:pPr>
              <w:pStyle w:val="Compact"/>
              <w:spacing w:before="0" w:after="0" w:line="240" w:lineRule="auto"/>
              <w:jc w:val="left"/>
            </w:pPr>
            <w:r>
              <w:rPr>
                <w:sz w:val="21"/>
              </w:rPr>
              <w:t xml:space="preserve">[Nil]</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Adjusted Total Turnover (C)</w:t>
            </w:r>
          </w:p>
        </w:tc>
        <w:tc>
          <w:tcPr>
            <w:tcW w:type="dxa" w:w="4596"/>
          </w:tcPr>
          <w:p>
            <w:pPr>
              <w:pStyle w:val="Compact"/>
              <w:spacing w:before="0" w:after="0" w:line="240" w:lineRule="auto"/>
              <w:jc w:val="left"/>
            </w:pPr>
            <w:r>
              <w:rPr>
                <w:sz w:val="21"/>
              </w:rPr>
              <w:t xml:space="preserve">GSTR-3B Table 3.1(a) and (b) only (rows (c) nil-rated / exempt, (d) inward reverse charge and (e) non-GST excluded: sections 2(112) and 2(47), rule 89(4)(E)): turnover of goods + zero-rated services at the full rule 89(4)(D) value of the period (including remittances excluded from (A) for limitation, para 3.1) + non-zero-rated services</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Net ITC (D)</w:t>
            </w:r>
          </w:p>
        </w:tc>
        <w:tc>
          <w:tcPr>
            <w:tcW w:type="dxa" w:w="4596"/>
          </w:tcPr>
          <w:p>
            <w:pPr>
              <w:pStyle w:val="Compact"/>
              <w:spacing w:before="0" w:after="0" w:line="240" w:lineRule="auto"/>
              <w:jc w:val="left"/>
            </w:pPr>
            <w:r>
              <w:rPr>
                <w:sz w:val="21"/>
              </w:rPr>
              <w:t xml:space="preserve">GSTR-3B Table 4A(1) to 4A(5) less capital goods and ineligible credit</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the zero-rated services value inside the Adjusted Total Turnover must be the</w:t>
      </w:r>
      <w:r>
        <w:rPr>
          <w:sz w:val="21"/>
        </w:rPr>
        <w:t xml:space="preserve"> </w:t>
      </w:r>
      <w:r>
        <w:rPr>
          <w:bCs/>
          <w:b/>
          <w:sz w:val="21"/>
        </w:rPr>
        <w:t xml:space="preserve">same</w:t>
      </w:r>
      <w:r>
        <w:rPr>
          <w:sz w:val="21"/>
        </w:rPr>
        <w:t xml:space="preserve"> </w:t>
      </w:r>
      <w:r>
        <w:rPr>
          <w:sz w:val="21"/>
        </w:rPr>
        <w:t xml:space="preserve">rule 89(4)(D) value used in the numerator, not the invoice value in GSTR-3B (rule 89(4)(E)(b)). Do not take the lowest turnover and the highest Adjusted Total Turnover as a rule.</w:t>
      </w:r>
    </w:p>
    <w:p>
      <w:pPr>
        <w:pStyle w:val="FirstParagraph"/>
        <w:spacing w:before="0" w:after="120" w:line="269" w:lineRule="auto"/>
      </w:pPr>
      <w:r>
        <w:t xml:space="preserve">7.2 Computation: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06"/>
        <w:gridCol w:w="6943"/>
        <w:gridCol w:w="1289"/>
      </w:tblGrid>
      <w:tr>
        <w:trPr>
          <w:tblHeader w:val="true"/>
          <w:tblHeader/>
        </w:trPr>
        <w:tc>
          <w:tcPr>
            <w:tcW w:type="dxa" w:w="1406"/>
            <w:shd w:val="clear" w:color="auto" w:fill="DCE6F1"/>
          </w:tcPr>
          <w:p>
            <w:pPr>
              <w:pStyle w:val="Compact"/>
              <w:spacing w:before="0" w:after="0" w:line="240" w:lineRule="auto"/>
              <w:jc w:val="left"/>
            </w:pPr>
            <w:r>
              <w:rPr>
                <w:b/>
                <w:color w:val="1F3864"/>
                <w:sz w:val="21"/>
              </w:rPr>
              <w:t xml:space="preserve">Step</w:t>
            </w:r>
          </w:p>
        </w:tc>
        <w:tc>
          <w:tcPr>
            <w:tcW w:type="dxa" w:w="6943"/>
            <w:shd w:val="clear" w:color="auto" w:fill="DCE6F1"/>
          </w:tcPr>
          <w:p>
            <w:pPr>
              <w:pStyle w:val="Compact"/>
              <w:spacing w:before="0" w:after="0" w:line="240" w:lineRule="auto"/>
              <w:jc w:val="left"/>
            </w:pPr>
            <w:r>
              <w:rPr>
                <w:b/>
                <w:color w:val="1F3864"/>
                <w:sz w:val="21"/>
              </w:rPr>
              <w:t xml:space="preserve">Working</w:t>
            </w:r>
          </w:p>
        </w:tc>
        <w:tc>
          <w:tcPr>
            <w:tcW w:type="dxa" w:w="1289"/>
            <w:shd w:val="clear" w:color="auto" w:fill="DCE6F1"/>
          </w:tcPr>
          <w:p>
            <w:pPr>
              <w:pStyle w:val="Compact"/>
              <w:spacing w:before="0" w:after="0" w:line="240" w:lineRule="auto"/>
              <w:jc w:val="left"/>
            </w:pPr>
            <w:r>
              <w:rPr>
                <w:b/>
                <w:color w:val="1F3864"/>
                <w:sz w:val="21"/>
              </w:rPr>
              <w:t xml:space="preserve">Amount (₹)</w:t>
            </w:r>
          </w:p>
        </w:tc>
      </w:tr>
      <w:tr>
        <w:tc>
          <w:tcPr>
            <w:tcW w:type="dxa" w:w="1406"/>
          </w:tcPr>
          <w:p>
            <w:pPr>
              <w:pStyle w:val="Compact"/>
              <w:spacing w:before="0" w:after="0" w:line="240" w:lineRule="auto"/>
              <w:jc w:val="left"/>
            </w:pPr>
            <w:r>
              <w:rPr>
                <w:sz w:val="21"/>
              </w:rPr>
              <w:t xml:space="preserve">(i)</w:t>
            </w:r>
          </w:p>
        </w:tc>
        <w:tc>
          <w:tcPr>
            <w:tcW w:type="dxa" w:w="6943"/>
          </w:tcPr>
          <w:p>
            <w:pPr>
              <w:pStyle w:val="Compact"/>
              <w:spacing w:before="0" w:after="0" w:line="240" w:lineRule="auto"/>
              <w:jc w:val="left"/>
            </w:pPr>
            <w:r>
              <w:rPr>
                <w:sz w:val="21"/>
              </w:rPr>
              <w:t xml:space="preserve">(A + B) × D ÷ C = ([ ] + [ ]) × [ ] ÷ [ ]</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(ii)</w:t>
            </w:r>
          </w:p>
        </w:tc>
        <w:tc>
          <w:tcPr>
            <w:tcW w:type="dxa" w:w="6943"/>
          </w:tcPr>
          <w:p>
            <w:pPr>
              <w:pStyle w:val="Compact"/>
              <w:spacing w:before="0" w:after="0" w:line="240" w:lineRule="auto"/>
              <w:jc w:val="left"/>
            </w:pPr>
            <w:r>
              <w:rPr>
                <w:sz w:val="21"/>
              </w:rPr>
              <w:t xml:space="preserve">Balance in the electronic credit ledger at the end of the period</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(iii)</w:t>
            </w:r>
          </w:p>
        </w:tc>
        <w:tc>
          <w:tcPr>
            <w:tcW w:type="dxa" w:w="6943"/>
          </w:tcPr>
          <w:p>
            <w:pPr>
              <w:pStyle w:val="Compact"/>
              <w:spacing w:before="0" w:after="0" w:line="240" w:lineRule="auto"/>
              <w:jc w:val="left"/>
            </w:pPr>
            <w:r>
              <w:rPr>
                <w:sz w:val="21"/>
              </w:rPr>
              <w:t xml:space="preserve">Balance in the electronic credit ledger at the time of filing</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(iv)</w:t>
            </w:r>
          </w:p>
        </w:tc>
        <w:tc>
          <w:tcPr>
            <w:tcW w:type="dxa" w:w="6943"/>
          </w:tcPr>
          <w:p>
            <w:pPr>
              <w:pStyle w:val="Compact"/>
              <w:spacing w:before="0" w:after="0" w:line="240" w:lineRule="auto"/>
              <w:jc w:val="left"/>
            </w:pPr>
            <w:r>
              <w:rPr>
                <w:sz w:val="21"/>
              </w:rPr>
              <w:t xml:space="preserve">Admissible refund: least of (i), (ii) and (iii), rounded to the nearest rupee (section 170)</w:t>
            </w:r>
          </w:p>
        </w:tc>
        <w:tc>
          <w:tcPr>
            <w:tcW w:type="dxa" w:w="1289"/>
          </w:tcPr>
          <w:p>
            <w:pPr>
              <w:pStyle w:val="Compact"/>
              <w:spacing w:before="0" w:after="0" w:line="240" w:lineRule="auto"/>
              <w:jc w:val="left"/>
            </w:pPr>
            <w:r>
              <w:rPr>
                <w:bCs/>
                <w:b/>
                <w:sz w:val="21"/>
              </w:rPr>
              <w:t xml:space="preserve">[ ]</w:t>
            </w:r>
          </w:p>
        </w:tc>
      </w:tr>
      <w:tr>
        <w:tc>
          <w:tcPr>
            <w:tcW w:type="dxa" w:w="1406"/>
          </w:tcPr>
          <w:p>
            <w:pPr>
              <w:pStyle w:val="Compact"/>
              <w:spacing w:before="0" w:after="0" w:line="240" w:lineRule="auto"/>
              <w:jc w:val="left"/>
            </w:pPr>
            <w:r>
              <w:rPr>
                <w:sz w:val="21"/>
              </w:rPr>
              <w:t xml:space="preserve">(v)</w:t>
            </w:r>
          </w:p>
        </w:tc>
        <w:tc>
          <w:tcPr>
            <w:tcW w:type="dxa" w:w="6943"/>
          </w:tcPr>
          <w:p>
            <w:pPr>
              <w:pStyle w:val="Compact"/>
              <w:spacing w:before="0" w:after="0" w:line="240" w:lineRule="auto"/>
              <w:jc w:val="left"/>
            </w:pPr>
            <w:r>
              <w:rPr>
                <w:sz w:val="21"/>
              </w:rPr>
              <w:t xml:space="preserve">Amount claimed</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(vi)</w:t>
            </w:r>
          </w:p>
        </w:tc>
        <w:tc>
          <w:tcPr>
            <w:tcW w:type="dxa" w:w="6943"/>
          </w:tcPr>
          <w:p>
            <w:pPr>
              <w:pStyle w:val="Compact"/>
              <w:spacing w:before="0" w:after="0" w:line="240" w:lineRule="auto"/>
              <w:jc w:val="left"/>
            </w:pPr>
            <w:r>
              <w:rPr>
                <w:sz w:val="21"/>
              </w:rPr>
              <w:t xml:space="preserve">Inadmissible: (v) − (iv)</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(cess)</w:t>
            </w:r>
          </w:p>
        </w:tc>
        <w:tc>
          <w:tcPr>
            <w:tcW w:type="dxa" w:w="6943"/>
          </w:tcPr>
          <w:p>
            <w:pPr>
              <w:pStyle w:val="Compact"/>
              <w:spacing w:before="0" w:after="0" w:line="240" w:lineRule="auto"/>
              <w:jc w:val="left"/>
            </w:pPr>
            <w:r>
              <w:rPr>
                <w:sz w:val="21"/>
              </w:rPr>
              <w:t xml:space="preserve">[If compensation cess is claimed] the same formula applied to cess credit alone, debited entirely from the cess balance (para 39 of Circular No. 125/44/2019-GST): [working]</w:t>
            </w:r>
          </w:p>
        </w:tc>
        <w:tc>
          <w:tcPr>
            <w:tcW w:type="dxa" w:w="1289"/>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7.3 Head-wise split (cess separately, as in para 7.2), in the order of debit (integrated tax first, then central and State tax equally: para 37 of Circular 125):</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36"/>
        <w:gridCol w:w="1483"/>
        <w:gridCol w:w="1483"/>
        <w:gridCol w:w="1483"/>
        <w:gridCol w:w="1853"/>
        <w:gridCol w:w="2101"/>
      </w:tblGrid>
      <w:tr>
        <w:trPr>
          <w:tblHeader w:val="true"/>
          <w:tblHeader/>
        </w:trPr>
        <w:tc>
          <w:tcPr>
            <w:tcW w:type="dxa" w:w="1236"/>
            <w:shd w:val="clear" w:color="auto" w:fill="DCE6F1"/>
          </w:tcPr>
          <w:p>
            <w:pPr>
              <w:pStyle w:val="Compact"/>
              <w:spacing w:before="0" w:after="0" w:line="240" w:lineRule="auto"/>
              <w:jc w:val="left"/>
            </w:pPr>
            <w:r>
              <w:rPr>
                <w:b/>
                <w:color w:val="1F3864"/>
                <w:sz w:val="21"/>
              </w:rPr>
              <w:t xml:space="preserve">Head</w:t>
            </w:r>
          </w:p>
        </w:tc>
        <w:tc>
          <w:tcPr>
            <w:tcW w:type="dxa" w:w="1483"/>
            <w:shd w:val="clear" w:color="auto" w:fill="DCE6F1"/>
          </w:tcPr>
          <w:p>
            <w:pPr>
              <w:pStyle w:val="Compact"/>
              <w:spacing w:before="0" w:after="0" w:line="240" w:lineRule="auto"/>
              <w:jc w:val="left"/>
            </w:pPr>
            <w:r>
              <w:rPr>
                <w:b/>
                <w:color w:val="1F3864"/>
                <w:sz w:val="21"/>
              </w:rPr>
              <w:t xml:space="preserve">Debited in RFD-01 (₹)</w:t>
            </w:r>
          </w:p>
        </w:tc>
        <w:tc>
          <w:tcPr>
            <w:tcW w:type="dxa" w:w="1483"/>
            <w:shd w:val="clear" w:color="auto" w:fill="DCE6F1"/>
          </w:tcPr>
          <w:p>
            <w:pPr>
              <w:pStyle w:val="Compact"/>
              <w:spacing w:before="0" w:after="0" w:line="240" w:lineRule="auto"/>
              <w:jc w:val="left"/>
            </w:pPr>
            <w:r>
              <w:rPr>
                <w:b/>
                <w:color w:val="1F3864"/>
                <w:sz w:val="21"/>
              </w:rPr>
              <w:t xml:space="preserve">Ledger balance at end of period (₹)</w:t>
            </w:r>
          </w:p>
        </w:tc>
        <w:tc>
          <w:tcPr>
            <w:tcW w:type="dxa" w:w="1483"/>
            <w:shd w:val="clear" w:color="auto" w:fill="DCE6F1"/>
          </w:tcPr>
          <w:p>
            <w:pPr>
              <w:pStyle w:val="Compact"/>
              <w:spacing w:before="0" w:after="0" w:line="240" w:lineRule="auto"/>
              <w:jc w:val="left"/>
            </w:pPr>
            <w:r>
              <w:rPr>
                <w:b/>
                <w:color w:val="1F3864"/>
                <w:sz w:val="21"/>
              </w:rPr>
              <w:t xml:space="preserve">Ledger balance at filing (₹)</w:t>
            </w:r>
          </w:p>
        </w:tc>
        <w:tc>
          <w:tcPr>
            <w:tcW w:type="dxa" w:w="1853"/>
            <w:shd w:val="clear" w:color="auto" w:fill="DCE6F1"/>
          </w:tcPr>
          <w:p>
            <w:pPr>
              <w:pStyle w:val="Compact"/>
              <w:spacing w:before="0" w:after="0" w:line="240" w:lineRule="auto"/>
              <w:jc w:val="left"/>
            </w:pPr>
            <w:r>
              <w:rPr>
                <w:b/>
                <w:color w:val="1F3864"/>
                <w:sz w:val="21"/>
              </w:rPr>
              <w:t xml:space="preserve">Admissible (₹)</w:t>
            </w:r>
          </w:p>
        </w:tc>
        <w:tc>
          <w:tcPr>
            <w:tcW w:type="dxa" w:w="2101"/>
            <w:shd w:val="clear" w:color="auto" w:fill="DCE6F1"/>
          </w:tcPr>
          <w:p>
            <w:pPr>
              <w:pStyle w:val="Compact"/>
              <w:spacing w:before="0" w:after="0" w:line="240" w:lineRule="auto"/>
              <w:jc w:val="left"/>
            </w:pPr>
            <w:r>
              <w:rPr>
                <w:b/>
                <w:color w:val="1F3864"/>
                <w:sz w:val="21"/>
              </w:rPr>
              <w:t xml:space="preserve">Inadmissible (₹)</w:t>
            </w:r>
          </w:p>
        </w:tc>
      </w:tr>
      <w:tr>
        <w:tc>
          <w:tcPr>
            <w:tcW w:type="dxa" w:w="1236"/>
          </w:tcPr>
          <w:p>
            <w:pPr>
              <w:pStyle w:val="Compact"/>
              <w:spacing w:before="0" w:after="0" w:line="240" w:lineRule="auto"/>
              <w:jc w:val="left"/>
            </w:pPr>
            <w:r>
              <w:rPr>
                <w:sz w:val="21"/>
              </w:rPr>
              <w:t xml:space="preserve">IGST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CGST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SGST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Cess</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shd w:val="clear" w:color="auto" w:fill="F2F2F2"/>
          </w:tcPr>
          <w:p>
            <w:pPr>
              <w:pStyle w:val="Compact"/>
              <w:spacing w:before="0" w:after="0" w:line="240" w:lineRule="auto"/>
              <w:jc w:val="left"/>
            </w:pPr>
            <w:r>
              <w:rPr>
                <w:bCs/>
                <w:b/>
                <w:sz w:val="21"/>
              </w:rPr>
              <w:t xml:space="preserve">Total</w:t>
            </w:r>
          </w:p>
        </w:tc>
        <w:tc>
          <w:tcPr>
            <w:tcW w:type="dxa" w:w="1483"/>
            <w:shd w:val="clear" w:color="auto" w:fill="F2F2F2"/>
          </w:tcPr>
          <w:p>
            <w:pPr>
              <w:pStyle w:val="Compact"/>
              <w:spacing w:before="0" w:after="0" w:line="240" w:lineRule="auto"/>
              <w:jc w:val="left"/>
            </w:pPr>
            <w:r>
              <w:rPr>
                <w:bCs/>
                <w:b/>
                <w:sz w:val="21"/>
              </w:rPr>
              <w:t xml:space="preserve">[ ]</w:t>
            </w:r>
          </w:p>
        </w:tc>
        <w:tc>
          <w:tcPr>
            <w:tcW w:type="dxa" w:w="1483"/>
            <w:shd w:val="clear" w:color="auto" w:fill="F2F2F2"/>
          </w:tcPr>
          <w:p>
            <w:pPr>
              <w:pStyle w:val="Compact"/>
              <w:spacing w:before="0" w:after="0" w:line="240" w:lineRule="auto"/>
            </w:pPr>
          </w:p>
        </w:tc>
        <w:tc>
          <w:tcPr>
            <w:tcW w:type="dxa" w:w="1483"/>
            <w:shd w:val="clear" w:color="auto" w:fill="F2F2F2"/>
          </w:tcPr>
          <w:p>
            <w:pPr>
              <w:pStyle w:val="Compact"/>
              <w:spacing w:before="0" w:after="0" w:line="240" w:lineRule="auto"/>
            </w:pPr>
          </w:p>
        </w:tc>
        <w:tc>
          <w:tcPr>
            <w:tcW w:type="dxa" w:w="1853"/>
            <w:shd w:val="clear" w:color="auto" w:fill="F2F2F2"/>
          </w:tcPr>
          <w:p>
            <w:pPr>
              <w:pStyle w:val="Compact"/>
              <w:spacing w:before="0" w:after="0" w:line="240" w:lineRule="auto"/>
              <w:jc w:val="left"/>
            </w:pPr>
            <w:r>
              <w:rPr>
                <w:bCs/>
                <w:b/>
                <w:sz w:val="21"/>
              </w:rPr>
              <w:t xml:space="preserve">[ ]</w:t>
            </w:r>
          </w:p>
        </w:tc>
        <w:tc>
          <w:tcPr>
            <w:tcW w:type="dxa" w:w="2101"/>
            <w:shd w:val="clear" w:color="auto" w:fill="F2F2F2"/>
          </w:tcPr>
          <w:p>
            <w:pPr>
              <w:pStyle w:val="Compact"/>
              <w:spacing w:before="0" w:after="0" w:line="240" w:lineRule="auto"/>
              <w:jc w:val="left"/>
            </w:pPr>
            <w:r>
              <w:rPr>
                <w:bCs/>
                <w:b/>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compensation cess is computed separately, by applying the formula to cess credit alone, and is debited entirely from the cess balance (para 39 of Circular No. 125/44/2019-GST); the IGST-first order of debit applies only to IGST, CGST and SGST. If the applicant did not follow that order of debit, no adverse view is taken (para 38). Delete the Cess row if no cess is involved.</w:t>
      </w:r>
    </w:p>
    <w:p>
      <w:pPr>
        <w:pStyle w:val="FirstParagraph"/>
        <w:keepNext/>
        <w:spacing w:before="240" w:after="80"/>
        <w:pBdr>
          <w:bottom w:val="single" w:sz="6" w:space="1" w:color="B4C6E7"/>
        </w:pBdr>
      </w:pPr>
      <w:r>
        <w:rPr>
          <w:bCs/>
          <w:b/>
          <w:color w:val="1F3864"/>
          <w:sz w:val="25"/>
        </w:rPr>
        <w:t xml:space="preserve">8. Notice, reply and personal hearing</w:t>
      </w:r>
    </w:p>
    <w:p>
      <w:pPr>
        <w:pStyle w:val="BlockText"/>
        <w:shd w:val="clear" w:color="auto" w:fill="E7E6E6"/>
      </w:pPr>
      <w:r>
        <w:rPr>
          <w:bCs/>
          <w:b/>
          <w:sz w:val="21"/>
        </w:rPr>
        <w:t xml:space="preserve">Drafting note:</w:t>
      </w:r>
      <w:r>
        <w:rPr>
          <w:sz w:val="21"/>
        </w:rPr>
        <w:t xml:space="preserve"> </w:t>
      </w:r>
      <w:r>
        <w:rPr>
          <w:sz w:val="21"/>
        </w:rPr>
        <w:t xml:space="preserve">if the claim is sanctioned in full, replace this whole para with:</w:t>
      </w:r>
      <w:r>
        <w:rPr>
          <w:sz w:val="21"/>
        </w:rPr>
        <w:t xml:space="preserve"> </w:t>
      </w:r>
      <w:r>
        <w:rPr>
          <w:sz w:val="21"/>
        </w:rPr>
        <w:t xml:space="preserve">“</w:t>
      </w:r>
      <w:r>
        <w:rPr>
          <w:sz w:val="21"/>
        </w:rPr>
        <w:t xml:space="preserve">8.1 As the claim is found admissible in full, no notice in FORM GST RFD-08 was required.</w:t>
      </w:r>
      <w:r>
        <w:rPr>
          <w:sz w:val="21"/>
        </w:rPr>
        <w:t xml:space="preserve">”</w:t>
      </w:r>
      <w:r>
        <w:rPr>
          <w:sz w:val="21"/>
        </w:rPr>
        <w:t xml:space="preserve"> </w:t>
      </w:r>
      <w:r>
        <w:rPr>
          <w:sz w:val="21"/>
        </w:rPr>
        <w:t xml:space="preserve">Otherwise, the notice must state each actual ground found, with figures, and not template wording (rule 92(3) needs</w:t>
      </w:r>
      <w:r>
        <w:rPr>
          <w:sz w:val="21"/>
        </w:rPr>
        <w:t xml:space="preserve"> </w:t>
      </w:r>
      <w:r>
        <w:rPr>
          <w:sz w:val="21"/>
        </w:rPr>
        <w:t xml:space="preserve">“</w:t>
      </w:r>
      <w:r>
        <w:rPr>
          <w:sz w:val="21"/>
        </w:rPr>
        <w:t xml:space="preserve">reasons to be recorded in writing</w:t>
      </w:r>
      <w:r>
        <w:rPr>
          <w:sz w:val="21"/>
        </w:rPr>
        <w:t xml:space="preserve">”</w:t>
      </w:r>
      <w:r>
        <w:rPr>
          <w:sz w:val="21"/>
        </w:rPr>
        <w:t xml:space="preserve">). The order can reject only on a ground put to the applicant in the notice. Under rule 92(3) the applicant gets fifteen days to reply, and no application can be rejected without an opportunity of being heard.</w:t>
      </w:r>
    </w:p>
    <w:p>
      <w:pPr>
        <w:pStyle w:val="FirstParagraph"/>
        <w:spacing w:before="0" w:after="120" w:line="269" w:lineRule="auto"/>
        <w:jc w:val="both"/>
      </w:pPr>
      <w:r>
        <w:t xml:space="preserve">8.1 On scrutiny, the following grounds were noticed, and a notice in FORM GST RFD-08 No. [ ] dated [DD.MM.YYYY] was issued proposing to reject ₹[ ] of the claim and asking the applicant to reply in FORM GST RFD-09 within fifteen days: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44"/>
        <w:gridCol w:w="4539"/>
        <w:gridCol w:w="2856"/>
      </w:tblGrid>
      <w:tr>
        <w:trPr>
          <w:tblHeader w:val="true"/>
          <w:tblHeader/>
        </w:trPr>
        <w:tc>
          <w:tcPr>
            <w:tcW w:type="dxa" w:w="2244"/>
            <w:shd w:val="clear" w:color="auto" w:fill="DCE6F1"/>
          </w:tcPr>
          <w:p>
            <w:pPr>
              <w:pStyle w:val="Compact"/>
              <w:spacing w:before="0" w:after="0" w:line="240" w:lineRule="auto"/>
              <w:jc w:val="left"/>
            </w:pPr>
            <w:r>
              <w:rPr>
                <w:b/>
                <w:color w:val="1F3864"/>
                <w:sz w:val="21"/>
              </w:rPr>
              <w:t xml:space="preserve">Ground No.</w:t>
            </w:r>
          </w:p>
        </w:tc>
        <w:tc>
          <w:tcPr>
            <w:tcW w:type="dxa" w:w="4539"/>
            <w:shd w:val="clear" w:color="auto" w:fill="DCE6F1"/>
          </w:tcPr>
          <w:p>
            <w:pPr>
              <w:pStyle w:val="Compact"/>
              <w:spacing w:before="0" w:after="0" w:line="240" w:lineRule="auto"/>
              <w:jc w:val="left"/>
            </w:pPr>
            <w:r>
              <w:rPr>
                <w:b/>
                <w:color w:val="1F3864"/>
                <w:sz w:val="21"/>
              </w:rPr>
              <w:t xml:space="preserve">Ground stated in the notice</w:t>
            </w:r>
          </w:p>
        </w:tc>
        <w:tc>
          <w:tcPr>
            <w:tcW w:type="dxa" w:w="2856"/>
            <w:shd w:val="clear" w:color="auto" w:fill="DCE6F1"/>
          </w:tcPr>
          <w:p>
            <w:pPr>
              <w:pStyle w:val="Compact"/>
              <w:spacing w:before="0" w:after="0" w:line="240" w:lineRule="auto"/>
              <w:jc w:val="left"/>
            </w:pPr>
            <w:r>
              <w:rPr>
                <w:b/>
                <w:color w:val="1F3864"/>
                <w:sz w:val="21"/>
              </w:rPr>
              <w:t xml:space="preserve">Amount proposed for rejection (₹)</w:t>
            </w:r>
          </w:p>
        </w:tc>
      </w:tr>
      <w:tr>
        <w:tc>
          <w:tcPr>
            <w:tcW w:type="dxa" w:w="2244"/>
          </w:tcPr>
          <w:p>
            <w:pPr>
              <w:pStyle w:val="Compact"/>
              <w:spacing w:before="0" w:after="0" w:line="240" w:lineRule="auto"/>
              <w:jc w:val="left"/>
            </w:pPr>
            <w:r>
              <w:rPr>
                <w:sz w:val="21"/>
              </w:rPr>
              <w:t xml:space="preserve">1</w:t>
            </w:r>
          </w:p>
        </w:tc>
        <w:tc>
          <w:tcPr>
            <w:tcW w:type="dxa" w:w="4539"/>
          </w:tcPr>
          <w:p>
            <w:pPr>
              <w:pStyle w:val="Compact"/>
              <w:spacing w:before="0" w:after="0" w:line="240" w:lineRule="auto"/>
              <w:jc w:val="left"/>
            </w:pPr>
            <w:r>
              <w:rPr>
                <w:sz w:val="21"/>
              </w:rPr>
              <w:t xml:space="preserve">[ground, with the figures and the provision relied on]</w:t>
            </w:r>
          </w:p>
        </w:tc>
        <w:tc>
          <w:tcPr>
            <w:tcW w:type="dxa" w:w="2856"/>
          </w:tcPr>
          <w:p>
            <w:pPr>
              <w:pStyle w:val="Compact"/>
              <w:spacing w:before="0" w:after="0" w:line="240" w:lineRule="auto"/>
              <w:jc w:val="left"/>
            </w:pPr>
            <w:r>
              <w:rPr>
                <w:sz w:val="21"/>
              </w:rPr>
              <w:t xml:space="preserve">[ ]</w:t>
            </w:r>
          </w:p>
        </w:tc>
      </w:tr>
      <w:tr>
        <w:tc>
          <w:tcPr>
            <w:tcW w:type="dxa" w:w="2244"/>
          </w:tcPr>
          <w:p>
            <w:pPr>
              <w:pStyle w:val="Compact"/>
              <w:spacing w:before="0" w:after="0" w:line="240" w:lineRule="auto"/>
              <w:jc w:val="left"/>
            </w:pPr>
            <w:r>
              <w:rPr>
                <w:sz w:val="21"/>
              </w:rPr>
              <w:t xml:space="preserve">2</w:t>
            </w:r>
          </w:p>
        </w:tc>
        <w:tc>
          <w:tcPr>
            <w:tcW w:type="dxa" w:w="4539"/>
          </w:tcPr>
          <w:p>
            <w:pPr>
              <w:pStyle w:val="Compact"/>
              <w:spacing w:before="0" w:after="0" w:line="240" w:lineRule="auto"/>
              <w:jc w:val="left"/>
            </w:pPr>
            <w:r>
              <w:rPr>
                <w:sz w:val="21"/>
              </w:rPr>
              <w:t xml:space="preserve">[ ]</w:t>
            </w:r>
          </w:p>
        </w:tc>
        <w:tc>
          <w:tcPr>
            <w:tcW w:type="dxa" w:w="2856"/>
          </w:tcPr>
          <w:p>
            <w:pPr>
              <w:pStyle w:val="Compact"/>
              <w:spacing w:before="0" w:after="0" w:line="240" w:lineRule="auto"/>
              <w:jc w:val="left"/>
            </w:pPr>
            <w:r>
              <w:rPr>
                <w:sz w:val="21"/>
              </w:rPr>
              <w:t xml:space="preserve">[ ]</w:t>
            </w:r>
          </w:p>
        </w:tc>
      </w:tr>
      <w:tr>
        <w:tc>
          <w:tcPr>
            <w:tcW w:type="dxa" w:w="2244"/>
            <w:shd w:val="clear" w:color="auto" w:fill="F2F2F2"/>
          </w:tcPr>
          <w:p>
            <w:pPr>
              <w:pStyle w:val="Compact"/>
              <w:spacing w:before="0" w:after="0" w:line="240" w:lineRule="auto"/>
            </w:pPr>
          </w:p>
        </w:tc>
        <w:tc>
          <w:tcPr>
            <w:tcW w:type="dxa" w:w="4539"/>
            <w:shd w:val="clear" w:color="auto" w:fill="F2F2F2"/>
          </w:tcPr>
          <w:p>
            <w:pPr>
              <w:pStyle w:val="Compact"/>
              <w:spacing w:before="0" w:after="0" w:line="240" w:lineRule="auto"/>
              <w:jc w:val="left"/>
            </w:pPr>
            <w:r>
              <w:rPr>
                <w:bCs/>
                <w:b/>
                <w:sz w:val="21"/>
              </w:rPr>
              <w:t xml:space="preserve">Total</w:t>
            </w:r>
          </w:p>
        </w:tc>
        <w:tc>
          <w:tcPr>
            <w:tcW w:type="dxa" w:w="2856"/>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8.2 The applicant replied in FORM GST RFD-09 on [DD.MM.YYYY] [Option: after the time extended on request dated [ ]] and submitted [list of documents]. A personal hearing was held on [DD.MM.YYYY], attended by [designation of the authorised representative, not the person’s name], who [reiterated the reply] / [made the following further submissions: …] and [filed additional documents on [DD.MM.YYYY]].</w:t>
      </w:r>
    </w:p>
    <w:p>
      <w:pPr>
        <w:pStyle w:val="BodyText"/>
        <w:spacing w:before="0" w:after="120" w:line="269" w:lineRule="auto"/>
        <w:jc w:val="both"/>
      </w:pPr>
      <w:r>
        <w:t xml:space="preserve">[Option, where the applicant did not respond] 8.2 No reply was received. Opportunities of personal hearing were given on [DD.MM.YYYY], [DD.MM.YYYY] and [DD.MM.YYYY] by letters served on the portal [and by e-mail], but no one appeared and no adjournment was sought. The matter is therefore decided on the records available, as each of the grounds below is examined on its merits.</w:t>
      </w:r>
    </w:p>
    <w:p>
      <w:pPr>
        <w:pStyle w:val="BodyText"/>
        <w:spacing w:before="0" w:after="120" w:line="269" w:lineRule="auto"/>
        <w:jc w:val="both"/>
      </w:pPr>
      <w:r>
        <w:t xml:space="preserve">8.3</w:t>
      </w:r>
      <w:r>
        <w:t xml:space="preserve"> </w:t>
      </w:r>
      <w:r>
        <w:rPr>
          <w:bCs/>
          <w:b/>
        </w:rPr>
        <w:t xml:space="preserve">Findings on each ground.</w:t>
      </w:r>
      <w:r>
        <w:t xml:space="preserve"> </w:t>
      </w:r>
      <w:r>
        <w:t xml:space="preserve">Each ground in the notice, each point in the reply and each submission made at the hearing is dealt with below.</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60"/>
        <w:gridCol w:w="2024"/>
        <w:gridCol w:w="1638"/>
        <w:gridCol w:w="2602"/>
        <w:gridCol w:w="1253"/>
        <w:gridCol w:w="1060"/>
      </w:tblGrid>
      <w:tr>
        <w:trPr>
          <w:tblHeader w:val="true"/>
          <w:tblHeader/>
        </w:trPr>
        <w:tc>
          <w:tcPr>
            <w:tcW w:type="dxa" w:w="1060"/>
            <w:shd w:val="clear" w:color="auto" w:fill="DCE6F1"/>
          </w:tcPr>
          <w:p>
            <w:pPr>
              <w:pStyle w:val="Compact"/>
              <w:spacing w:before="0" w:after="0" w:line="240" w:lineRule="auto"/>
              <w:jc w:val="left"/>
            </w:pPr>
            <w:r>
              <w:rPr>
                <w:b/>
                <w:color w:val="1F3864"/>
                <w:sz w:val="21"/>
              </w:rPr>
              <w:t xml:space="preserve">Ground</w:t>
            </w:r>
          </w:p>
        </w:tc>
        <w:tc>
          <w:tcPr>
            <w:tcW w:type="dxa" w:w="2024"/>
            <w:shd w:val="clear" w:color="auto" w:fill="DCE6F1"/>
          </w:tcPr>
          <w:p>
            <w:pPr>
              <w:pStyle w:val="Compact"/>
              <w:spacing w:before="0" w:after="0" w:line="240" w:lineRule="auto"/>
              <w:jc w:val="left"/>
            </w:pPr>
            <w:r>
              <w:rPr>
                <w:b/>
                <w:color w:val="1F3864"/>
                <w:sz w:val="21"/>
              </w:rPr>
              <w:t xml:space="preserve">Applicant’s reply / submission at hearing</w:t>
            </w:r>
          </w:p>
        </w:tc>
        <w:tc>
          <w:tcPr>
            <w:tcW w:type="dxa" w:w="1638"/>
            <w:shd w:val="clear" w:color="auto" w:fill="DCE6F1"/>
          </w:tcPr>
          <w:p>
            <w:pPr>
              <w:pStyle w:val="Compact"/>
              <w:spacing w:before="0" w:after="0" w:line="240" w:lineRule="auto"/>
              <w:jc w:val="left"/>
            </w:pPr>
            <w:r>
              <w:rPr>
                <w:b/>
                <w:color w:val="1F3864"/>
                <w:sz w:val="21"/>
              </w:rPr>
              <w:t xml:space="preserve">Verification done</w:t>
            </w:r>
          </w:p>
        </w:tc>
        <w:tc>
          <w:tcPr>
            <w:tcW w:type="dxa" w:w="2602"/>
            <w:shd w:val="clear" w:color="auto" w:fill="DCE6F1"/>
          </w:tcPr>
          <w:p>
            <w:pPr>
              <w:pStyle w:val="Compact"/>
              <w:spacing w:before="0" w:after="0" w:line="240" w:lineRule="auto"/>
              <w:jc w:val="left"/>
            </w:pPr>
            <w:r>
              <w:rPr>
                <w:b/>
                <w:color w:val="1F3864"/>
                <w:sz w:val="21"/>
              </w:rPr>
              <w:t xml:space="preserve">Finding and provision relied on</w:t>
            </w:r>
          </w:p>
        </w:tc>
        <w:tc>
          <w:tcPr>
            <w:tcW w:type="dxa" w:w="1253"/>
            <w:shd w:val="clear" w:color="auto" w:fill="DCE6F1"/>
          </w:tcPr>
          <w:p>
            <w:pPr>
              <w:pStyle w:val="Compact"/>
              <w:spacing w:before="0" w:after="0" w:line="240" w:lineRule="auto"/>
              <w:jc w:val="left"/>
            </w:pPr>
            <w:r>
              <w:rPr>
                <w:b/>
                <w:color w:val="1F3864"/>
                <w:sz w:val="21"/>
              </w:rPr>
              <w:t xml:space="preserve">ITC / turnover / tax affected (₹)</w:t>
            </w:r>
          </w:p>
        </w:tc>
        <w:tc>
          <w:tcPr>
            <w:tcW w:type="dxa" w:w="1060"/>
            <w:shd w:val="clear" w:color="auto" w:fill="DCE6F1"/>
          </w:tcPr>
          <w:p>
            <w:pPr>
              <w:pStyle w:val="Compact"/>
              <w:spacing w:before="0" w:after="0" w:line="240" w:lineRule="auto"/>
              <w:jc w:val="left"/>
            </w:pPr>
            <w:r>
              <w:rPr>
                <w:b/>
                <w:color w:val="1F3864"/>
                <w:sz w:val="21"/>
              </w:rPr>
              <w:t xml:space="preserve">Effect on refund (₹)</w:t>
            </w:r>
          </w:p>
        </w:tc>
      </w:tr>
      <w:tr>
        <w:tc>
          <w:tcPr>
            <w:tcW w:type="dxa" w:w="1060"/>
          </w:tcPr>
          <w:p>
            <w:pPr>
              <w:pStyle w:val="Compact"/>
              <w:spacing w:before="0" w:after="0" w:line="240" w:lineRule="auto"/>
              <w:jc w:val="left"/>
            </w:pPr>
            <w:r>
              <w:rPr>
                <w:sz w:val="21"/>
              </w:rPr>
              <w:t xml:space="preserve">1</w:t>
            </w:r>
          </w:p>
        </w:tc>
        <w:tc>
          <w:tcPr>
            <w:tcW w:type="dxa" w:w="2024"/>
          </w:tcPr>
          <w:p>
            <w:pPr>
              <w:pStyle w:val="Compact"/>
              <w:spacing w:before="0" w:after="0" w:line="240" w:lineRule="auto"/>
              <w:jc w:val="left"/>
            </w:pPr>
            <w:r>
              <w:rPr>
                <w:sz w:val="21"/>
              </w:rPr>
              <w:t xml:space="preserve">[summary of the reply on this ground]</w:t>
            </w:r>
          </w:p>
        </w:tc>
        <w:tc>
          <w:tcPr>
            <w:tcW w:type="dxa" w:w="1638"/>
          </w:tcPr>
          <w:p>
            <w:pPr>
              <w:pStyle w:val="Compact"/>
              <w:spacing w:before="0" w:after="0" w:line="240" w:lineRule="auto"/>
              <w:jc w:val="left"/>
            </w:pPr>
            <w:r>
              <w:rPr>
                <w:sz w:val="21"/>
              </w:rPr>
              <w:t xml:space="preserve">[what was checked, against which record]</w:t>
            </w:r>
          </w:p>
        </w:tc>
        <w:tc>
          <w:tcPr>
            <w:tcW w:type="dxa" w:w="2602"/>
          </w:tcPr>
          <w:p>
            <w:pPr>
              <w:pStyle w:val="Compact"/>
              <w:spacing w:before="0" w:after="0" w:line="240" w:lineRule="auto"/>
              <w:jc w:val="left"/>
            </w:pPr>
            <w:r>
              <w:rPr>
                <w:sz w:val="21"/>
              </w:rPr>
              <w:t xml:space="preserve">[Accepted / Partly accepted / Not accepted, because …; section or rule]</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r>
        <w:tc>
          <w:tcPr>
            <w:tcW w:type="dxa" w:w="1060"/>
          </w:tcPr>
          <w:p>
            <w:pPr>
              <w:pStyle w:val="Compact"/>
              <w:spacing w:before="0" w:after="0" w:line="240" w:lineRule="auto"/>
              <w:jc w:val="left"/>
            </w:pPr>
            <w:r>
              <w:rPr>
                <w:sz w:val="21"/>
              </w:rPr>
              <w:t xml:space="preserve">2</w:t>
            </w:r>
          </w:p>
        </w:tc>
        <w:tc>
          <w:tcPr>
            <w:tcW w:type="dxa" w:w="2024"/>
          </w:tcPr>
          <w:p>
            <w:pPr>
              <w:pStyle w:val="Compact"/>
              <w:spacing w:before="0" w:after="0" w:line="240" w:lineRule="auto"/>
              <w:jc w:val="left"/>
            </w:pPr>
            <w:r>
              <w:rPr>
                <w:sz w:val="21"/>
              </w:rPr>
              <w:t xml:space="preserve">[ ]</w:t>
            </w:r>
          </w:p>
        </w:tc>
        <w:tc>
          <w:tcPr>
            <w:tcW w:type="dxa" w:w="1638"/>
          </w:tcPr>
          <w:p>
            <w:pPr>
              <w:pStyle w:val="Compact"/>
              <w:spacing w:before="0" w:after="0" w:line="240" w:lineRule="auto"/>
              <w:jc w:val="left"/>
            </w:pPr>
            <w:r>
              <w:rPr>
                <w:sz w:val="21"/>
              </w:rPr>
              <w:t xml:space="preserve">[ ]</w:t>
            </w:r>
          </w:p>
        </w:tc>
        <w:tc>
          <w:tcPr>
            <w:tcW w:type="dxa" w:w="2602"/>
          </w:tcPr>
          <w:p>
            <w:pPr>
              <w:pStyle w:val="Compact"/>
              <w:spacing w:before="0" w:after="0" w:line="240" w:lineRule="auto"/>
              <w:jc w:val="left"/>
            </w:pPr>
            <w:r>
              <w:rPr>
                <w:sz w:val="21"/>
              </w:rPr>
              <w:t xml:space="preserve">[ ]</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r>
        <w:tc>
          <w:tcPr>
            <w:tcW w:type="dxa" w:w="1060"/>
          </w:tcPr>
          <w:p>
            <w:pPr>
              <w:pStyle w:val="Compact"/>
              <w:spacing w:before="0" w:after="0" w:line="240" w:lineRule="auto"/>
              <w:jc w:val="left"/>
            </w:pPr>
            <w:r>
              <w:rPr>
                <w:sz w:val="21"/>
              </w:rPr>
              <w:t xml:space="preserve">Further submission at hearing</w:t>
            </w:r>
          </w:p>
        </w:tc>
        <w:tc>
          <w:tcPr>
            <w:tcW w:type="dxa" w:w="2024"/>
          </w:tcPr>
          <w:p>
            <w:pPr>
              <w:pStyle w:val="Compact"/>
              <w:spacing w:before="0" w:after="0" w:line="240" w:lineRule="auto"/>
              <w:jc w:val="left"/>
            </w:pPr>
            <w:r>
              <w:rPr>
                <w:sz w:val="21"/>
              </w:rPr>
              <w:t xml:space="preserve">[ ]</w:t>
            </w:r>
          </w:p>
        </w:tc>
        <w:tc>
          <w:tcPr>
            <w:tcW w:type="dxa" w:w="1638"/>
          </w:tcPr>
          <w:p>
            <w:pPr>
              <w:pStyle w:val="Compact"/>
              <w:spacing w:before="0" w:after="0" w:line="240" w:lineRule="auto"/>
              <w:jc w:val="left"/>
            </w:pPr>
            <w:r>
              <w:rPr>
                <w:sz w:val="21"/>
              </w:rPr>
              <w:t xml:space="preserve">[ ]</w:t>
            </w:r>
          </w:p>
        </w:tc>
        <w:tc>
          <w:tcPr>
            <w:tcW w:type="dxa" w:w="2602"/>
          </w:tcPr>
          <w:p>
            <w:pPr>
              <w:pStyle w:val="Compact"/>
              <w:spacing w:before="0" w:after="0" w:line="240" w:lineRule="auto"/>
              <w:jc w:val="left"/>
            </w:pPr>
            <w:r>
              <w:rPr>
                <w:sz w:val="21"/>
              </w:rPr>
              <w:t xml:space="preserve">[ ]</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write a separate paragraph under the table for any ground that needs more than three lines of reasoning. Keep the</w:t>
      </w:r>
      <w:r>
        <w:rPr>
          <w:sz w:val="21"/>
        </w:rPr>
        <w:t xml:space="preserve"> </w:t>
      </w:r>
      <w:r>
        <w:rPr>
          <w:sz w:val="21"/>
        </w:rPr>
        <w:t xml:space="preserve">“</w:t>
      </w:r>
      <w:r>
        <w:rPr>
          <w:sz w:val="21"/>
        </w:rPr>
        <w:t xml:space="preserve">affected</w:t>
      </w:r>
      <w:r>
        <w:rPr>
          <w:sz w:val="21"/>
        </w:rPr>
        <w:t xml:space="preserve">”</w:t>
      </w:r>
      <w:r>
        <w:rPr>
          <w:sz w:val="21"/>
        </w:rPr>
        <w:t xml:space="preserve"> </w:t>
      </w:r>
      <w:r>
        <w:rPr>
          <w:sz w:val="21"/>
        </w:rPr>
        <w:t xml:space="preserve">column (the ITC, turnover or tax that is the input) separate from the</w:t>
      </w:r>
      <w:r>
        <w:rPr>
          <w:sz w:val="21"/>
        </w:rPr>
        <w:t xml:space="preserve"> </w:t>
      </w:r>
      <w:r>
        <w:rPr>
          <w:sz w:val="21"/>
        </w:rPr>
        <w:t xml:space="preserve">“</w:t>
      </w:r>
      <w:r>
        <w:rPr>
          <w:sz w:val="21"/>
        </w:rPr>
        <w:t xml:space="preserve">effect on refund</w:t>
      </w:r>
      <w:r>
        <w:rPr>
          <w:sz w:val="21"/>
        </w:rPr>
        <w:t xml:space="preserve">”</w:t>
      </w:r>
      <w:r>
        <w:rPr>
          <w:sz w:val="21"/>
        </w:rPr>
        <w:t xml:space="preserve"> </w:t>
      </w:r>
      <w:r>
        <w:rPr>
          <w:sz w:val="21"/>
        </w:rPr>
        <w:t xml:space="preserve">column (the result after the formula), so that the two are never confused. Decide every ground, including one that becomes moot because of the finding on another ground (say</w:t>
      </w:r>
      <w:r>
        <w:rPr>
          <w:sz w:val="21"/>
        </w:rPr>
        <w:t xml:space="preserve"> </w:t>
      </w:r>
      <w:r>
        <w:rPr>
          <w:sz w:val="21"/>
        </w:rPr>
        <w:t xml:space="preserve">“</w:t>
      </w:r>
      <w:r>
        <w:rPr>
          <w:sz w:val="21"/>
        </w:rPr>
        <w:t xml:space="preserve">This ground does not survive, in view of the finding on ground [ ]</w:t>
      </w:r>
      <w:r>
        <w:rPr>
          <w:sz w:val="21"/>
        </w:rPr>
        <w:t xml:space="preserve">”</w:t>
      </w:r>
      <w:r>
        <w:rPr>
          <w:sz w:val="21"/>
        </w:rPr>
        <w:t xml:space="preserve">). If a ground is dropped, say so and why.</w:t>
      </w:r>
    </w:p>
    <w:p>
      <w:pPr>
        <w:pStyle w:val="FirstParagraph"/>
        <w:keepNext/>
        <w:spacing w:before="240" w:after="80"/>
        <w:pBdr>
          <w:bottom w:val="single" w:sz="6" w:space="1" w:color="B4C6E7"/>
        </w:pBdr>
      </w:pPr>
      <w:r>
        <w:rPr>
          <w:bCs/>
          <w:b/>
          <w:color w:val="1F3864"/>
          <w:sz w:val="25"/>
        </w:rPr>
        <w:t xml:space="preserve">9. Other conditions for payment of the refund</w:t>
      </w:r>
    </w:p>
    <w:p>
      <w:pPr>
        <w:pStyle w:val="BodyText"/>
        <w:spacing w:before="0" w:after="120" w:line="269" w:lineRule="auto"/>
        <w:jc w:val="both"/>
      </w:pPr>
      <w:r>
        <w:t xml:space="preserve">9.1</w:t>
      </w:r>
      <w:r>
        <w:t xml:space="preserve"> </w:t>
      </w:r>
      <w:r>
        <w:rPr>
          <w:bCs/>
          <w:b/>
        </w:rPr>
        <w:t xml:space="preserve">Unjust enrichment.</w:t>
      </w:r>
      <w:r>
        <w:t xml:space="preserve"> </w:t>
      </w:r>
      <w:r>
        <w:t xml:space="preserve">The refund is of unutilised input tax credit on zero-rated supplies, payable to the applicant under clause (a) of section 54(8). The question of unjust enrichment does not arise, and no certificate or declaration under rule 89(2)(l) or (m) is required (provisos to rule 89(2)(l) and (m)).</w:t>
      </w:r>
    </w:p>
    <w:p>
      <w:pPr>
        <w:pStyle w:val="BodyText"/>
        <w:spacing w:before="0" w:after="120" w:line="269" w:lineRule="auto"/>
        <w:jc w:val="both"/>
      </w:pPr>
      <w:r>
        <w:t xml:space="preserve">9.2</w:t>
      </w:r>
      <w:r>
        <w:t xml:space="preserve"> </w:t>
      </w:r>
      <w:r>
        <w:rPr>
          <w:bCs/>
          <w:b/>
        </w:rPr>
        <w:t xml:space="preserve">Dues and withholding (section 54(10) and 54(11)).</w:t>
      </w:r>
      <w:r>
        <w:t xml:space="preserve"> </w:t>
      </w:r>
      <w:r>
        <w:t xml:space="preserve">The [range report dated [DD.MM.YYYY]], the arrears and liability register of the Division, the back-office demand and recovery ledger and the portal (Electronic Liability Register Part II) were checked on [DD.MM.YYYY].</w:t>
      </w:r>
    </w:p>
    <w:p>
      <w:pPr>
        <w:pStyle w:val="BodyText"/>
        <w:spacing w:before="0" w:after="120" w:line="269" w:lineRule="auto"/>
        <w:jc w:val="both"/>
      </w:pPr>
      <w:r>
        <w:t xml:space="preserve">[Option A] No return was pending and no tax, interest, penalty or other amount was payable by the applicant under the CGST Act or the existing law that had not been stayed by the specified date. No amount is withheld or deducted.</w:t>
      </w:r>
    </w:p>
    <w:p>
      <w:pPr>
        <w:pStyle w:val="BodyText"/>
        <w:spacing w:before="0" w:after="120" w:line="269" w:lineRule="auto"/>
        <w:jc w:val="both"/>
      </w:pPr>
      <w:r>
        <w:t xml:space="preserve">[Option B] The applicant owes ₹[ ] under [Order No. [ ] dated [ ] / demand ID [ ]]. That amount was not stayed by any court, Tribunal or Appellate Authority by the specified date (the last date for filing an appeal), [and no appeal with the pre-deposit under section 107(6) is on record]. Under section 54(10)(b), ₹[ ] is deducted from the refund and</w:t>
      </w:r>
      <w:r>
        <w:t xml:space="preserve"> </w:t>
      </w:r>
      <w:r>
        <w:rPr>
          <w:bCs/>
          <w:b/>
        </w:rPr>
        <w:t xml:space="preserve">adjusted in this order</w:t>
      </w:r>
      <w:r>
        <w:t xml:space="preserve"> </w:t>
      </w:r>
      <w:r>
        <w:t xml:space="preserve">against that demand (rule 92(1); para 35 of Circular No. 125/44/2019-GST). [Under section 54(10)(a), ₹[ ] is withheld until the return for [period] is filed, by order in Part A of FORM GST RFD-07 dated [DD.MM.YYYY] (rule 92(2)).]</w:t>
      </w:r>
    </w:p>
    <w:p>
      <w:pPr>
        <w:pStyle w:val="BodyText"/>
        <w:spacing w:before="0" w:after="120" w:line="269" w:lineRule="auto"/>
        <w:jc w:val="both"/>
      </w:pPr>
      <w:r>
        <w:t xml:space="preserve">[Option C] By order dated [DD.MM.YYYY], the Commissioner, being of the opinion that the grant of this refund is likely to adversely affect the revenue in [the appeal / proceedings [No.] pending under section [ ]] on account of [malfeasance / fraud], namely [ ], has, after giving the applicant an opportunity of being heard, withheld ₹[ ] until [ ] under section 54(11). The withholding is recorded in Part A of FORM GST RFD-07 dated [DD.MM.YYYY] (rule 92(2)). If the applicant becomes entitled to the amount as a result of those proceedings, interest is payable under section 54(12).</w:t>
      </w:r>
    </w:p>
    <w:p>
      <w:pPr>
        <w:pStyle w:val="BlockText"/>
        <w:shd w:val="clear" w:color="auto" w:fill="E7E6E6"/>
      </w:pPr>
      <w:r>
        <w:rPr>
          <w:bCs/>
          <w:b/>
          <w:sz w:val="21"/>
        </w:rPr>
        <w:t xml:space="preserve">Drafting note:</w:t>
      </w:r>
      <w:r>
        <w:rPr>
          <w:sz w:val="21"/>
        </w:rPr>
        <w:t xml:space="preserve"> </w:t>
      </w:r>
      <w:r>
        <w:rPr>
          <w:sz w:val="21"/>
        </w:rPr>
        <w:t xml:space="preserve">only a confirmed amount not stayed by the specified date can be deducted or withheld under section 54(10). A demand set aside in appeal, a demand under appeal with the pre-deposit paid (deemed stayed under section 107(7)), or a mere show cause notice cannot be. Nothing is to be adjusted against a provisional refund (Instruction 06/2025-GST para 3.2). An adjustment under section 54(10)(b) is made in this RFD-06 itself; RFD-07 Part A is only for withholding (section 54(10)(a) or 54(11)), and Part B for its release. Never reject a refund in place of adjusting or withholding it.</w:t>
      </w:r>
    </w:p>
    <w:p>
      <w:pPr>
        <w:pStyle w:val="FirstParagraph"/>
        <w:spacing w:before="0" w:after="120" w:line="269" w:lineRule="auto"/>
        <w:jc w:val="both"/>
      </w:pPr>
      <w:r>
        <w:t xml:space="preserve">9.3</w:t>
      </w:r>
      <w:r>
        <w:t xml:space="preserve"> </w:t>
      </w:r>
      <w:r>
        <w:rPr>
          <w:bCs/>
          <w:b/>
        </w:rPr>
        <w:t xml:space="preserve">Minimum amount (section 54(14)).</w:t>
      </w:r>
      <w:r>
        <w:t xml:space="preserve"> </w:t>
      </w:r>
      <w:r>
        <w:t xml:space="preserve">The amount sanctioned under each tax head is not less than one thousand rupees. [Option: The amount found admissible under [head] is ₹[ ], which is less than one thousand rupees, and is therefore not paid (section 54(14); para 60 of Circular No. 125/44/2019-GST, which applies the limit to each tax head separately).]</w:t>
      </w:r>
    </w:p>
    <w:p>
      <w:pPr>
        <w:pStyle w:val="BlockText"/>
        <w:shd w:val="clear" w:color="auto" w:fill="E7E6E6"/>
      </w:pPr>
      <w:r>
        <w:rPr>
          <w:bCs/>
          <w:b/>
          <w:sz w:val="21"/>
        </w:rPr>
        <w:t xml:space="preserve">Drafting note (amount below ₹1,000 under a head):</w:t>
      </w:r>
      <w:r>
        <w:rPr>
          <w:sz w:val="21"/>
        </w:rPr>
        <w:t xml:space="preserve"> </w:t>
      </w:r>
      <w:r>
        <w:rPr>
          <w:sz w:val="21"/>
        </w:rPr>
        <w:t xml:space="preserve">say in para 11 what becomes of it. Show it in the</w:t>
      </w:r>
      <w:r>
        <w:rPr>
          <w:sz w:val="21"/>
        </w:rPr>
        <w:t xml:space="preserve"> </w:t>
      </w:r>
      <w:r>
        <w:rPr>
          <w:sz w:val="21"/>
        </w:rPr>
        <w:t xml:space="preserve">“</w:t>
      </w:r>
      <w:r>
        <w:rPr>
          <w:sz w:val="21"/>
        </w:rPr>
        <w:t xml:space="preserve">Rejected</w:t>
      </w:r>
      <w:r>
        <w:rPr>
          <w:sz w:val="21"/>
        </w:rPr>
        <w:t xml:space="preserve">”</w:t>
      </w:r>
      <w:r>
        <w:rPr>
          <w:sz w:val="21"/>
        </w:rPr>
        <w:t xml:space="preserve"> </w:t>
      </w:r>
      <w:r>
        <w:rPr>
          <w:sz w:val="21"/>
        </w:rPr>
        <w:t xml:space="preserve">column of the 11.1 table with the words</w:t>
      </w:r>
      <w:r>
        <w:rPr>
          <w:sz w:val="21"/>
        </w:rPr>
        <w:t xml:space="preserve"> </w:t>
      </w:r>
      <w:r>
        <w:rPr>
          <w:sz w:val="21"/>
        </w:rPr>
        <w:t xml:space="preserve">“</w:t>
      </w:r>
      <w:r>
        <w:rPr>
          <w:sz w:val="21"/>
        </w:rPr>
        <w:t xml:space="preserve">not paid under section 54(14)</w:t>
      </w:r>
      <w:r>
        <w:rPr>
          <w:sz w:val="21"/>
        </w:rPr>
        <w:t xml:space="preserve">”</w:t>
      </w:r>
      <w:r>
        <w:rPr>
          <w:sz w:val="21"/>
        </w:rPr>
        <w:t xml:space="preserve">, so the table balances. Where it was debited from the electronic credit or cash ledger on filing, direct its re-credit by PMT-03 with the rest of the rejected amount [confirm the Commissionerate’s practice].</w:t>
      </w:r>
    </w:p>
    <w:p>
      <w:pPr>
        <w:pStyle w:val="FirstParagraph"/>
        <w:spacing w:before="0" w:after="120" w:line="269" w:lineRule="auto"/>
        <w:jc w:val="both"/>
      </w:pPr>
      <w:r>
        <w:t xml:space="preserve">9.4</w:t>
      </w:r>
      <w:r>
        <w:t xml:space="preserve"> </w:t>
      </w:r>
      <w:r>
        <w:rPr>
          <w:bCs/>
          <w:b/>
        </w:rPr>
        <w:t xml:space="preserve">Bank account.</w:t>
      </w:r>
      <w:r>
        <w:t xml:space="preserve"> </w:t>
      </w:r>
      <w:r>
        <w:t xml:space="preserve">The refund will be credited to the bank account [ending [XXXX]] declared in the application, which is one of the accounts in the applicant’s registration particulars and has been validated on the portal (rule 92(4)).</w:t>
      </w:r>
    </w:p>
    <w:p>
      <w:pPr>
        <w:pStyle w:val="BodyText"/>
        <w:spacing w:before="0" w:after="120" w:line="269" w:lineRule="auto"/>
        <w:jc w:val="both"/>
      </w:pPr>
      <w:r>
        <w:t xml:space="preserve">9.5</w:t>
      </w:r>
      <w:r>
        <w:t xml:space="preserve"> </w:t>
      </w:r>
      <w:r>
        <w:rPr>
          <w:bCs/>
          <w:b/>
        </w:rPr>
        <w:t xml:space="preserve">Time limit and interest on delay (section 54(7), section 56 and rule 94).</w:t>
      </w:r>
      <w:r>
        <w:t xml:space="preserve"> </w:t>
      </w:r>
      <w:r>
        <w:t xml:space="preserve">The application was filed on [DD.MM.YYYY] (the ARN date, as indicated in RFD-02 under rule 90(2)); the period under section 54(7) and section 56 counts from that date and ends on [DD.MM.YYYY].</w:t>
      </w:r>
    </w:p>
    <w:p>
      <w:pPr>
        <w:pStyle w:val="BodyText"/>
        <w:spacing w:before="0" w:after="120" w:line="269" w:lineRule="auto"/>
        <w:jc w:val="both"/>
      </w:pPr>
      <w:r>
        <w:t xml:space="preserve">[Option A] This order and the payment order in FORM GST RFD-05 are issued on [DD.MM.YYYY], within the sixty days. A refund is made only when the amount is credited to the applicant’s bank account (para 34 of Circular No. 125/44/2019-GST); if the credit takes place after [the date on which the sixty days end], interest under section 56 is payable for the days of delay up to the date of credit, and will be sanctioned by a separate order under rule 94.</w:t>
      </w:r>
    </w:p>
    <w:p>
      <w:pPr>
        <w:pStyle w:val="BodyText"/>
        <w:spacing w:before="0" w:after="120" w:line="269" w:lineRule="auto"/>
        <w:jc w:val="both"/>
      </w:pPr>
      <w:r>
        <w:t xml:space="preserve">[Option B] The sixty days ended on [DD.MM.YYYY], before this order. Under section 56 and rule 94, interest at six per cent per annum (Notification No. 13/2017-Central Tax dated 28.06.2017) is payable on the refund sanctioned from [the day after the sixty days end] until the date on which the amount is credited to the applicant’s bank account (para 34 of Circular No. 125/44/2019-GST). Under rule 94(2), the period beyond fifteen days of receipt of the RFD-08 notice taken by the applicant to reply or to submit documents, i.e. from [DD.MM.YYYY] to [DD.MM.YYYY] ([ ] days), and any period taken to correct or validate the bank account, are excluded. A separate order under rule 94(1), with FORM GST RFD-05, will specify the amount of delayed refund, the period of delay and the interest payable.</w:t>
      </w:r>
    </w:p>
    <w:p>
      <w:pPr>
        <w:pStyle w:val="BodyText"/>
        <w:keepNext/>
        <w:spacing w:before="240" w:after="80"/>
        <w:pBdr>
          <w:bottom w:val="single" w:sz="6" w:space="1" w:color="B4C6E7"/>
        </w:pBdr>
      </w:pPr>
      <w:r>
        <w:rPr>
          <w:bCs/>
          <w:b/>
          <w:color w:val="1F3864"/>
          <w:sz w:val="25"/>
        </w:rPr>
        <w:t xml:space="preserve">10. Conclusion</w:t>
      </w:r>
    </w:p>
    <w:p>
      <w:pPr>
        <w:pStyle w:val="BodyText"/>
        <w:spacing w:before="0" w:after="120" w:line="269" w:lineRule="auto"/>
        <w:jc w:val="both"/>
      </w:pPr>
      <w:r>
        <w:t xml:space="preserve">10.1 In view of the above, I find that the applicant is entitled to refund of ₹[ ] under clause (i) of the first proviso to section 54(3) of the CGST Act and section 16(3) of the IGST Act, read with rule 89(4), and that ₹[ ] is not admissible for the reasons in paras [3, 6, 7 and 8]. The inadmissible amount, having been debited from the electronic credit ledger, is to be re-credited under rule 93(2) on the conditions in para 11.4. Accordingly, I pass the following order.</w:t>
      </w:r>
    </w:p>
    <w:p>
      <w:pPr>
        <w:pStyle w:val="BodyText"/>
        <w:keepNext/>
        <w:spacing w:before="240" w:after="80"/>
        <w:pBdr>
          <w:bottom w:val="single" w:sz="6" w:space="1" w:color="B4C6E7"/>
        </w:pBdr>
        <w:jc w:val="center"/>
      </w:pPr>
      <w:r>
        <w:rPr>
          <w:bCs/>
          <w:b/>
          <w:color w:val="1F3864"/>
          <w:sz w:val="25"/>
        </w:rPr>
        <w:t xml:space="preserve">11. ORDER</w:t>
      </w:r>
    </w:p>
    <w:p>
      <w:pPr>
        <w:pStyle w:val="BodyText"/>
        <w:spacing w:before="0" w:after="120" w:line="269" w:lineRule="auto"/>
        <w:jc w:val="both"/>
      </w:pPr>
      <w:r>
        <w:t xml:space="preserve">11.1 Under section 54(5) of the CGST Act read with rules 92(1) and 92(4), I sanction refund of</w:t>
      </w:r>
      <w:r>
        <w:t xml:space="preserve"> </w:t>
      </w:r>
      <w:r>
        <w:rPr>
          <w:bCs/>
          <w:b/>
        </w:rPr>
        <w:t xml:space="preserve">₹[ ] (Rupees [amount in words] only)</w:t>
      </w:r>
      <w:r>
        <w:t xml:space="preserve"> </w:t>
      </w:r>
      <w:r>
        <w:t xml:space="preserve">to the applicant, payable under section 54(8)(a),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90"/>
        <w:gridCol w:w="1068"/>
        <w:gridCol w:w="1334"/>
        <w:gridCol w:w="1423"/>
        <w:gridCol w:w="1275"/>
        <w:gridCol w:w="1068"/>
        <w:gridCol w:w="1423"/>
        <w:gridCol w:w="1157"/>
      </w:tblGrid>
      <w:tr>
        <w:trPr>
          <w:tblHeader w:val="true"/>
          <w:tblHeader/>
        </w:trPr>
        <w:tc>
          <w:tcPr>
            <w:tcW w:type="dxa" w:w="890"/>
            <w:shd w:val="clear" w:color="auto" w:fill="DCE6F1"/>
          </w:tcPr>
          <w:p>
            <w:pPr>
              <w:pStyle w:val="Compact"/>
              <w:spacing w:before="0" w:after="0" w:line="240" w:lineRule="auto"/>
              <w:jc w:val="left"/>
            </w:pPr>
            <w:r>
              <w:rPr>
                <w:b/>
                <w:color w:val="1F3864"/>
                <w:sz w:val="18"/>
              </w:rPr>
              <w:t xml:space="preserve">Head</w:t>
            </w:r>
          </w:p>
        </w:tc>
        <w:tc>
          <w:tcPr>
            <w:tcW w:type="dxa" w:w="1068"/>
            <w:shd w:val="clear" w:color="auto" w:fill="DCE6F1"/>
          </w:tcPr>
          <w:p>
            <w:pPr>
              <w:pStyle w:val="Compact"/>
              <w:spacing w:before="0" w:after="0" w:line="240" w:lineRule="auto"/>
              <w:jc w:val="left"/>
            </w:pPr>
            <w:r>
              <w:rPr>
                <w:b/>
                <w:color w:val="1F3864"/>
                <w:sz w:val="18"/>
              </w:rPr>
              <w:t xml:space="preserve">Claimed (₹)</w:t>
            </w:r>
          </w:p>
        </w:tc>
        <w:tc>
          <w:tcPr>
            <w:tcW w:type="dxa" w:w="1334"/>
            <w:shd w:val="clear" w:color="auto" w:fill="DCE6F1"/>
          </w:tcPr>
          <w:p>
            <w:pPr>
              <w:pStyle w:val="Compact"/>
              <w:spacing w:before="0" w:after="0" w:line="240" w:lineRule="auto"/>
              <w:jc w:val="left"/>
            </w:pPr>
            <w:r>
              <w:rPr>
                <w:b/>
                <w:color w:val="1F3864"/>
                <w:sz w:val="18"/>
              </w:rPr>
              <w:t xml:space="preserve">Admissible (₹)</w:t>
            </w:r>
          </w:p>
        </w:tc>
        <w:tc>
          <w:tcPr>
            <w:tcW w:type="dxa" w:w="1423"/>
            <w:shd w:val="clear" w:color="auto" w:fill="DCE6F1"/>
          </w:tcPr>
          <w:p>
            <w:pPr>
              <w:pStyle w:val="Compact"/>
              <w:spacing w:before="0" w:after="0" w:line="240" w:lineRule="auto"/>
              <w:jc w:val="left"/>
            </w:pPr>
            <w:r>
              <w:rPr>
                <w:b/>
                <w:color w:val="1F3864"/>
                <w:sz w:val="18"/>
              </w:rPr>
              <w:t xml:space="preserve">Provisional refund paid (RFD-04 dated [ ], RFD-05 dated [ ]) (₹)</w:t>
            </w:r>
          </w:p>
        </w:tc>
        <w:tc>
          <w:tcPr>
            <w:tcW w:type="dxa" w:w="1275"/>
            <w:shd w:val="clear" w:color="auto" w:fill="DCE6F1"/>
          </w:tcPr>
          <w:p>
            <w:pPr>
              <w:pStyle w:val="Compact"/>
              <w:spacing w:before="0" w:after="0" w:line="240" w:lineRule="auto"/>
              <w:jc w:val="left"/>
            </w:pPr>
            <w:r>
              <w:rPr>
                <w:b/>
                <w:color w:val="1F3864"/>
                <w:sz w:val="18"/>
              </w:rPr>
              <w:t xml:space="preserve">Adjusted under section 54(10)(b) in this order / withheld by RFD-07 (₹)</w:t>
            </w:r>
          </w:p>
        </w:tc>
        <w:tc>
          <w:tcPr>
            <w:tcW w:type="dxa" w:w="1068"/>
            <w:shd w:val="clear" w:color="auto" w:fill="DCE6F1"/>
          </w:tcPr>
          <w:p>
            <w:pPr>
              <w:pStyle w:val="Compact"/>
              <w:spacing w:before="0" w:after="0" w:line="240" w:lineRule="auto"/>
              <w:jc w:val="left"/>
            </w:pPr>
            <w:r>
              <w:rPr>
                <w:b/>
                <w:color w:val="1F3864"/>
                <w:sz w:val="18"/>
              </w:rPr>
              <w:t xml:space="preserve">Net payable now by RFD-05 (₹)</w:t>
            </w:r>
          </w:p>
        </w:tc>
        <w:tc>
          <w:tcPr>
            <w:tcW w:type="dxa" w:w="1423"/>
            <w:shd w:val="clear" w:color="auto" w:fill="DCE6F1"/>
          </w:tcPr>
          <w:p>
            <w:pPr>
              <w:pStyle w:val="Compact"/>
              <w:spacing w:before="0" w:after="0" w:line="240" w:lineRule="auto"/>
              <w:jc w:val="left"/>
            </w:pPr>
            <w:r>
              <w:rPr>
                <w:b/>
                <w:color w:val="1F3864"/>
                <w:sz w:val="18"/>
              </w:rPr>
              <w:t xml:space="preserve">Excess provisional refund recoverable (para 11.5A) (₹)</w:t>
            </w:r>
          </w:p>
        </w:tc>
        <w:tc>
          <w:tcPr>
            <w:tcW w:type="dxa" w:w="1157"/>
            <w:shd w:val="clear" w:color="auto" w:fill="DCE6F1"/>
          </w:tcPr>
          <w:p>
            <w:pPr>
              <w:pStyle w:val="Compact"/>
              <w:spacing w:before="0" w:after="0" w:line="240" w:lineRule="auto"/>
              <w:jc w:val="left"/>
            </w:pPr>
            <w:r>
              <w:rPr>
                <w:b/>
                <w:color w:val="1F3864"/>
                <w:sz w:val="18"/>
              </w:rPr>
              <w:t xml:space="preserve">Rejected (₹)</w:t>
            </w:r>
          </w:p>
        </w:tc>
      </w:tr>
      <w:tr>
        <w:tc>
          <w:tcPr>
            <w:tcW w:type="dxa" w:w="890"/>
          </w:tcPr>
          <w:p>
            <w:pPr>
              <w:pStyle w:val="Compact"/>
              <w:spacing w:before="0" w:after="0" w:line="240" w:lineRule="auto"/>
              <w:jc w:val="left"/>
            </w:pPr>
            <w:r>
              <w:rPr>
                <w:sz w:val="18"/>
              </w:rPr>
              <w:t xml:space="preserve">IGST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CGST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SGST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Cess</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shd w:val="clear" w:color="auto" w:fill="F2F2F2"/>
          </w:tcPr>
          <w:p>
            <w:pPr>
              <w:pStyle w:val="Compact"/>
              <w:spacing w:before="0" w:after="0" w:line="240" w:lineRule="auto"/>
              <w:jc w:val="left"/>
            </w:pPr>
            <w:r>
              <w:rPr>
                <w:bCs/>
                <w:b/>
                <w:sz w:val="18"/>
              </w:rPr>
              <w:t xml:space="preserve">Total</w:t>
            </w:r>
          </w:p>
        </w:tc>
        <w:tc>
          <w:tcPr>
            <w:tcW w:type="dxa" w:w="1068"/>
            <w:shd w:val="clear" w:color="auto" w:fill="F2F2F2"/>
          </w:tcPr>
          <w:p>
            <w:pPr>
              <w:pStyle w:val="Compact"/>
              <w:spacing w:before="0" w:after="0" w:line="240" w:lineRule="auto"/>
              <w:jc w:val="left"/>
            </w:pPr>
            <w:r>
              <w:rPr>
                <w:bCs/>
                <w:b/>
                <w:sz w:val="18"/>
              </w:rPr>
              <w:t xml:space="preserve">[ ]</w:t>
            </w:r>
          </w:p>
        </w:tc>
        <w:tc>
          <w:tcPr>
            <w:tcW w:type="dxa" w:w="1334"/>
            <w:shd w:val="clear" w:color="auto" w:fill="F2F2F2"/>
          </w:tcPr>
          <w:p>
            <w:pPr>
              <w:pStyle w:val="Compact"/>
              <w:spacing w:before="0" w:after="0" w:line="240" w:lineRule="auto"/>
              <w:jc w:val="left"/>
            </w:pPr>
            <w:r>
              <w:rPr>
                <w:bCs/>
                <w:b/>
                <w:sz w:val="18"/>
              </w:rPr>
              <w:t xml:space="preserve">[ ]</w:t>
            </w:r>
          </w:p>
        </w:tc>
        <w:tc>
          <w:tcPr>
            <w:tcW w:type="dxa" w:w="1423"/>
            <w:shd w:val="clear" w:color="auto" w:fill="F2F2F2"/>
          </w:tcPr>
          <w:p>
            <w:pPr>
              <w:pStyle w:val="Compact"/>
              <w:spacing w:before="0" w:after="0" w:line="240" w:lineRule="auto"/>
              <w:jc w:val="left"/>
            </w:pPr>
            <w:r>
              <w:rPr>
                <w:bCs/>
                <w:b/>
                <w:sz w:val="18"/>
              </w:rPr>
              <w:t xml:space="preserve">[ ]</w:t>
            </w:r>
          </w:p>
        </w:tc>
        <w:tc>
          <w:tcPr>
            <w:tcW w:type="dxa" w:w="1275"/>
            <w:shd w:val="clear" w:color="auto" w:fill="F2F2F2"/>
          </w:tcPr>
          <w:p>
            <w:pPr>
              <w:pStyle w:val="Compact"/>
              <w:spacing w:before="0" w:after="0" w:line="240" w:lineRule="auto"/>
              <w:jc w:val="left"/>
            </w:pPr>
            <w:r>
              <w:rPr>
                <w:bCs/>
                <w:b/>
                <w:sz w:val="18"/>
              </w:rPr>
              <w:t xml:space="preserve">[ ]</w:t>
            </w:r>
          </w:p>
        </w:tc>
        <w:tc>
          <w:tcPr>
            <w:tcW w:type="dxa" w:w="1068"/>
            <w:shd w:val="clear" w:color="auto" w:fill="F2F2F2"/>
          </w:tcPr>
          <w:p>
            <w:pPr>
              <w:pStyle w:val="Compact"/>
              <w:spacing w:before="0" w:after="0" w:line="240" w:lineRule="auto"/>
              <w:jc w:val="left"/>
            </w:pPr>
            <w:r>
              <w:rPr>
                <w:bCs/>
                <w:b/>
                <w:sz w:val="18"/>
              </w:rPr>
              <w:t xml:space="preserve">[ ]</w:t>
            </w:r>
          </w:p>
        </w:tc>
        <w:tc>
          <w:tcPr>
            <w:tcW w:type="dxa" w:w="1423"/>
            <w:shd w:val="clear" w:color="auto" w:fill="F2F2F2"/>
          </w:tcPr>
          <w:p>
            <w:pPr>
              <w:pStyle w:val="Compact"/>
              <w:spacing w:before="0" w:after="0" w:line="240" w:lineRule="auto"/>
              <w:jc w:val="left"/>
            </w:pPr>
            <w:r>
              <w:rPr>
                <w:bCs/>
                <w:b/>
                <w:sz w:val="18"/>
              </w:rPr>
              <w:t xml:space="preserve">[ ]</w:t>
            </w:r>
          </w:p>
        </w:tc>
        <w:tc>
          <w:tcPr>
            <w:tcW w:type="dxa" w:w="1157"/>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11.2 The net amount of ₹[ ] shall be credited to the applicant’s bank account by payment order in FORM GST RFD-05 (rule 92(4)). [Option: ₹[ ] adjusted under section 54(10)(b) shall be appropriated against [demand ID / order]; ₹[ ] is withheld by RFD-07 Part A as stated in para 9.2.]</w:t>
      </w:r>
    </w:p>
    <w:p>
      <w:pPr>
        <w:pStyle w:val="BodyText"/>
        <w:spacing w:before="0" w:after="120" w:line="269" w:lineRule="auto"/>
        <w:jc w:val="both"/>
      </w:pPr>
      <w:r>
        <w:t xml:space="preserve">11.3 Under rule 92(3), I reject refund of</w:t>
      </w:r>
      <w:r>
        <w:t xml:space="preserve"> </w:t>
      </w:r>
      <w:r>
        <w:rPr>
          <w:bCs/>
          <w:b/>
        </w:rPr>
        <w:t xml:space="preserve">₹[ ] (Rupees [amount in words] only)</w:t>
      </w:r>
      <w:r>
        <w:t xml:space="preserve"> </w:t>
      </w:r>
      <w:r>
        <w:t xml:space="preserve">(IGST ₹[ ], CGST ₹[ ], SGST ₹[ ], Cess ₹[ ]) for the reasons in paras [3, 6, 7 and 8].</w:t>
      </w:r>
    </w:p>
    <w:p>
      <w:pPr>
        <w:pStyle w:val="BodyText"/>
        <w:spacing w:before="0" w:after="120" w:line="269" w:lineRule="auto"/>
        <w:jc w:val="both"/>
      </w:pPr>
      <w:r>
        <w:t xml:space="preserve">11.4 Under rule 93(2), the amount of ₹[ ] (IGST ₹[ ], CGST ₹[ ], SGST ₹[ ], Cess ₹[ ]) rejected in para 11.3, which was debited from the electronic credit ledger, shall be re-credited to that ledger by an order in FORM GST PMT-03, after the applicant gives an undertaking in writing that it will not file an appeal against this order, or, if it files an appeal, after the appeal is finally rejected (Explanation to rule 93; paras 21 and 23 of Circular No. 125/44/2019-GST). If the appeal succeeds, the applicant may file a fresh claim under the category</w:t>
      </w:r>
      <w:r>
        <w:t xml:space="preserve"> </w:t>
      </w:r>
      <w:r>
        <w:t xml:space="preserve">“</w:t>
      </w:r>
      <w:r>
        <w:t xml:space="preserve">on account of assessment / provisional assessment / appeal / any other order</w:t>
      </w:r>
      <w:r>
        <w:t xml:space="preserve">”</w:t>
      </w:r>
      <w:r>
        <w:t xml:space="preserve"> </w:t>
      </w:r>
      <w:r>
        <w:t xml:space="preserve">(para 24 of that Circular).</w:t>
      </w:r>
    </w:p>
    <w:p>
      <w:pPr>
        <w:pStyle w:val="BodyText"/>
        <w:spacing w:before="0" w:after="120" w:line="269" w:lineRule="auto"/>
        <w:jc w:val="both"/>
      </w:pPr>
      <w:r>
        <w:t xml:space="preserve">11.5</w:t>
      </w:r>
      <w:r>
        <w:t xml:space="preserve"> </w:t>
      </w:r>
      <w:r>
        <w:rPr>
          <w:bCs/>
          <w:b/>
        </w:rPr>
        <w:t xml:space="preserve">[Option: only where the RFD-08 notice also proposed recovery of ineligible ITC, with a summary in FORM GST DRC-01 under rule 142(1)]</w:t>
      </w:r>
      <w:r>
        <w:t xml:space="preserve"> </w:t>
      </w:r>
      <w:r>
        <w:t xml:space="preserve">Under section [73 / 74 / 74A] read with section 54, I confirm the demand of input tax credit of ₹[ ] (IGST ₹[ ], CGST ₹[ ], SGST ₹[ ]) wrongly availed, as found in para 8, with interest under section 50 and penalty of ₹[ ] under section [73(9) / 74(9) / 74A(5)]. A summary of this demand shall be issued in FORM GST DRC-07 and entered in the electronic liability register. [If the applicant has paid this amount with interest by DRC-03 No. [ ] dated [ ], record it here and drop the penalty to the extent allowed by section [73(8) / 74(8) / 74A(8) or 74A(9)].] The re-credit in para 11.4 covers the whole rejected amount, including this ITC, as in the example in para 23 of Circular No. 125/44/2019-GST.</w:t>
      </w:r>
    </w:p>
    <w:p>
      <w:pPr>
        <w:pStyle w:val="BlockText"/>
        <w:shd w:val="clear" w:color="auto" w:fill="E7E6E6"/>
      </w:pPr>
      <w:r>
        <w:rPr>
          <w:bCs/>
          <w:b/>
          <w:sz w:val="21"/>
        </w:rPr>
        <w:t xml:space="preserve">Drafting note:</w:t>
      </w:r>
      <w:r>
        <w:rPr>
          <w:sz w:val="21"/>
        </w:rPr>
        <w:t xml:space="preserve"> </w:t>
      </w:r>
      <w:r>
        <w:rPr>
          <w:sz w:val="21"/>
        </w:rPr>
        <w:t xml:space="preserve">keep para 11.5 only where the notice proposed the recovery. Use section 74A for demands relating to financial year 2024-25 onwards, and sections 73/74 for earlier years. If the notice proposed only rejection, delete para 11.5 and, where ITC was found ineligible, refer the matter for separate proceedings in a covering note, not in this order.</w:t>
      </w:r>
    </w:p>
    <w:p>
      <w:pPr>
        <w:pStyle w:val="FirstParagraph"/>
        <w:spacing w:before="0" w:after="120" w:line="269" w:lineRule="auto"/>
        <w:jc w:val="both"/>
      </w:pPr>
      <w:r>
        <w:t xml:space="preserve">11.5A</w:t>
      </w:r>
      <w:r>
        <w:t xml:space="preserve"> </w:t>
      </w:r>
      <w:r>
        <w:rPr>
          <w:bCs/>
          <w:b/>
        </w:rPr>
        <w:t xml:space="preserve">[Option: only where the provisional refund paid exceeds the amount found admissible, and the RFD-08 notice proposed its recovery]</w:t>
      </w:r>
      <w:r>
        <w:t xml:space="preserve"> </w:t>
      </w:r>
      <w:r>
        <w:t xml:space="preserve">The provisional refund of ₹[ ] sanctioned by RFD-04 dated [ ] and paid by RFD-05 dated [ ] exceeds the amount found admissible, ₹[ ], by ₹[ ]. As proposed in the notice in FORM GST RFD-08 dated [ ], with its summary in FORM GST DRC-01 under rule 142(1)(a), issued under section 54 read with section [73 / 74 / 74A] (para 3.4 of Instruction No. 06/2025-GST), I confirm ₹[ ] (IGST ₹[ ], CGST ₹[ ], SGST ₹[ ], Cess ₹[ ]) as refund erroneously paid, recoverable from the applicant with interest under section 50 [and penalty of ₹[ ] under section [73(9) / 74(9) / 74A(5)]]. A summary shall be issued in FORM GST DRC-07. No amount is payable to the applicant under this order.</w:t>
      </w:r>
    </w:p>
    <w:p>
      <w:pPr>
        <w:pStyle w:val="BlockText"/>
        <w:shd w:val="clear" w:color="auto" w:fill="E7E6E6"/>
      </w:pPr>
      <w:r>
        <w:rPr>
          <w:bCs/>
          <w:b/>
          <w:sz w:val="21"/>
        </w:rPr>
        <w:t xml:space="preserve">Drafting note (recovery):</w:t>
      </w:r>
      <w:r>
        <w:rPr>
          <w:sz w:val="21"/>
        </w:rPr>
        <w:t xml:space="preserve"> </w:t>
      </w:r>
      <w:r>
        <w:rPr>
          <w:sz w:val="21"/>
        </w:rPr>
        <w:t xml:space="preserve">provisional refunds under Instruction 06/2025-GST are paid only on applications filed on or after 01.10.2025, so section 74A will ordinarily apply (section 74A(12): tax pertaining to financial year 2024-25 onwards). Its notice limit for an erroneous refund is forty-two months from the date of the refund (section 74A(2)). If the applicant paid the excess with interest within sixty days of the notice, no penalty is imposed and the proceedings are concluded (section 74A(8)(ii)): record the DRC-03 and delete the penalty.</w:t>
      </w:r>
    </w:p>
    <w:p>
      <w:pPr>
        <w:pStyle w:val="FirstParagraph"/>
        <w:spacing w:before="0" w:after="120" w:line="269" w:lineRule="auto"/>
        <w:jc w:val="both"/>
      </w:pPr>
      <w:r>
        <w:t xml:space="preserve">11.6 [Option: Interest under section 56 on the delayed refund shall be paid by a separate order under rule 94, as stated in para 9.5.]</w:t>
      </w:r>
    </w:p>
    <w:p>
      <w:pPr>
        <w:pStyle w:val="BlockText"/>
        <w:shd w:val="clear" w:color="auto" w:fill="E7E6E6"/>
      </w:pPr>
      <w:r>
        <w:rPr>
          <w:bCs/>
          <w:b/>
          <w:sz w:val="21"/>
        </w:rPr>
        <w:t xml:space="preserve">Drafting note: final check before signing.</w:t>
      </w:r>
      <w:r>
        <w:rPr>
          <w:sz w:val="21"/>
        </w:rPr>
        <w:t xml:space="preserve"> </w:t>
      </w:r>
      <w:r>
        <w:rPr>
          <w:sz w:val="21"/>
        </w:rPr>
        <w:t xml:space="preserve">(1) The admissible amount in the computation, the head-wise table in para 11, the figures in the ORDER and the amount in words all agree. (2) Under every tax head, admissible + rejected = amount claimed, and admissible = provisional refund paid (if any) + amount adjusted or withheld + net amount now payable − excess provisional refund recoverable; where there is an excess, the adjusted and net payable columns are nil. (3) The amount re-credited by PMT-03 equals the amount rejected that was debited from the credit ledger, head-wise. (4) Every ground in the RFD-08 notice has a finding. (5) No bracket, blank date, drafting note or another case’s figures remain. (6) Figures are rounded to the nearest rupee (section 170). (7) Paragraph numbers run in order.</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applicant]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(by name to the Assistant Commissioner (Review – Refunds), Headquarters), for review under section 107(2).</w:t>
      </w:r>
    </w:p>
    <w:p>
      <w:pPr>
        <w:numPr>
          <w:ilvl w:val="0"/>
          <w:numId w:val="1002"/>
        </w:numPr>
        <w:pStyle w:val="Compact"/>
        <w:spacing w:before="0" w:after="120" w:line="269" w:lineRule="auto"/>
      </w:pPr>
      <w:r>
        <w:t xml:space="preserve">The Assistant / Deputy Commissioner (Post-Audit), Medchal CGST Commissionerate, for post-audit of refund orders.</w:t>
      </w:r>
    </w:p>
    <w:p>
      <w:pPr>
        <w:numPr>
          <w:ilvl w:val="0"/>
          <w:numId w:val="1002"/>
        </w:numPr>
        <w:pStyle w:val="Compact"/>
        <w:spacing w:before="0" w:after="120" w:line="269" w:lineRule="auto"/>
      </w:pPr>
      <w:r>
        <w:t xml:space="preserve">The Superintendent, [Range], Sangareddy CGST Division, for information and for updating the refund register.</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for the drafting officer (delete before signing): worked example with hypothetical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800"/>
        <w:gridCol w:w="6436"/>
        <w:gridCol w:w="1402"/>
      </w:tblGrid>
      <w:tr>
        <w:trPr>
          <w:tblHeader w:val="true"/>
          <w:tblHeader/>
        </w:trPr>
        <w:tc>
          <w:tcPr>
            <w:tcW w:type="dxa" w:w="1800"/>
            <w:shd w:val="clear" w:color="auto" w:fill="DCE6F1"/>
          </w:tcPr>
          <w:p>
            <w:pPr>
              <w:pStyle w:val="Compact"/>
              <w:spacing w:before="0" w:after="0" w:line="240" w:lineRule="auto"/>
              <w:jc w:val="left"/>
            </w:pPr>
            <w:r>
              <w:rPr>
                <w:b/>
                <w:color w:val="1F3864"/>
                <w:sz w:val="21"/>
              </w:rPr>
              <w:t xml:space="preserve">Step</w:t>
            </w:r>
          </w:p>
        </w:tc>
        <w:tc>
          <w:tcPr>
            <w:tcW w:type="dxa" w:w="6436"/>
            <w:shd w:val="clear" w:color="auto" w:fill="DCE6F1"/>
          </w:tcPr>
          <w:p>
            <w:pPr>
              <w:pStyle w:val="Compact"/>
              <w:spacing w:before="0" w:after="0" w:line="240" w:lineRule="auto"/>
              <w:jc w:val="left"/>
            </w:pPr>
            <w:r>
              <w:rPr>
                <w:b/>
                <w:color w:val="1F3864"/>
                <w:sz w:val="21"/>
              </w:rPr>
              <w:t xml:space="preserve">Working</w:t>
            </w:r>
          </w:p>
        </w:tc>
        <w:tc>
          <w:tcPr>
            <w:tcW w:type="dxa" w:w="1402"/>
            <w:shd w:val="clear" w:color="auto" w:fill="DCE6F1"/>
          </w:tcPr>
          <w:p>
            <w:pPr>
              <w:pStyle w:val="Compact"/>
              <w:spacing w:before="0" w:after="0" w:line="240" w:lineRule="auto"/>
              <w:jc w:val="left"/>
            </w:pPr>
            <w:r>
              <w:rPr>
                <w:b/>
                <w:color w:val="1F3864"/>
                <w:sz w:val="21"/>
              </w:rPr>
              <w:t xml:space="preserve">Amount (₹)</w:t>
            </w:r>
          </w:p>
        </w:tc>
      </w:tr>
      <w:tr>
        <w:tc>
          <w:tcPr>
            <w:tcW w:type="dxa" w:w="1800"/>
          </w:tcPr>
          <w:p>
            <w:pPr>
              <w:pStyle w:val="Compact"/>
              <w:spacing w:before="0" w:after="0" w:line="240" w:lineRule="auto"/>
              <w:jc w:val="left"/>
            </w:pPr>
            <w:r>
              <w:rPr>
                <w:sz w:val="21"/>
              </w:rPr>
              <w:t xml:space="preserve">(a) All payments received</w:t>
            </w:r>
          </w:p>
        </w:tc>
        <w:tc>
          <w:tcPr>
            <w:tcW w:type="dxa" w:w="6436"/>
          </w:tcPr>
          <w:p>
            <w:pPr>
              <w:pStyle w:val="Compact"/>
              <w:spacing w:before="0" w:after="0" w:line="240" w:lineRule="auto"/>
              <w:jc w:val="left"/>
            </w:pPr>
            <w:r>
              <w:rPr>
                <w:sz w:val="21"/>
              </w:rPr>
              <w:t xml:space="preserve">Including an advance of 2,00,000 for work not completed</w:t>
            </w:r>
          </w:p>
        </w:tc>
        <w:tc>
          <w:tcPr>
            <w:tcW w:type="dxa" w:w="1402"/>
          </w:tcPr>
          <w:p>
            <w:pPr>
              <w:pStyle w:val="Compact"/>
              <w:spacing w:before="0" w:after="0" w:line="240" w:lineRule="auto"/>
              <w:jc w:val="left"/>
            </w:pPr>
            <w:r>
              <w:rPr>
                <w:sz w:val="21"/>
              </w:rPr>
              <w:t xml:space="preserve">12,00,000</w:t>
            </w:r>
          </w:p>
        </w:tc>
      </w:tr>
      <w:tr>
        <w:tc>
          <w:tcPr>
            <w:tcW w:type="dxa" w:w="1800"/>
          </w:tcPr>
          <w:p>
            <w:pPr>
              <w:pStyle w:val="Compact"/>
              <w:spacing w:before="0" w:after="0" w:line="240" w:lineRule="auto"/>
              <w:jc w:val="left"/>
            </w:pPr>
            <w:r>
              <w:rPr>
                <w:sz w:val="21"/>
              </w:rPr>
              <w:t xml:space="preserve">(b) Add</w:t>
            </w:r>
          </w:p>
        </w:tc>
        <w:tc>
          <w:tcPr>
            <w:tcW w:type="dxa" w:w="6436"/>
          </w:tcPr>
          <w:p>
            <w:pPr>
              <w:pStyle w:val="Compact"/>
              <w:spacing w:before="0" w:after="0" w:line="240" w:lineRule="auto"/>
              <w:jc w:val="left"/>
            </w:pPr>
            <w:r>
              <w:rPr>
                <w:sz w:val="21"/>
              </w:rPr>
              <w:t xml:space="preserve">Services completed in the period against advances of earlier periods</w:t>
            </w:r>
          </w:p>
        </w:tc>
        <w:tc>
          <w:tcPr>
            <w:tcW w:type="dxa" w:w="1402"/>
          </w:tcPr>
          <w:p>
            <w:pPr>
              <w:pStyle w:val="Compact"/>
              <w:spacing w:before="0" w:after="0" w:line="240" w:lineRule="auto"/>
              <w:jc w:val="left"/>
            </w:pPr>
            <w:r>
              <w:rPr>
                <w:sz w:val="21"/>
              </w:rPr>
              <w:t xml:space="preserve">3,00,000</w:t>
            </w:r>
          </w:p>
        </w:tc>
      </w:tr>
      <w:tr>
        <w:tc>
          <w:tcPr>
            <w:tcW w:type="dxa" w:w="1800"/>
          </w:tcPr>
          <w:p>
            <w:pPr>
              <w:pStyle w:val="Compact"/>
              <w:spacing w:before="0" w:after="0" w:line="240" w:lineRule="auto"/>
              <w:jc w:val="left"/>
            </w:pPr>
            <w:r>
              <w:rPr>
                <w:sz w:val="21"/>
              </w:rPr>
              <w:t xml:space="preserve">(c) Less</w:t>
            </w:r>
          </w:p>
        </w:tc>
        <w:tc>
          <w:tcPr>
            <w:tcW w:type="dxa" w:w="6436"/>
          </w:tcPr>
          <w:p>
            <w:pPr>
              <w:pStyle w:val="Compact"/>
              <w:spacing w:before="0" w:after="0" w:line="240" w:lineRule="auto"/>
              <w:jc w:val="left"/>
            </w:pPr>
            <w:r>
              <w:rPr>
                <w:sz w:val="21"/>
              </w:rPr>
              <w:t xml:space="preserve">Advances received for services not completed in the period</w:t>
            </w:r>
          </w:p>
        </w:tc>
        <w:tc>
          <w:tcPr>
            <w:tcW w:type="dxa" w:w="1402"/>
          </w:tcPr>
          <w:p>
            <w:pPr>
              <w:pStyle w:val="Compact"/>
              <w:spacing w:before="0" w:after="0" w:line="240" w:lineRule="auto"/>
              <w:jc w:val="left"/>
            </w:pPr>
            <w:r>
              <w:rPr>
                <w:sz w:val="21"/>
              </w:rPr>
              <w:t xml:space="preserve">2,00,000</w:t>
            </w:r>
          </w:p>
        </w:tc>
      </w:tr>
      <w:tr>
        <w:tc>
          <w:tcPr>
            <w:tcW w:type="dxa" w:w="1800"/>
          </w:tcPr>
          <w:p>
            <w:pPr>
              <w:pStyle w:val="Compact"/>
              <w:spacing w:before="0" w:after="0" w:line="240" w:lineRule="auto"/>
              <w:jc w:val="left"/>
            </w:pPr>
            <w:r>
              <w:rPr>
                <w:sz w:val="21"/>
              </w:rPr>
              <w:t xml:space="preserve">Turnover of zero-rated services</w:t>
            </w:r>
          </w:p>
        </w:tc>
        <w:tc>
          <w:tcPr>
            <w:tcW w:type="dxa" w:w="6436"/>
          </w:tcPr>
          <w:p>
            <w:pPr>
              <w:pStyle w:val="Compact"/>
              <w:spacing w:before="0" w:after="0" w:line="240" w:lineRule="auto"/>
              <w:jc w:val="left"/>
            </w:pPr>
            <w:r>
              <w:rPr>
                <w:sz w:val="21"/>
              </w:rPr>
              <w:t xml:space="preserve">(a) + (b) − (c) (rule 89(4)(D))</w:t>
            </w:r>
          </w:p>
        </w:tc>
        <w:tc>
          <w:tcPr>
            <w:tcW w:type="dxa" w:w="1402"/>
          </w:tcPr>
          <w:p>
            <w:pPr>
              <w:pStyle w:val="Compact"/>
              <w:spacing w:before="0" w:after="0" w:line="240" w:lineRule="auto"/>
              <w:jc w:val="left"/>
            </w:pPr>
            <w:r>
              <w:rPr>
                <w:sz w:val="21"/>
              </w:rPr>
              <w:t xml:space="preserve">13,00,000</w:t>
            </w:r>
          </w:p>
        </w:tc>
      </w:tr>
      <w:tr>
        <w:tc>
          <w:tcPr>
            <w:tcW w:type="dxa" w:w="1800"/>
          </w:tcPr>
          <w:p>
            <w:pPr>
              <w:pStyle w:val="Compact"/>
              <w:spacing w:before="0" w:after="0" w:line="240" w:lineRule="auto"/>
              <w:jc w:val="left"/>
            </w:pPr>
            <w:r>
              <w:rPr>
                <w:sz w:val="21"/>
              </w:rPr>
              <w:t xml:space="preserve">Adjusted Total Turnover</w:t>
            </w:r>
          </w:p>
        </w:tc>
        <w:tc>
          <w:tcPr>
            <w:tcW w:type="dxa" w:w="6436"/>
          </w:tcPr>
          <w:p>
            <w:pPr>
              <w:pStyle w:val="Compact"/>
              <w:spacing w:before="0" w:after="0" w:line="240" w:lineRule="auto"/>
              <w:jc w:val="left"/>
            </w:pPr>
            <w:r>
              <w:rPr>
                <w:sz w:val="21"/>
              </w:rPr>
              <w:t xml:space="preserve">13,00,000 + domestic taxable services 7,00,000</w:t>
            </w:r>
          </w:p>
        </w:tc>
        <w:tc>
          <w:tcPr>
            <w:tcW w:type="dxa" w:w="1402"/>
          </w:tcPr>
          <w:p>
            <w:pPr>
              <w:pStyle w:val="Compact"/>
              <w:spacing w:before="0" w:after="0" w:line="240" w:lineRule="auto"/>
              <w:jc w:val="left"/>
            </w:pPr>
            <w:r>
              <w:rPr>
                <w:sz w:val="21"/>
              </w:rPr>
              <w:t xml:space="preserve">20,00,000</w:t>
            </w:r>
          </w:p>
        </w:tc>
      </w:tr>
      <w:tr>
        <w:tc>
          <w:tcPr>
            <w:tcW w:type="dxa" w:w="1800"/>
          </w:tcPr>
          <w:p>
            <w:pPr>
              <w:pStyle w:val="Compact"/>
              <w:spacing w:before="0" w:after="0" w:line="240" w:lineRule="auto"/>
              <w:jc w:val="left"/>
            </w:pPr>
            <w:r>
              <w:rPr>
                <w:sz w:val="21"/>
              </w:rPr>
              <w:t xml:space="preserve">Formula</w:t>
            </w:r>
          </w:p>
        </w:tc>
        <w:tc>
          <w:tcPr>
            <w:tcW w:type="dxa" w:w="6436"/>
          </w:tcPr>
          <w:p>
            <w:pPr>
              <w:pStyle w:val="Compact"/>
              <w:spacing w:before="0" w:after="0" w:line="240" w:lineRule="auto"/>
              <w:jc w:val="left"/>
            </w:pPr>
            <w:r>
              <w:rPr>
                <w:sz w:val="21"/>
              </w:rPr>
              <w:t xml:space="preserve">13,00,000 × Net ITC 2,40,000 ÷ 20,00,000</w:t>
            </w:r>
          </w:p>
        </w:tc>
        <w:tc>
          <w:tcPr>
            <w:tcW w:type="dxa" w:w="1402"/>
          </w:tcPr>
          <w:p>
            <w:pPr>
              <w:pStyle w:val="Compact"/>
              <w:spacing w:before="0" w:after="0" w:line="240" w:lineRule="auto"/>
              <w:jc w:val="left"/>
            </w:pPr>
            <w:r>
              <w:rPr>
                <w:sz w:val="21"/>
              </w:rPr>
              <w:t xml:space="preserve">1,56,000</w:t>
            </w:r>
          </w:p>
        </w:tc>
      </w:tr>
      <w:tr>
        <w:tc>
          <w:tcPr>
            <w:tcW w:type="dxa" w:w="1800"/>
          </w:tcPr>
          <w:p>
            <w:pPr>
              <w:pStyle w:val="Compact"/>
              <w:spacing w:before="0" w:after="0" w:line="240" w:lineRule="auto"/>
              <w:jc w:val="left"/>
            </w:pPr>
            <w:r>
              <w:rPr>
                <w:sz w:val="21"/>
              </w:rPr>
              <w:t xml:space="preserve">Rejected</w:t>
            </w:r>
          </w:p>
        </w:tc>
        <w:tc>
          <w:tcPr>
            <w:tcW w:type="dxa" w:w="6436"/>
          </w:tcPr>
          <w:p>
            <w:pPr>
              <w:pStyle w:val="Compact"/>
              <w:spacing w:before="0" w:after="0" w:line="240" w:lineRule="auto"/>
              <w:jc w:val="left"/>
            </w:pPr>
            <w:r>
              <w:rPr>
                <w:sz w:val="21"/>
              </w:rPr>
              <w:t xml:space="preserve">Claimed 1,60,000 − 1,56,000 (excluding advances from (a) as well would give 1,46,667, ₹9,333 short)</w:t>
            </w:r>
          </w:p>
        </w:tc>
        <w:tc>
          <w:tcPr>
            <w:tcW w:type="dxa" w:w="1402"/>
          </w:tcPr>
          <w:p>
            <w:pPr>
              <w:pStyle w:val="Compact"/>
              <w:spacing w:before="0" w:after="0" w:line="240" w:lineRule="auto"/>
              <w:jc w:val="left"/>
            </w:pPr>
            <w:r>
              <w:rPr>
                <w:sz w:val="21"/>
              </w:rPr>
              <w:t xml:space="preserve">4,000</w:t>
            </w:r>
          </w:p>
        </w:tc>
      </w:tr>
    </w:tbl>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the order is signed. Do not leave any bracket, blank date or drafting note in the issued order.</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T3: Refund of unutilised ITC on export of services without payment of tax (under LUT)</dc:title>
  <dc:creator>Sangareddy CGST Division</dc:creator>
  <cp:keywords/>
  <dcterms:created xsi:type="dcterms:W3CDTF">2026-10-12T14:52:40Z</dcterms:created>
  <dcterms:modified xsi:type="dcterms:W3CDTF">2026-10-12T14:52:40Z</dcterms:modified>
</cp:coreProperties>
</file>

<file path=docProps/custom.xml><?xml version="1.0" encoding="utf-8"?>
<Properties xmlns="http://schemas.openxmlformats.org/officeDocument/2006/custom-properties" xmlns:vt="http://schemas.openxmlformats.org/officeDocument/2006/docPropsVTypes"/>
</file>