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BodyText"/>
        <w:spacing w:before="80" w:after="200" w:line="264" w:lineRule="auto"/>
        <w:jc w:val="center"/>
        <w:pBdr>
          <w:top w:val="single" w:sz="8" w:space="4" w:color="1F3864"/>
          <w:left w:val="single" w:sz="8" w:space="4" w:color="1F3864"/>
          <w:bottom w:val="single" w:sz="8" w:space="4" w:color="1F3864"/>
          <w:right w:val="single" w:sz="8" w:space="4" w:color="1F3864"/>
        </w:pBdr>
        <w:shd w:val="clear" w:color="auto" w:fill="EEF2F8"/>
      </w:pPr>
      <w:r>
        <w:rPr>
          <w:bCs/>
          <w:b/>
          <w:color w:val="1F3864"/>
        </w:rPr>
        <w:t xml:space="preserve">FORM GST RFD-06 [See rules 92(1), 92(3), 92(4), 92(5) and 96(7)]</w:t>
      </w:r>
      <w:r>
        <w:rPr>
          <w:color w:val="1F3864"/>
        </w:rPr>
        <w:br/>
      </w:r>
      <w:r>
        <w:rPr>
          <w:bCs/>
          <w:b/>
          <w:color w:val="1F3864"/>
        </w:rPr>
        <w:t xml:space="preserve">SPEAKING ORDER ANNEXED TO THE REFUND SANCTION / REJECTION ORDER</w:t>
      </w:r>
      <w:r>
        <w:rPr>
          <w:color w:val="1F3864"/>
        </w:rPr>
        <w:br/>
      </w:r>
      <w:r>
        <w:rPr>
          <w:bCs/>
          <w:b/>
          <w:color w:val="1F3864"/>
        </w:rPr>
        <w:t xml:space="preserve">REFUND OF UNUTILISED INPUT TAX CREDIT ON SUPPLIES MADE TO A SPECIAL ECONOMIC ZONE UNIT / DEVELOPER WITHOUT PAYMENT OF TAX UNDER LETTER OF UNDERTAKING [SECTION 54(3)(i) OF THE CGST ACT READ WITH SECTIONS 16(1)(b) AND 16(3) OF THE IGST ACT]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471"/>
        <w:gridCol w:w="7167"/>
      </w:tblGrid>
      <w:tr>
        <w:trPr>
          <w:tblHeader w:val="true"/>
          <w:tblHeader/>
        </w:trPr>
        <w:tc>
          <w:tcPr>
            <w:tcW w:type="dxa" w:w="2471"/>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167"/>
            <w:shd w:val="clear" w:color="auto" w:fill="DCE6F1"/>
          </w:tcPr>
          <w:p>
            <w:pPr>
              <w:pStyle w:val="Compact"/>
              <w:spacing w:before="0" w:after="0" w:line="240" w:lineRule="auto"/>
              <w:jc w:val="left"/>
            </w:pPr>
            <w:r>
              <w:rPr>
                <w:b/>
                <w:color w:val="1F3864"/>
                <w:sz w:val="21"/>
              </w:rPr>
              <w:t xml:space="preserve">Details</w:t>
            </w:r>
          </w:p>
        </w:tc>
      </w:tr>
      <w:tr>
        <w:tc>
          <w:tcPr>
            <w:tcW w:type="dxa" w:w="2471"/>
            <w:shd w:val="clear" w:color="auto" w:fill="F5F8FC"/>
          </w:tcPr>
          <w:p>
            <w:pPr>
              <w:pStyle w:val="Compact"/>
              <w:spacing w:before="0" w:after="0" w:line="240" w:lineRule="auto"/>
              <w:jc w:val="left"/>
            </w:pPr>
            <w:r>
              <w:rPr>
                <w:b/>
                <w:sz w:val="21"/>
              </w:rPr>
              <w:t xml:space="preserve">Order No. and date</w:t>
            </w:r>
          </w:p>
        </w:tc>
        <w:tc>
          <w:tcPr>
            <w:tcW w:type="dxa" w:w="7167"/>
          </w:tcPr>
          <w:p>
            <w:pPr>
              <w:pStyle w:val="Compact"/>
              <w:spacing w:before="0" w:after="0" w:line="240" w:lineRule="auto"/>
              <w:jc w:val="left"/>
            </w:pPr>
            <w:r>
              <w:rPr>
                <w:sz w:val="21"/>
              </w:rPr>
              <w:t xml:space="preserve">[Order No.] dated [DD.MM.YYYY]</w:t>
            </w:r>
          </w:p>
        </w:tc>
      </w:tr>
      <w:tr>
        <w:tc>
          <w:tcPr>
            <w:tcW w:type="dxa" w:w="2471"/>
            <w:shd w:val="clear" w:color="auto" w:fill="F5F8FC"/>
          </w:tcPr>
          <w:p>
            <w:pPr>
              <w:pStyle w:val="Compact"/>
              <w:spacing w:before="0" w:after="0" w:line="240" w:lineRule="auto"/>
              <w:jc w:val="left"/>
            </w:pPr>
            <w:r>
              <w:rPr>
                <w:b/>
                <w:sz w:val="21"/>
              </w:rPr>
              <w:t xml:space="preserve">Reference No. (RFN) / DIN</w:t>
            </w:r>
          </w:p>
        </w:tc>
        <w:tc>
          <w:tcPr>
            <w:tcW w:type="dxa" w:w="7167"/>
          </w:tcPr>
          <w:p>
            <w:pPr>
              <w:pStyle w:val="Compact"/>
              <w:spacing w:before="0" w:after="0" w:line="240" w:lineRule="auto"/>
              <w:jc w:val="left"/>
            </w:pPr>
            <w:r>
              <w:rPr>
                <w:sz w:val="21"/>
              </w:rPr>
              <w:t xml:space="preserve">RFN [ ] generated on the common portal. [A DIN is not required on a communication served through the portal that bears an RFN (Circular No. 249/06/2025-GST); quote a DIN on any copy sent outside the portal, such as by e-mail.]</w:t>
            </w:r>
          </w:p>
        </w:tc>
      </w:tr>
      <w:tr>
        <w:tc>
          <w:tcPr>
            <w:tcW w:type="dxa" w:w="2471"/>
            <w:shd w:val="clear" w:color="auto" w:fill="F5F8FC"/>
          </w:tcPr>
          <w:p>
            <w:pPr>
              <w:pStyle w:val="Compact"/>
              <w:spacing w:before="0" w:after="0" w:line="240" w:lineRule="auto"/>
              <w:jc w:val="left"/>
            </w:pPr>
            <w:r>
              <w:rPr>
                <w:b/>
                <w:sz w:val="21"/>
              </w:rPr>
              <w:t xml:space="preserve">Name and address of the applicant</w:t>
            </w:r>
          </w:p>
        </w:tc>
        <w:tc>
          <w:tcPr>
            <w:tcW w:type="dxa" w:w="7167"/>
          </w:tcPr>
          <w:p>
            <w:pPr>
              <w:pStyle w:val="Compact"/>
              <w:spacing w:before="0" w:after="0" w:line="240" w:lineRule="auto"/>
              <w:jc w:val="left"/>
            </w:pPr>
            <w:r>
              <w:rPr>
                <w:sz w:val="21"/>
              </w:rPr>
              <w:t xml:space="preserve">[Legal name] ([trade name]), [principal place of business]</w:t>
            </w:r>
          </w:p>
        </w:tc>
      </w:tr>
      <w:tr>
        <w:tc>
          <w:tcPr>
            <w:tcW w:type="dxa" w:w="2471"/>
            <w:shd w:val="clear" w:color="auto" w:fill="F5F8FC"/>
          </w:tcPr>
          <w:p>
            <w:pPr>
              <w:pStyle w:val="Compact"/>
              <w:spacing w:before="0" w:after="0" w:line="240" w:lineRule="auto"/>
              <w:jc w:val="left"/>
            </w:pPr>
            <w:r>
              <w:rPr>
                <w:b/>
                <w:sz w:val="21"/>
              </w:rPr>
              <w:t xml:space="preserve">GSTIN</w:t>
            </w:r>
          </w:p>
        </w:tc>
        <w:tc>
          <w:tcPr>
            <w:tcW w:type="dxa" w:w="7167"/>
          </w:tcPr>
          <w:p>
            <w:pPr>
              <w:pStyle w:val="Compact"/>
              <w:spacing w:before="0" w:after="0" w:line="240" w:lineRule="auto"/>
              <w:jc w:val="left"/>
            </w:pPr>
            <w:r>
              <w:rPr>
                <w:sz w:val="21"/>
              </w:rPr>
              <w:t xml:space="preserve">[GSTIN]</w:t>
            </w:r>
          </w:p>
        </w:tc>
      </w:tr>
      <w:tr>
        <w:tc>
          <w:tcPr>
            <w:tcW w:type="dxa" w:w="2471"/>
            <w:shd w:val="clear" w:color="auto" w:fill="F5F8FC"/>
          </w:tcPr>
          <w:p>
            <w:pPr>
              <w:pStyle w:val="Compact"/>
              <w:spacing w:before="0" w:after="0" w:line="240" w:lineRule="auto"/>
              <w:jc w:val="left"/>
            </w:pPr>
            <w:r>
              <w:rPr>
                <w:b/>
                <w:sz w:val="21"/>
              </w:rPr>
              <w:t xml:space="preserve">Refund category as selected in RFD-01</w:t>
            </w:r>
          </w:p>
        </w:tc>
        <w:tc>
          <w:tcPr>
            <w:tcW w:type="dxa" w:w="7167"/>
          </w:tcPr>
          <w:p>
            <w:pPr>
              <w:pStyle w:val="Compact"/>
              <w:spacing w:before="0" w:after="0" w:line="240" w:lineRule="auto"/>
              <w:jc w:val="left"/>
            </w:pPr>
            <w:r>
              <w:rPr>
                <w:sz w:val="21"/>
              </w:rPr>
              <w:t xml:space="preserve">On account of supplies made to SEZ unit / SEZ developer (without payment of tax)</w:t>
            </w:r>
          </w:p>
        </w:tc>
      </w:tr>
      <w:tr>
        <w:tc>
          <w:tcPr>
            <w:tcW w:type="dxa" w:w="2471"/>
            <w:shd w:val="clear" w:color="auto" w:fill="F5F8FC"/>
          </w:tcPr>
          <w:p>
            <w:pPr>
              <w:pStyle w:val="Compact"/>
              <w:spacing w:before="0" w:after="0" w:line="240" w:lineRule="auto"/>
              <w:jc w:val="left"/>
            </w:pPr>
            <w:r>
              <w:rPr>
                <w:b/>
                <w:sz w:val="21"/>
              </w:rPr>
              <w:t xml:space="preserve">Tax period(s)</w:t>
            </w:r>
          </w:p>
        </w:tc>
        <w:tc>
          <w:tcPr>
            <w:tcW w:type="dxa" w:w="7167"/>
          </w:tcPr>
          <w:p>
            <w:pPr>
              <w:pStyle w:val="Compact"/>
              <w:spacing w:before="0" w:after="0" w:line="240" w:lineRule="auto"/>
              <w:jc w:val="left"/>
            </w:pPr>
            <w:r>
              <w:rPr>
                <w:sz w:val="21"/>
              </w:rPr>
              <w:t xml:space="preserve">[Month YYYY] to [Month YYYY]</w:t>
            </w:r>
          </w:p>
        </w:tc>
      </w:tr>
      <w:tr>
        <w:tc>
          <w:tcPr>
            <w:tcW w:type="dxa" w:w="2471"/>
            <w:shd w:val="clear" w:color="auto" w:fill="F5F8FC"/>
          </w:tcPr>
          <w:p>
            <w:pPr>
              <w:pStyle w:val="Compact"/>
              <w:spacing w:before="0" w:after="0" w:line="240" w:lineRule="auto"/>
              <w:jc w:val="left"/>
            </w:pPr>
            <w:r>
              <w:rPr>
                <w:b/>
                <w:sz w:val="21"/>
              </w:rPr>
              <w:t xml:space="preserve">ARN and date of filing of RFD-01</w:t>
            </w:r>
          </w:p>
        </w:tc>
        <w:tc>
          <w:tcPr>
            <w:tcW w:type="dxa" w:w="7167"/>
          </w:tcPr>
          <w:p>
            <w:pPr>
              <w:pStyle w:val="Compact"/>
              <w:spacing w:before="0" w:after="0" w:line="240" w:lineRule="auto"/>
              <w:jc w:val="left"/>
            </w:pPr>
            <w:r>
              <w:rPr>
                <w:sz w:val="21"/>
              </w:rPr>
              <w:t xml:space="preserve">[ARN] dated [DD.MM.YYYY]</w:t>
            </w:r>
          </w:p>
        </w:tc>
      </w:tr>
      <w:tr>
        <w:tc>
          <w:tcPr>
            <w:tcW w:type="dxa" w:w="2471"/>
            <w:shd w:val="clear" w:color="auto" w:fill="F5F8FC"/>
          </w:tcPr>
          <w:p>
            <w:pPr>
              <w:pStyle w:val="Compact"/>
              <w:spacing w:before="0" w:after="0" w:line="240" w:lineRule="auto"/>
              <w:jc w:val="left"/>
            </w:pPr>
            <w:r>
              <w:rPr>
                <w:b/>
                <w:sz w:val="21"/>
              </w:rPr>
              <w:t xml:space="preserve">Acknowledgement (RFD-02)</w:t>
            </w:r>
          </w:p>
        </w:tc>
        <w:tc>
          <w:tcPr>
            <w:tcW w:type="dxa" w:w="7167"/>
          </w:tcPr>
          <w:p>
            <w:pPr>
              <w:pStyle w:val="Compact"/>
              <w:spacing w:before="0" w:after="0" w:line="240" w:lineRule="auto"/>
              <w:jc w:val="left"/>
            </w:pPr>
            <w:r>
              <w:rPr>
                <w:sz w:val="21"/>
              </w:rPr>
              <w:t xml:space="preserve">Issued on [DD.MM.YYYY] [Option: after deficiency memo RFD-03 dated [DD.MM.YYYY] on the earlier ARN [ARN] dated [DD.MM.YYYY]]</w:t>
            </w:r>
          </w:p>
        </w:tc>
      </w:tr>
      <w:tr>
        <w:tc>
          <w:tcPr>
            <w:tcW w:type="dxa" w:w="2471"/>
            <w:shd w:val="clear" w:color="auto" w:fill="F5F8FC"/>
          </w:tcPr>
          <w:p>
            <w:pPr>
              <w:pStyle w:val="Compact"/>
              <w:spacing w:before="0" w:after="0" w:line="240" w:lineRule="auto"/>
              <w:jc w:val="left"/>
            </w:pPr>
            <w:r>
              <w:rPr>
                <w:b/>
                <w:sz w:val="21"/>
              </w:rPr>
              <w:t xml:space="preserve">Date of receipt of the application for section 54(7) and section 56</w:t>
            </w:r>
          </w:p>
        </w:tc>
        <w:tc>
          <w:tcPr>
            <w:tcW w:type="dxa" w:w="7167"/>
          </w:tcPr>
          <w:p>
            <w:pPr>
              <w:pStyle w:val="Compact"/>
              <w:spacing w:before="0" w:after="0" w:line="240" w:lineRule="auto"/>
              <w:jc w:val="left"/>
            </w:pPr>
            <w:r>
              <w:rPr>
                <w:sz w:val="21"/>
              </w:rPr>
              <w:t xml:space="preserve">[DD.MM.YYYY], the date of filing (ARN), as indicated in RFD-02 (rule 90(2)); sixty days end on [DD.MM.YYYY]</w:t>
            </w:r>
          </w:p>
        </w:tc>
      </w:tr>
      <w:tr>
        <w:tc>
          <w:tcPr>
            <w:tcW w:type="dxa" w:w="2471"/>
            <w:shd w:val="clear" w:color="auto" w:fill="F5F8FC"/>
          </w:tcPr>
          <w:p>
            <w:pPr>
              <w:pStyle w:val="Compact"/>
              <w:spacing w:before="0" w:after="0" w:line="240" w:lineRule="auto"/>
              <w:jc w:val="left"/>
            </w:pPr>
            <w:r>
              <w:rPr>
                <w:b/>
                <w:sz w:val="21"/>
              </w:rPr>
              <w:t xml:space="preserve">Provisional refund (RFD-04)</w:t>
            </w:r>
          </w:p>
        </w:tc>
        <w:tc>
          <w:tcPr>
            <w:tcW w:type="dxa" w:w="7167"/>
          </w:tcPr>
          <w:p>
            <w:pPr>
              <w:pStyle w:val="Compact"/>
              <w:spacing w:before="0" w:after="0" w:line="240" w:lineRule="auto"/>
              <w:jc w:val="left"/>
            </w:pPr>
            <w:r>
              <w:rPr>
                <w:sz w:val="21"/>
              </w:rPr>
              <w:t xml:space="preserve">[RFD-04 No. [ ] dated [DD.MM.YYYY] for ₹[ ]] / [Not granted, reasons in para 5]</w:t>
            </w:r>
          </w:p>
        </w:tc>
      </w:tr>
      <w:tr>
        <w:tc>
          <w:tcPr>
            <w:tcW w:type="dxa" w:w="2471"/>
            <w:shd w:val="clear" w:color="auto" w:fill="F5F8FC"/>
          </w:tcPr>
          <w:p>
            <w:pPr>
              <w:pStyle w:val="Compact"/>
              <w:spacing w:before="0" w:after="0" w:line="240" w:lineRule="auto"/>
              <w:jc w:val="left"/>
            </w:pPr>
            <w:r>
              <w:rPr>
                <w:b/>
                <w:sz w:val="21"/>
              </w:rPr>
              <w:t xml:space="preserve">Notice (RFD-08) and reply (RFD-09)</w:t>
            </w:r>
          </w:p>
        </w:tc>
        <w:tc>
          <w:tcPr>
            <w:tcW w:type="dxa" w:w="7167"/>
          </w:tcPr>
          <w:p>
            <w:pPr>
              <w:pStyle w:val="Compact"/>
              <w:spacing w:before="0" w:after="0" w:line="240" w:lineRule="auto"/>
              <w:jc w:val="left"/>
            </w:pPr>
            <w:r>
              <w:rPr>
                <w:sz w:val="21"/>
              </w:rPr>
              <w:t xml:space="preserve">[RFD-08 No. [ ] dated [DD.MM.YYYY]; reply dated [DD.MM.YYYY]] / [Not issued, as the claim is sanctioned in full]</w:t>
            </w:r>
          </w:p>
        </w:tc>
      </w:tr>
      <w:tr>
        <w:tc>
          <w:tcPr>
            <w:tcW w:type="dxa" w:w="2471"/>
            <w:shd w:val="clear" w:color="auto" w:fill="F5F8FC"/>
          </w:tcPr>
          <w:p>
            <w:pPr>
              <w:pStyle w:val="Compact"/>
              <w:spacing w:before="0" w:after="0" w:line="240" w:lineRule="auto"/>
              <w:jc w:val="left"/>
            </w:pPr>
            <w:r>
              <w:rPr>
                <w:b/>
                <w:sz w:val="21"/>
              </w:rPr>
              <w:t xml:space="preserve">Personal hearing</w:t>
            </w:r>
          </w:p>
        </w:tc>
        <w:tc>
          <w:tcPr>
            <w:tcW w:type="dxa" w:w="7167"/>
          </w:tcPr>
          <w:p>
            <w:pPr>
              <w:pStyle w:val="Compact"/>
              <w:spacing w:before="0" w:after="0" w:line="240" w:lineRule="auto"/>
              <w:jc w:val="left"/>
            </w:pPr>
            <w:r>
              <w:rPr>
                <w:sz w:val="21"/>
              </w:rPr>
              <w:t xml:space="preserve">[DD.MM.YYYY], attended by [designation of the authorised representative] / [Not required, as the claim is sanctioned in full]</w:t>
            </w:r>
          </w:p>
        </w:tc>
      </w:tr>
      <w:tr>
        <w:tc>
          <w:tcPr>
            <w:tcW w:type="dxa" w:w="2471"/>
            <w:shd w:val="clear" w:color="auto" w:fill="F5F8FC"/>
          </w:tcPr>
          <w:p>
            <w:pPr>
              <w:pStyle w:val="Compact"/>
              <w:spacing w:before="0" w:after="0" w:line="240" w:lineRule="auto"/>
              <w:jc w:val="left"/>
            </w:pPr>
            <w:r>
              <w:rPr>
                <w:b/>
                <w:sz w:val="21"/>
              </w:rPr>
              <w:t xml:space="preserve">Amount claimed</w:t>
            </w:r>
          </w:p>
        </w:tc>
        <w:tc>
          <w:tcPr>
            <w:tcW w:type="dxa" w:w="7167"/>
          </w:tcPr>
          <w:p>
            <w:pPr>
              <w:pStyle w:val="Compact"/>
              <w:spacing w:before="0" w:after="0" w:line="240" w:lineRule="auto"/>
              <w:jc w:val="left"/>
            </w:pPr>
            <w:r>
              <w:rPr>
                <w:sz w:val="21"/>
              </w:rPr>
              <w:t xml:space="preserve">IGST ₹[ ]; CGST ₹[ ]; SGST/UTGST ₹[ ]; Cess ₹[ ]; Total ₹[ ]</w:t>
            </w:r>
          </w:p>
        </w:tc>
      </w:tr>
      <w:tr>
        <w:tc>
          <w:tcPr>
            <w:tcW w:type="dxa" w:w="2471"/>
            <w:shd w:val="clear" w:color="auto" w:fill="F5F8FC"/>
          </w:tcPr>
          <w:p>
            <w:pPr>
              <w:pStyle w:val="Compact"/>
              <w:spacing w:before="0" w:after="0" w:line="240" w:lineRule="auto"/>
              <w:jc w:val="left"/>
            </w:pPr>
            <w:r>
              <w:rPr>
                <w:b/>
                <w:sz w:val="21"/>
              </w:rPr>
              <w:t xml:space="preserve">Result</w:t>
            </w:r>
          </w:p>
        </w:tc>
        <w:tc>
          <w:tcPr>
            <w:tcW w:type="dxa" w:w="7167"/>
          </w:tcPr>
          <w:p>
            <w:pPr>
              <w:pStyle w:val="Compact"/>
              <w:spacing w:before="0" w:after="0" w:line="240" w:lineRule="auto"/>
              <w:jc w:val="left"/>
            </w:pPr>
            <w:r>
              <w:rPr>
                <w:sz w:val="21"/>
              </w:rPr>
              <w:t xml:space="preserve">Sanctioned ₹[ ]; Rejected ₹[ ]; Adjusted against dues / withheld ₹[ ] (head-wise details in para 11)</w:t>
            </w:r>
          </w:p>
        </w:tc>
      </w:tr>
    </w:tbl>
    <w:p>
      <w:pPr>
        <w:pStyle w:val="BodyText"/>
        <w:keepNext/>
        <w:spacing w:before="240" w:after="80"/>
        <w:jc w:val="center"/>
        <w:pBdr>
          <w:bottom w:val="single" w:sz="6" w:space="1" w:color="B4C6E7"/>
        </w:pBdr>
      </w:pPr>
      <w:r>
        <w:rPr>
          <w:bCs/>
          <w:b/>
          <w:color w:val="1F3864"/>
          <w:sz w:val="25"/>
        </w:rPr>
        <w:t xml:space="preserve">IMPORTANT NOTE FOR THE APPLICANT</w:t>
      </w:r>
    </w:p>
    <w:p>
      <w:pPr>
        <w:numPr>
          <w:ilvl w:val="0"/>
          <w:numId w:val="1001"/>
        </w:numPr>
        <w:pStyle w:val="Compact"/>
        <w:spacing w:before="0" w:after="120" w:line="269" w:lineRule="auto"/>
      </w:pPr>
      <w:r>
        <w:t xml:space="preserve">This copy is granted free of charge for the private use of the person to whom it is issued.</w:t>
      </w:r>
    </w:p>
    <w:p>
      <w:pPr>
        <w:numPr>
          <w:ilvl w:val="0"/>
          <w:numId w:val="1001"/>
        </w:numPr>
        <w:pStyle w:val="Compact"/>
        <w:spacing w:before="0" w:after="120" w:line="269" w:lineRule="auto"/>
      </w:pPr>
      <w:r>
        <w:t xml:space="preserve">Any person aggrieved by this order may appeal under section 107(1) of the Central Goods and Services Tax Act, 2017 (the CGST Act) to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Under section 107(4), the Appellate Authority may allow a further period of</w:t>
      </w:r>
      <w:r>
        <w:t xml:space="preserve"> </w:t>
      </w:r>
      <w:r>
        <w:rPr>
          <w:bCs/>
          <w:b/>
        </w:rPr>
        <w:t xml:space="preserve">one month</w:t>
      </w:r>
      <w:r>
        <w:t xml:space="preserve"> </w:t>
      </w:r>
      <w:r>
        <w:t xml:space="preserve">if satisfied that there was sufficient cause.</w:t>
      </w:r>
    </w:p>
    <w:p>
      <w:pPr>
        <w:numPr>
          <w:ilvl w:val="0"/>
          <w:numId w:val="1001"/>
        </w:numPr>
        <w:pStyle w:val="Compact"/>
        <w:spacing w:before="0" w:after="120" w:line="269" w:lineRule="auto"/>
      </w:pPr>
      <w:r>
        <w:t xml:space="preserve">The appeal is to be filed</w:t>
      </w:r>
      <w:r>
        <w:t xml:space="preserve"> </w:t>
      </w:r>
      <w:r>
        <w:rPr>
          <w:bCs/>
          <w:b/>
        </w:rPr>
        <w:t xml:space="preserve">electronically in FORM GST APL-01 on the common portal</w:t>
      </w:r>
      <w:r>
        <w:t xml:space="preserve">, with the documents uploaded there (rule 108). No court fee stamp is required. As this order is available on the common portal, no copy of it need be filed; if it is not available there, a self-certified copy is to be submitted within seven days of filing APL-01, failing which the appeal is treated as filed on the date the copy is submitted (rule 108(3)).</w:t>
      </w:r>
    </w:p>
    <w:p>
      <w:pPr>
        <w:numPr>
          <w:ilvl w:val="0"/>
          <w:numId w:val="1001"/>
        </w:numPr>
        <w:pStyle w:val="Compact"/>
        <w:spacing w:before="0" w:after="120" w:line="269" w:lineRule="auto"/>
      </w:pPr>
      <w:r>
        <w:t xml:space="preserve">Under section 107(6), no appeal can be filed unless the appellant has paid (a) in full, the part of the tax, interest, fine, fee and penalty arising from this order that is admitted; and (b) ten per cent of the remaining</w:t>
      </w:r>
      <w:r>
        <w:t xml:space="preserve"> </w:t>
      </w:r>
      <w:r>
        <w:rPr>
          <w:bCs/>
          <w:b/>
        </w:rPr>
        <w:t xml:space="preserve">tax in dispute</w:t>
      </w:r>
      <w:r>
        <w:t xml:space="preserve"> </w:t>
      </w:r>
      <w:r>
        <w:t xml:space="preserve">arising from this order, subject to a maximum of twenty crore rupees. Where an order demands only a penalty without any demand of tax, ten per cent of that penalty is payable (proviso to section 107(6)). [Drafting note: where this order only sanctions or rejects a refund and confirms no demand, no tax is</w:t>
      </w:r>
      <w:r>
        <w:t xml:space="preserve"> </w:t>
      </w:r>
      <w:r>
        <w:t xml:space="preserve">“</w:t>
      </w:r>
      <w:r>
        <w:t xml:space="preserve">in dispute</w:t>
      </w:r>
      <w:r>
        <w:t xml:space="preserve">”</w:t>
      </w:r>
      <w:r>
        <w:t xml:space="preserve"> </w:t>
      </w:r>
      <w:r>
        <w:t xml:space="preserve">under section 107(6); keep this paragraph unchanged, as it is a general statement of the law.]</w:t>
      </w:r>
    </w:p>
    <w:p>
      <w:pPr>
        <w:numPr>
          <w:ilvl w:val="0"/>
          <w:numId w:val="1001"/>
        </w:numPr>
        <w:pStyle w:val="Compact"/>
        <w:spacing w:before="0" w:after="120" w:line="269" w:lineRule="auto"/>
      </w:pPr>
      <w:r>
        <w:t xml:space="preserve">This order is passed under the CGST Act and the CGST Rules, and also under the corresponding provisions of the [State] GST Act, 2017 / Union Territory GST Act, 2017 and the Integrated Goods and Services Tax Act, 2017 (the IGST Act), as applicable (the State or Union Territory portion is decided under section 6 of the State GST Act or the Union Territory GST Act, as the case may be; IGST under section 20 of the IGST Act). The sanction and payment orders for all tax heads are issued by this office, to which the application is assigned (para 27 of Circular No. 125/44/2019-GST). A reference to a provision of the CGST Act or Rules includes the corresponding provision of those Acts and Rules.</w:t>
      </w:r>
    </w:p>
    <w:p>
      <w:pPr>
        <w:pStyle w:val="FirstParagraph"/>
        <w:keepNext/>
        <w:spacing w:before="240" w:after="80"/>
        <w:pBdr>
          <w:bottom w:val="single" w:sz="6" w:space="1" w:color="B4C6E7"/>
        </w:pBdr>
      </w:pPr>
      <w:r>
        <w:rPr>
          <w:bCs/>
          <w:b/>
          <w:color w:val="1F3864"/>
          <w:sz w:val="25"/>
        </w:rPr>
        <w:t xml:space="preserve">1. Brief facts</w:t>
      </w:r>
    </w:p>
    <w:p>
      <w:pPr>
        <w:pStyle w:val="BodyText"/>
        <w:spacing w:before="0" w:after="120" w:line="269" w:lineRule="auto"/>
        <w:jc w:val="both"/>
      </w:pPr>
      <w:r>
        <w:t xml:space="preserve">1.1 [Legal name] (the applicant), registered under GSTIN [ ], supplied [description of goods / services] under [HSN / SAC] [ ] to [number] SEZ unit(s) / developer(s) located in [name of the SEZ] during [period], without payment of integrated tax under Letter of Undertaking (LUT) ARN [ ] dated [DD.MM.YYYY], furnished for financial year [YYYY-YY].</w:t>
      </w:r>
    </w:p>
    <w:p>
      <w:pPr>
        <w:pStyle w:val="BodyText"/>
        <w:spacing w:before="0" w:after="120" w:line="269" w:lineRule="auto"/>
        <w:jc w:val="both"/>
      </w:pPr>
      <w:r>
        <w:t xml:space="preserve">1.2 The applicant filed FORM GST RFD-01 under ARN [ ] dated [DD.MM.YYYY] for refund of ₹[ ] (IGST ₹[ ], CGST ₹[ ], SGST ₹[ ], Cess ₹[ ]) of input tax credit accumulated on account of these supplies, with Statement 5 listing [ ] invoices endorsed by the specified officer of the SEZ. The application was acknowledged in FORM GST RFD-02 on [DD.MM.YYYY].</w:t>
      </w:r>
    </w:p>
    <w:p>
      <w:pPr>
        <w:pStyle w:val="BodyText"/>
        <w:keepNext/>
        <w:spacing w:before="240" w:after="80"/>
        <w:pBdr>
          <w:bottom w:val="single" w:sz="6" w:space="1" w:color="B4C6E7"/>
        </w:pBdr>
      </w:pPr>
      <w:r>
        <w:rPr>
          <w:bCs/>
          <w:b/>
          <w:color w:val="1F3864"/>
          <w:sz w:val="25"/>
        </w:rPr>
        <w:t xml:space="preserve">2. Legal provisions</w:t>
      </w:r>
    </w:p>
    <w:p>
      <w:pPr>
        <w:pStyle w:val="BodyText"/>
        <w:spacing w:before="0" w:after="120" w:line="269" w:lineRule="auto"/>
        <w:jc w:val="both"/>
      </w:pPr>
      <w:r>
        <w:t xml:space="preserve">2.1 Under section 16(1)(b) of the IGST Act, as amended with effect from 01.10.2023, a supply of goods or services or both</w:t>
      </w:r>
      <w:r>
        <w:t xml:space="preserve"> </w:t>
      </w:r>
      <w:r>
        <w:rPr>
          <w:bCs/>
          <w:b/>
        </w:rPr>
        <w:t xml:space="preserve">for authorised operations</w:t>
      </w:r>
      <w:r>
        <w:t xml:space="preserve"> </w:t>
      </w:r>
      <w:r>
        <w:t xml:space="preserve">to a Special Economic Zone developer or a Special Economic Zone unit is a zero-rated supply. Under section 16(3) (as substituted with effect from 01.10.2023), such a supply may be made under LUT without payment of integrated tax, with refund of unutilised input tax credit under clause (i) of the first proviso to section 54(3) of the CGST Act. The LUT provisions of rule 96A(1) apply to such supplies by rule 96A(6).</w:t>
      </w:r>
    </w:p>
    <w:p>
      <w:pPr>
        <w:pStyle w:val="BodyText"/>
        <w:spacing w:before="0" w:after="120" w:line="269" w:lineRule="auto"/>
        <w:jc w:val="both"/>
      </w:pPr>
      <w:r>
        <w:t xml:space="preserve">2.2 Under the proviso to rule 89(1) relating to supplies to a Special Economic Zone (which rule 89(2)(d) and (e) still describe as the second proviso), in respect of supplies to an SEZ unit or developer, the application is to be filed by the supplier of goods after the goods have been admitted in full in the SEZ for authorised operations, as endorsed by the specified officer of the Zone; and by the supplier of services along with evidence of receipt of the services for authorised operations, as endorsed by the specified officer of the Zone. Rule 89(2)(d) and (e) require the corresponding statements of invoices with that endorsement. Under the Explanation to rule 89(1),</w:t>
      </w:r>
      <w:r>
        <w:t xml:space="preserve"> </w:t>
      </w:r>
      <w:r>
        <w:t xml:space="preserve">“</w:t>
      </w:r>
      <w:r>
        <w:t xml:space="preserve">specified officer</w:t>
      </w:r>
      <w:r>
        <w:t xml:space="preserve">”</w:t>
      </w:r>
      <w:r>
        <w:t xml:space="preserve"> </w:t>
      </w:r>
      <w:r>
        <w:t xml:space="preserve">means a specified officer or an authorised officer as defined in rule 2 of the SEZ Rules, 2006.</w:t>
      </w:r>
    </w:p>
    <w:p>
      <w:pPr>
        <w:pStyle w:val="BodyText"/>
        <w:spacing w:before="0" w:after="120" w:line="269" w:lineRule="auto"/>
      </w:pPr>
      <w:r>
        <w:t xml:space="preserve">2.3 The refund is computed under rule 89(4):</w:t>
      </w:r>
    </w:p>
    <w:p>
      <w:pPr>
        <w:pStyle w:val="BlockText"/>
        <w:shd w:val="clear" w:color="auto" w:fill="E7E6E6"/>
      </w:pPr>
      <w:r>
        <w:rPr>
          <w:bCs/>
          <w:b/>
          <w:sz w:val="21"/>
        </w:rPr>
        <w:t xml:space="preserve">Refund Amount = (Turnover of zero-rated supply of goods + Turnover of zero-rated supply of services) × Net ITC ÷ Adjusted Total Turnover</w:t>
      </w:r>
    </w:p>
    <w:p>
      <w:pPr>
        <w:pStyle w:val="FirstParagraph"/>
        <w:spacing w:before="0" w:after="120" w:line="269" w:lineRule="auto"/>
        <w:jc w:val="both"/>
      </w:pPr>
      <w:r>
        <w:t xml:space="preserve">with the meanings given in rule 89(4)(A) to (F). The Explanation to rule 89(4) (FOB or invoice value, whichever is less) governs only goods exported out of India, so for supplies of goods to an SEZ the invoice value is taken, subject to the limit of 1.5 times the value of like goods supplied domestically (rule 89(4)(C)). For supplies of services, the turnover is the payments received during the period, worked out under rule 89(4)(D), and the same value is used inside the Adjusted Total Turnover (rule 89(4)(E)(b)).</w:t>
      </w:r>
    </w:p>
    <w:p>
      <w:pPr>
        <w:pStyle w:val="BodyText"/>
        <w:spacing w:before="0" w:after="120" w:line="269" w:lineRule="auto"/>
        <w:jc w:val="both"/>
      </w:pPr>
      <w:r>
        <w:t xml:space="preserve">2.4 Under clause (ba) of Explanation 2 to section 54, the relevant date for zero-rated supply to an SEZ developer or unit, where refund is claimed of the input tax credit used in such supplies, is the due date for furnishing the return under section 39 in respect of such supplies.</w:t>
      </w:r>
    </w:p>
    <w:p>
      <w:pPr>
        <w:pStyle w:val="BodyText"/>
        <w:keepNext/>
        <w:spacing w:before="240" w:after="80"/>
        <w:pBdr>
          <w:bottom w:val="single" w:sz="6" w:space="1" w:color="B4C6E7"/>
        </w:pBdr>
      </w:pPr>
      <w:r>
        <w:rPr>
          <w:bCs/>
          <w:b/>
          <w:color w:val="1F3864"/>
          <w:sz w:val="25"/>
        </w:rPr>
        <w:t xml:space="preserve">3. Limitation</w:t>
      </w:r>
    </w:p>
    <w:p>
      <w:pPr>
        <w:pStyle w:val="BodyText"/>
        <w:spacing w:before="0" w:after="120" w:line="269" w:lineRule="auto"/>
        <w:jc w:val="both"/>
      </w:pPr>
      <w:r>
        <w:t xml:space="preserve">3.1 The invoices in this claim are of [months]. The due date for the GSTR-3B of [earliest month] was [DD.MM.YYYY], which is the earliest relevant date under clause (ba); two years from it end on [DD.MM.YYYY]. The application, filed on [DD.MM.YYYY], is within time for all invoices. [Option: Invoices of [month], whose relevant date was [DD.MM.YYYY], are beyond two years; their value of ₹[ ] is excluded from the zero-rated turnover (it remains in the Adjusted Total Turnover).]</w:t>
      </w:r>
    </w:p>
    <w:p>
      <w:pPr>
        <w:pStyle w:val="BlockText"/>
        <w:shd w:val="clear" w:color="auto" w:fill="E7E6E6"/>
      </w:pPr>
      <w:r>
        <w:rPr>
          <w:bCs/>
          <w:b/>
          <w:sz w:val="21"/>
        </w:rPr>
        <w:t xml:space="preserve">Drafting note:</w:t>
      </w:r>
      <w:r>
        <w:rPr>
          <w:sz w:val="21"/>
        </w:rPr>
        <w:t xml:space="preserve"> </w:t>
      </w:r>
      <w:r>
        <w:rPr>
          <w:sz w:val="21"/>
        </w:rPr>
        <w:t xml:space="preserve">if any earlier application for the same period was returned in RFD-03, the period from that filing to the RFD-03 is excluded (proviso to rule 90(3)).</w:t>
      </w:r>
    </w:p>
    <w:p>
      <w:pPr>
        <w:pStyle w:val="FirstParagraph"/>
        <w:keepNext/>
        <w:spacing w:before="240" w:after="80"/>
        <w:pBdr>
          <w:bottom w:val="single" w:sz="6" w:space="1" w:color="B4C6E7"/>
        </w:pBdr>
      </w:pPr>
      <w:r>
        <w:rPr>
          <w:bCs/>
          <w:b/>
          <w:color w:val="1F3864"/>
          <w:sz w:val="25"/>
        </w:rPr>
        <w:t xml:space="preserve">4. Other conditions for admissibility</w:t>
      </w:r>
    </w:p>
    <w:p>
      <w:pPr>
        <w:pStyle w:val="BodyText"/>
        <w:spacing w:before="0" w:after="120" w:line="269" w:lineRule="auto"/>
        <w:jc w:val="both"/>
      </w:pPr>
      <w:r>
        <w:t xml:space="preserve">4.1 The application was complete in terms of rule 89(2) and was acknowledged in RFD-02 within fifteen days under rule 90(2). The applicant has filed all returns due up to the date of the application (para 6 of Circular 125). The amount claimed was debited from the electronic credit ledger by debit entry No. [ ] dated [DD.MM.YYYY] (rule 89(3)). The undertaking in relation to section 16(2)(c) has been filed online (para 2.4 of Circular No. 197/09/2023-GST). The back-office refund history shows no other claim for this period in this or any other category, and no invoice in the statement was used in an earlier claim. The applicant [has / has not] undergone Aadhaar authentication under rule 10B [if not, see para 5, Option D].</w:t>
      </w:r>
    </w:p>
    <w:p>
      <w:pPr>
        <w:pStyle w:val="BodyText"/>
        <w:keepNext/>
        <w:spacing w:before="240" w:after="80"/>
        <w:pBdr>
          <w:bottom w:val="single" w:sz="6" w:space="1" w:color="B4C6E7"/>
        </w:pBdr>
      </w:pPr>
      <w:r>
        <w:rPr>
          <w:bCs/>
          <w:b/>
          <w:color w:val="1F3864"/>
          <w:sz w:val="25"/>
        </w:rPr>
        <w:t xml:space="preserve">5. Provisional refund</w:t>
      </w:r>
    </w:p>
    <w:p>
      <w:pPr>
        <w:pStyle w:val="BodyText"/>
        <w:spacing w:before="0" w:after="120" w:line="269" w:lineRule="auto"/>
        <w:jc w:val="both"/>
      </w:pPr>
      <w:r>
        <w:t xml:space="preserve">5.1 Section 54(6) of the CGST Act, read with rule 91 of the CGST Rules, provides for refund on a provisional basis of ninety per cent of the amount claimed on account of zero-rated supply of goods or services. Under rule 91(2), as substituted by Notification No. 13/2025-Central Tax dated 17.09.2025 with effect from 01.10.2025, the proper officer is to issue the provisional refund order in FORM GST RFD-04 within seven days of the acknowledgement, on the basis of the identification and evaluation of risk by the system. Under the first proviso to rule 91(2), the proper officer may, for reasons to be recorded in writing, decide that the applicant is not to be granted refund on a provisional basis. Instruction No. 06/2025-GST dated 03.10.2025 (paras 3.1 to 3.3) directs that ninety per cent of the amount claimed be sanctioned provisionally where the system categorises the application as</w:t>
      </w:r>
      <w:r>
        <w:t xml:space="preserve"> </w:t>
      </w:r>
      <w:r>
        <w:t xml:space="preserve">“</w:t>
      </w:r>
      <w:r>
        <w:t xml:space="preserve">low-risk</w:t>
      </w:r>
      <w:r>
        <w:t xml:space="preserve">”</w:t>
      </w:r>
      <w:r>
        <w:t xml:space="preserve">, without further scrutiny for that purpose; that applications not categorised as low-risk get no provisional refund and are scrutinised in detail; and that the first proviso to rule 91(2) be used sparingly, case by case, and not on presumptive grounds or merely because routine proceedings such as scrutiny have begun. Provisional refund is not available to the categories notified under section 54(6) by Notification No. 14/2025-Central Tax dated 17.09.2025, namely a person who has not undergone Aadhaar authentication under rule 10B, and a person engaged in the supply of areca nuts (0802 80), pan masala (2106 90 20), tobacco and manufactured tobacco substitutes (chapter 24) or essential oils (3301); nor, under rule 91(1), to a person prosecuted, during the five years before the tax period of the claim, for an offence where the tax evaded exceeds two hundred and fifty lakh rupees.</w:t>
      </w:r>
    </w:p>
    <w:p>
      <w:pPr>
        <w:pStyle w:val="BlockText"/>
        <w:shd w:val="clear" w:color="auto" w:fill="E7E6E6"/>
      </w:pPr>
      <w:r>
        <w:rPr>
          <w:bCs/>
          <w:b/>
          <w:sz w:val="21"/>
        </w:rPr>
        <w:t xml:space="preserve">Drafting note:</w:t>
      </w:r>
      <w:r>
        <w:rPr>
          <w:sz w:val="21"/>
        </w:rPr>
        <w:t xml:space="preserve"> </w:t>
      </w:r>
      <w:r>
        <w:rPr>
          <w:sz w:val="21"/>
        </w:rPr>
        <w:t xml:space="preserve">keep one of Options A to D. Record the system risk category exactly as shown on the back-office screen. Under para 3.2 of Instruction 06/2025, no amount can be adjusted or withheld under section 54(10) or 54(11) from a provisional refund; where the applicant has such dues, the Instruction allows the officer to decide the claim finally at the earliest instead, and recover the dues from the final sanction. Provisional refund may also be refused where, on an earlier refund of the applicant, the issue is pending in appeal, a show cause notice has been issued, or an order has not attained finality.</w:t>
      </w:r>
    </w:p>
    <w:p>
      <w:pPr>
        <w:pStyle w:val="FirstParagraph"/>
        <w:spacing w:before="0" w:after="120" w:line="269" w:lineRule="auto"/>
        <w:jc w:val="both"/>
      </w:pPr>
      <w:r>
        <w:t xml:space="preserve">5.2</w:t>
      </w:r>
      <w:r>
        <w:t xml:space="preserve"> </w:t>
      </w:r>
      <w:r>
        <w:rPr>
          <w:bCs/>
          <w:b/>
        </w:rPr>
        <w:t xml:space="preserve">[Option A: provisional refund granted]</w:t>
      </w:r>
      <w:r>
        <w:t xml:space="preserve"> </w:t>
      </w:r>
      <w:r>
        <w:t xml:space="preserve">The claim was marked</w:t>
      </w:r>
      <w:r>
        <w:t xml:space="preserve"> </w:t>
      </w:r>
      <w:r>
        <w:t xml:space="preserve">“</w:t>
      </w:r>
      <w:r>
        <w:t xml:space="preserve">low-risk</w:t>
      </w:r>
      <w:r>
        <w:t xml:space="preserve">”</w:t>
      </w:r>
      <w:r>
        <w:t xml:space="preserve"> </w:t>
      </w:r>
      <w:r>
        <w:t xml:space="preserve">by the system. Provisional refund of ₹[ ] (IGST ₹[ ], CGST ₹[ ], SGST ₹[ ], Cess ₹[ ]), being ninety per cent of the amount claimed, was sanctioned by RFD-04 No. [ ] dated [DD.MM.YYYY] and paid by RFD-05 dated [DD.MM.YYYY]. That amount is accounted for in the final sanction in para 11 under rule 92(1). [Option, where the amount finally admissible is less than the provisional refund paid: the excess of ₹[ ] was proposed for recovery in the RFD-08 notice, with its summary in FORM GST DRC-01 (rule 142(1)(a)), under section 54 read with section [73 / 74 / 74A] (para 3.4 of Instruction No. 06/2025-GST; paras 15 and 16 of Circular No. 125/44/2019-GST) and is decided in para 11.]</w:t>
      </w:r>
    </w:p>
    <w:p>
      <w:pPr>
        <w:pStyle w:val="BodyText"/>
        <w:spacing w:before="0" w:after="120" w:line="269" w:lineRule="auto"/>
        <w:jc w:val="both"/>
      </w:pPr>
      <w:r>
        <w:t xml:space="preserve">5.2</w:t>
      </w:r>
      <w:r>
        <w:t xml:space="preserve"> </w:t>
      </w:r>
      <w:r>
        <w:rPr>
          <w:bCs/>
          <w:b/>
        </w:rPr>
        <w:t xml:space="preserve">[Option B: claim not low-risk]</w:t>
      </w:r>
      <w:r>
        <w:t xml:space="preserve"> </w:t>
      </w:r>
      <w:r>
        <w:t xml:space="preserve">The claim was not marked</w:t>
      </w:r>
      <w:r>
        <w:t xml:space="preserve"> </w:t>
      </w:r>
      <w:r>
        <w:t xml:space="preserve">“</w:t>
      </w:r>
      <w:r>
        <w:t xml:space="preserve">low-risk</w:t>
      </w:r>
      <w:r>
        <w:t xml:space="preserve">”</w:t>
      </w:r>
      <w:r>
        <w:t xml:space="preserve"> </w:t>
      </w:r>
      <w:r>
        <w:t xml:space="preserve">by the system ([risk category as shown]). In terms of para 3.1 of Instruction 06/2025-GST, no provisional refund was sanctioned, and the claim has been examined in detail as set out below.</w:t>
      </w:r>
    </w:p>
    <w:p>
      <w:pPr>
        <w:pStyle w:val="BodyText"/>
        <w:spacing w:before="0" w:after="120" w:line="269" w:lineRule="auto"/>
        <w:jc w:val="both"/>
      </w:pPr>
      <w:r>
        <w:t xml:space="preserve">5.2</w:t>
      </w:r>
      <w:r>
        <w:t xml:space="preserve"> </w:t>
      </w:r>
      <w:r>
        <w:rPr>
          <w:bCs/>
          <w:b/>
        </w:rPr>
        <w:t xml:space="preserve">[Option C: low-risk, but provisional refund not granted under the first proviso to rule 91(2)]</w:t>
      </w:r>
      <w:r>
        <w:t xml:space="preserve"> </w:t>
      </w:r>
      <w:r>
        <w:t xml:space="preserve">Although the claim was categorised as</w:t>
      </w:r>
      <w:r>
        <w:t xml:space="preserve"> </w:t>
      </w:r>
      <w:r>
        <w:t xml:space="preserve">“</w:t>
      </w:r>
      <w:r>
        <w:t xml:space="preserve">low-risk</w:t>
      </w:r>
      <w:r>
        <w:t xml:space="preserve">”</w:t>
      </w:r>
      <w:r>
        <w:t xml:space="preserve">, provisional refund was not granted, for the reasons recorded in writing on [DD.MM.YYYY] under the first proviso to rule 91(2), namely [state the specific, case-related reason, for example: (i) on the earlier refund claim ARN [ ], show cause notice No. [ ] dated [ ] has been issued and has not attained finality (para 3.2 of Instruction 06/2025-GST); or (ii) the applicant owes ₹[ ] under [order], which cannot be adjusted against a provisional refund, so the claim was taken up for final decision at the earliest (para 3.2)]. The reason is not presumptive and does not rest merely on routine proceedings (para 3.3).</w:t>
      </w:r>
    </w:p>
    <w:p>
      <w:pPr>
        <w:pStyle w:val="BodyText"/>
        <w:spacing w:before="0" w:after="120" w:line="269" w:lineRule="auto"/>
        <w:jc w:val="both"/>
      </w:pPr>
      <w:r>
        <w:t xml:space="preserve">5.2</w:t>
      </w:r>
      <w:r>
        <w:t xml:space="preserve"> </w:t>
      </w:r>
      <w:r>
        <w:rPr>
          <w:bCs/>
          <w:b/>
        </w:rPr>
        <w:t xml:space="preserve">[Option D: provisional refund barred]</w:t>
      </w:r>
      <w:r>
        <w:t xml:space="preserve"> </w:t>
      </w:r>
      <w:r>
        <w:t xml:space="preserve">Provisional refund was not available because [the applicant has not undergone Aadhaar authentication under rule 10B] / [the applicant supplies [goods] covered by Notification No. 14/2025-Central Tax] (section 54(6)) / [the applicant was prosecuted in [case] within the period stated in rule 91(1)].</w:t>
      </w:r>
    </w:p>
    <w:p>
      <w:pPr>
        <w:pStyle w:val="BodyText"/>
        <w:keepNext/>
        <w:spacing w:before="240" w:after="80"/>
        <w:pBdr>
          <w:bottom w:val="single" w:sz="6" w:space="1" w:color="B4C6E7"/>
        </w:pBdr>
      </w:pPr>
      <w:r>
        <w:rPr>
          <w:bCs/>
          <w:b/>
          <w:color w:val="1F3864"/>
          <w:sz w:val="25"/>
        </w:rPr>
        <w:t xml:space="preserve">6. Verification of the supplies to the SEZ</w:t>
      </w:r>
    </w:p>
    <w:p>
      <w:pPr>
        <w:pStyle w:val="BodyText"/>
        <w:spacing w:before="0" w:after="120" w:line="269" w:lineRule="auto"/>
        <w:jc w:val="both"/>
      </w:pPr>
      <w:r>
        <w:t xml:space="preserve">6.1</w:t>
      </w:r>
      <w:r>
        <w:t xml:space="preserve"> </w:t>
      </w:r>
      <w:r>
        <w:rPr>
          <w:bCs/>
          <w:b/>
        </w:rPr>
        <w:t xml:space="preserve">Endorsement and authorised operations.</w:t>
      </w:r>
      <w:r>
        <w:t xml:space="preserve"> </w:t>
      </w:r>
      <w:r>
        <w:t xml:space="preserve">Each invoice was checked against the endorsement of the specified officer [on the SEZ Online system / on the copy of the invoice], and against the Letter of Approval of the SEZ unit / developer and its list of authorised operations:</w:t>
      </w:r>
    </w:p>
    <w:p>
      <w:pPr>
        <w:pStyle w:val="BodyText"/>
        <w:spacing w:before="0" w:after="120" w:line="269" w:lineRule="auto"/>
      </w:pPr>
      <w:r>
        <w:rPr>
          <w:iCs/>
          <w:i/>
        </w:rPr>
        <w:t xml:space="preserve">Table 1: Invoices to the SEZ</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745"/>
        <w:gridCol w:w="894"/>
        <w:gridCol w:w="1043"/>
        <w:gridCol w:w="969"/>
        <w:gridCol w:w="894"/>
        <w:gridCol w:w="2186"/>
        <w:gridCol w:w="1192"/>
        <w:gridCol w:w="820"/>
        <w:gridCol w:w="894"/>
      </w:tblGrid>
      <w:tr>
        <w:trPr>
          <w:tblHeader w:val="true"/>
          <w:tblHeader/>
        </w:trPr>
        <w:tc>
          <w:tcPr>
            <w:tcW w:type="dxa" w:w="745"/>
            <w:shd w:val="clear" w:color="auto" w:fill="DCE6F1"/>
          </w:tcPr>
          <w:p>
            <w:pPr>
              <w:pStyle w:val="Compact"/>
              <w:spacing w:before="0" w:after="0" w:line="240" w:lineRule="auto"/>
              <w:jc w:val="left"/>
            </w:pPr>
            <w:r>
              <w:rPr>
                <w:b/>
                <w:color w:val="1F3864"/>
                <w:sz w:val="18"/>
              </w:rPr>
              <w:t xml:space="preserve">S. No.</w:t>
            </w:r>
          </w:p>
        </w:tc>
        <w:tc>
          <w:tcPr>
            <w:tcW w:type="dxa" w:w="894"/>
            <w:shd w:val="clear" w:color="auto" w:fill="DCE6F1"/>
          </w:tcPr>
          <w:p>
            <w:pPr>
              <w:pStyle w:val="Compact"/>
              <w:spacing w:before="0" w:after="0" w:line="240" w:lineRule="auto"/>
              <w:jc w:val="left"/>
            </w:pPr>
            <w:r>
              <w:rPr>
                <w:b/>
                <w:color w:val="1F3864"/>
                <w:sz w:val="18"/>
              </w:rPr>
              <w:t xml:space="preserve">Invoice No. and date</w:t>
            </w:r>
          </w:p>
        </w:tc>
        <w:tc>
          <w:tcPr>
            <w:tcW w:type="dxa" w:w="1043"/>
            <w:shd w:val="clear" w:color="auto" w:fill="DCE6F1"/>
          </w:tcPr>
          <w:p>
            <w:pPr>
              <w:pStyle w:val="Compact"/>
              <w:spacing w:before="0" w:after="0" w:line="240" w:lineRule="auto"/>
              <w:jc w:val="left"/>
            </w:pPr>
            <w:r>
              <w:rPr>
                <w:b/>
                <w:color w:val="1F3864"/>
                <w:sz w:val="18"/>
              </w:rPr>
              <w:t xml:space="preserve">SEZ unit / developer (GSTIN)</w:t>
            </w:r>
          </w:p>
        </w:tc>
        <w:tc>
          <w:tcPr>
            <w:tcW w:type="dxa" w:w="969"/>
            <w:shd w:val="clear" w:color="auto" w:fill="DCE6F1"/>
          </w:tcPr>
          <w:p>
            <w:pPr>
              <w:pStyle w:val="Compact"/>
              <w:spacing w:before="0" w:after="0" w:line="240" w:lineRule="auto"/>
              <w:jc w:val="left"/>
            </w:pPr>
            <w:r>
              <w:rPr>
                <w:b/>
                <w:color w:val="1F3864"/>
                <w:sz w:val="18"/>
              </w:rPr>
              <w:t xml:space="preserve">Goods / services</w:t>
            </w:r>
          </w:p>
        </w:tc>
        <w:tc>
          <w:tcPr>
            <w:tcW w:type="dxa" w:w="894"/>
            <w:shd w:val="clear" w:color="auto" w:fill="DCE6F1"/>
          </w:tcPr>
          <w:p>
            <w:pPr>
              <w:pStyle w:val="Compact"/>
              <w:spacing w:before="0" w:after="0" w:line="240" w:lineRule="auto"/>
              <w:jc w:val="left"/>
            </w:pPr>
            <w:r>
              <w:rPr>
                <w:b/>
                <w:color w:val="1F3864"/>
                <w:sz w:val="18"/>
              </w:rPr>
              <w:t xml:space="preserve">Taxable value (₹)</w:t>
            </w:r>
          </w:p>
        </w:tc>
        <w:tc>
          <w:tcPr>
            <w:tcW w:type="dxa" w:w="2186"/>
            <w:shd w:val="clear" w:color="auto" w:fill="DCE6F1"/>
          </w:tcPr>
          <w:p>
            <w:pPr>
              <w:pStyle w:val="Compact"/>
              <w:spacing w:before="0" w:after="0" w:line="240" w:lineRule="auto"/>
              <w:jc w:val="left"/>
            </w:pPr>
            <w:r>
              <w:rPr>
                <w:b/>
                <w:color w:val="1F3864"/>
                <w:sz w:val="18"/>
              </w:rPr>
              <w:t xml:space="preserve">Endorsement (bill of entry / SEZ Online request No. and date of admission or receipt)</w:t>
            </w:r>
          </w:p>
        </w:tc>
        <w:tc>
          <w:tcPr>
            <w:tcW w:type="dxa" w:w="1192"/>
            <w:shd w:val="clear" w:color="auto" w:fill="DCE6F1"/>
          </w:tcPr>
          <w:p>
            <w:pPr>
              <w:pStyle w:val="Compact"/>
              <w:spacing w:before="0" w:after="0" w:line="240" w:lineRule="auto"/>
              <w:jc w:val="left"/>
            </w:pPr>
            <w:r>
              <w:rPr>
                <w:b/>
                <w:color w:val="1F3864"/>
                <w:sz w:val="18"/>
              </w:rPr>
              <w:t xml:space="preserve">Covered by the authorised operations?</w:t>
            </w:r>
          </w:p>
        </w:tc>
        <w:tc>
          <w:tcPr>
            <w:tcW w:type="dxa" w:w="820"/>
            <w:shd w:val="clear" w:color="auto" w:fill="DCE6F1"/>
          </w:tcPr>
          <w:p>
            <w:pPr>
              <w:pStyle w:val="Compact"/>
              <w:spacing w:before="0" w:after="0" w:line="240" w:lineRule="auto"/>
              <w:jc w:val="left"/>
            </w:pPr>
            <w:r>
              <w:rPr>
                <w:b/>
                <w:color w:val="1F3864"/>
                <w:sz w:val="18"/>
              </w:rPr>
              <w:t xml:space="preserve">Within two years?</w:t>
            </w:r>
          </w:p>
        </w:tc>
        <w:tc>
          <w:tcPr>
            <w:tcW w:type="dxa" w:w="894"/>
            <w:shd w:val="clear" w:color="auto" w:fill="DCE6F1"/>
          </w:tcPr>
          <w:p>
            <w:pPr>
              <w:pStyle w:val="Compact"/>
              <w:spacing w:before="0" w:after="0" w:line="240" w:lineRule="auto"/>
              <w:jc w:val="left"/>
            </w:pPr>
            <w:r>
              <w:rPr>
                <w:b/>
                <w:color w:val="1F3864"/>
                <w:sz w:val="18"/>
              </w:rPr>
              <w:t xml:space="preserve">Remarks</w:t>
            </w:r>
          </w:p>
        </w:tc>
      </w:tr>
      <w:tr>
        <w:tc>
          <w:tcPr>
            <w:tcW w:type="dxa" w:w="745"/>
          </w:tcPr>
          <w:p>
            <w:pPr>
              <w:pStyle w:val="Compact"/>
              <w:spacing w:before="0" w:after="0" w:line="240" w:lineRule="auto"/>
              <w:jc w:val="left"/>
            </w:pPr>
            <w:r>
              <w:rPr>
                <w:sz w:val="18"/>
              </w:rPr>
              <w:t xml:space="preserve">1</w:t>
            </w:r>
          </w:p>
        </w:tc>
        <w:tc>
          <w:tcPr>
            <w:tcW w:type="dxa" w:w="894"/>
          </w:tcPr>
          <w:p>
            <w:pPr>
              <w:pStyle w:val="Compact"/>
              <w:spacing w:before="0" w:after="0" w:line="240" w:lineRule="auto"/>
              <w:jc w:val="left"/>
            </w:pPr>
            <w:r>
              <w:rPr>
                <w:sz w:val="18"/>
              </w:rPr>
              <w:t xml:space="preserve">[ ]</w:t>
            </w:r>
          </w:p>
        </w:tc>
        <w:tc>
          <w:tcPr>
            <w:tcW w:type="dxa" w:w="1043"/>
          </w:tcPr>
          <w:p>
            <w:pPr>
              <w:pStyle w:val="Compact"/>
              <w:spacing w:before="0" w:after="0" w:line="240" w:lineRule="auto"/>
              <w:jc w:val="left"/>
            </w:pPr>
            <w:r>
              <w:rPr>
                <w:sz w:val="18"/>
              </w:rPr>
              <w:t xml:space="preserve">[ ]</w:t>
            </w:r>
          </w:p>
        </w:tc>
        <w:tc>
          <w:tcPr>
            <w:tcW w:type="dxa" w:w="969"/>
          </w:tcPr>
          <w:p>
            <w:pPr>
              <w:pStyle w:val="Compact"/>
              <w:spacing w:before="0" w:after="0" w:line="240" w:lineRule="auto"/>
              <w:jc w:val="left"/>
            </w:pPr>
            <w:r>
              <w:rPr>
                <w:sz w:val="18"/>
              </w:rPr>
              <w:t xml:space="preserve">[ ]</w:t>
            </w:r>
          </w:p>
        </w:tc>
        <w:tc>
          <w:tcPr>
            <w:tcW w:type="dxa" w:w="894"/>
          </w:tcPr>
          <w:p>
            <w:pPr>
              <w:pStyle w:val="Compact"/>
              <w:spacing w:before="0" w:after="0" w:line="240" w:lineRule="auto"/>
              <w:jc w:val="left"/>
            </w:pPr>
            <w:r>
              <w:rPr>
                <w:sz w:val="18"/>
              </w:rPr>
              <w:t xml:space="preserve">[ ]</w:t>
            </w:r>
          </w:p>
        </w:tc>
        <w:tc>
          <w:tcPr>
            <w:tcW w:type="dxa" w:w="2186"/>
          </w:tcPr>
          <w:p>
            <w:pPr>
              <w:pStyle w:val="Compact"/>
              <w:spacing w:before="0" w:after="0" w:line="240" w:lineRule="auto"/>
              <w:jc w:val="left"/>
            </w:pPr>
            <w:r>
              <w:rPr>
                <w:sz w:val="18"/>
              </w:rPr>
              <w:t xml:space="preserve">[ ]</w:t>
            </w:r>
          </w:p>
        </w:tc>
        <w:tc>
          <w:tcPr>
            <w:tcW w:type="dxa" w:w="1192"/>
          </w:tcPr>
          <w:p>
            <w:pPr>
              <w:pStyle w:val="Compact"/>
              <w:spacing w:before="0" w:after="0" w:line="240" w:lineRule="auto"/>
              <w:jc w:val="left"/>
            </w:pPr>
            <w:r>
              <w:rPr>
                <w:sz w:val="18"/>
              </w:rPr>
              <w:t xml:space="preserve">[Yes / No]</w:t>
            </w:r>
          </w:p>
        </w:tc>
        <w:tc>
          <w:tcPr>
            <w:tcW w:type="dxa" w:w="820"/>
          </w:tcPr>
          <w:p>
            <w:pPr>
              <w:pStyle w:val="Compact"/>
              <w:spacing w:before="0" w:after="0" w:line="240" w:lineRule="auto"/>
              <w:jc w:val="left"/>
            </w:pPr>
            <w:r>
              <w:rPr>
                <w:sz w:val="18"/>
              </w:rPr>
              <w:t xml:space="preserve">[Yes / No]</w:t>
            </w:r>
          </w:p>
        </w:tc>
        <w:tc>
          <w:tcPr>
            <w:tcW w:type="dxa" w:w="894"/>
          </w:tcPr>
          <w:p>
            <w:pPr>
              <w:pStyle w:val="Compact"/>
              <w:spacing w:before="0" w:after="0" w:line="240" w:lineRule="auto"/>
              <w:jc w:val="left"/>
            </w:pPr>
            <w:r>
              <w:rPr>
                <w:sz w:val="18"/>
              </w:rPr>
              <w:t xml:space="preserve">[ ]</w:t>
            </w:r>
          </w:p>
        </w:tc>
      </w:tr>
      <w:tr>
        <w:tc>
          <w:tcPr>
            <w:tcW w:type="dxa" w:w="745"/>
            <w:shd w:val="clear" w:color="auto" w:fill="F2F2F2"/>
          </w:tcPr>
          <w:p>
            <w:pPr>
              <w:pStyle w:val="Compact"/>
              <w:spacing w:before="0" w:after="0" w:line="240" w:lineRule="auto"/>
            </w:pPr>
          </w:p>
        </w:tc>
        <w:tc>
          <w:tcPr>
            <w:tcW w:type="dxa" w:w="894"/>
            <w:shd w:val="clear" w:color="auto" w:fill="F2F2F2"/>
          </w:tcPr>
          <w:p>
            <w:pPr>
              <w:pStyle w:val="Compact"/>
              <w:spacing w:before="0" w:after="0" w:line="240" w:lineRule="auto"/>
              <w:jc w:val="left"/>
            </w:pPr>
            <w:r>
              <w:rPr>
                <w:bCs/>
                <w:b/>
                <w:sz w:val="18"/>
              </w:rPr>
              <w:t xml:space="preserve">Total</w:t>
            </w:r>
          </w:p>
        </w:tc>
        <w:tc>
          <w:tcPr>
            <w:tcW w:type="dxa" w:w="1043"/>
            <w:shd w:val="clear" w:color="auto" w:fill="F2F2F2"/>
          </w:tcPr>
          <w:p>
            <w:pPr>
              <w:pStyle w:val="Compact"/>
              <w:spacing w:before="0" w:after="0" w:line="240" w:lineRule="auto"/>
            </w:pPr>
          </w:p>
        </w:tc>
        <w:tc>
          <w:tcPr>
            <w:tcW w:type="dxa" w:w="969"/>
            <w:shd w:val="clear" w:color="auto" w:fill="F2F2F2"/>
          </w:tcPr>
          <w:p>
            <w:pPr>
              <w:pStyle w:val="Compact"/>
              <w:spacing w:before="0" w:after="0" w:line="240" w:lineRule="auto"/>
            </w:pPr>
          </w:p>
        </w:tc>
        <w:tc>
          <w:tcPr>
            <w:tcW w:type="dxa" w:w="894"/>
            <w:shd w:val="clear" w:color="auto" w:fill="F2F2F2"/>
          </w:tcPr>
          <w:p>
            <w:pPr>
              <w:pStyle w:val="Compact"/>
              <w:spacing w:before="0" w:after="0" w:line="240" w:lineRule="auto"/>
              <w:jc w:val="left"/>
            </w:pPr>
            <w:r>
              <w:rPr>
                <w:bCs/>
                <w:b/>
                <w:sz w:val="18"/>
              </w:rPr>
              <w:t xml:space="preserve">[ ]</w:t>
            </w:r>
          </w:p>
        </w:tc>
        <w:tc>
          <w:tcPr>
            <w:tcW w:type="dxa" w:w="2186"/>
            <w:shd w:val="clear" w:color="auto" w:fill="F2F2F2"/>
          </w:tcPr>
          <w:p>
            <w:pPr>
              <w:pStyle w:val="Compact"/>
              <w:spacing w:before="0" w:after="0" w:line="240" w:lineRule="auto"/>
            </w:pPr>
          </w:p>
        </w:tc>
        <w:tc>
          <w:tcPr>
            <w:tcW w:type="dxa" w:w="1192"/>
            <w:shd w:val="clear" w:color="auto" w:fill="F2F2F2"/>
          </w:tcPr>
          <w:p>
            <w:pPr>
              <w:pStyle w:val="Compact"/>
              <w:spacing w:before="0" w:after="0" w:line="240" w:lineRule="auto"/>
            </w:pPr>
          </w:p>
        </w:tc>
        <w:tc>
          <w:tcPr>
            <w:tcW w:type="dxa" w:w="820"/>
            <w:shd w:val="clear" w:color="auto" w:fill="F2F2F2"/>
          </w:tcPr>
          <w:p>
            <w:pPr>
              <w:pStyle w:val="Compact"/>
              <w:spacing w:before="0" w:after="0" w:line="240" w:lineRule="auto"/>
            </w:pPr>
          </w:p>
        </w:tc>
        <w:tc>
          <w:tcPr>
            <w:tcW w:type="dxa" w:w="894"/>
            <w:shd w:val="clear" w:color="auto" w:fill="F2F2F2"/>
          </w:tcPr>
          <w:p>
            <w:pPr>
              <w:pStyle w:val="Compact"/>
              <w:spacing w:before="0" w:after="0" w:line="240" w:lineRule="auto"/>
            </w:pPr>
          </w:p>
        </w:tc>
      </w:tr>
    </w:tbl>
    <w:p>
      <w:pPr>
        <w:pStyle w:val="BlockText"/>
        <w:shd w:val="clear" w:color="auto" w:fill="E7E6E6"/>
      </w:pPr>
      <w:r>
        <w:rPr>
          <w:bCs/>
          <w:b/>
          <w:sz w:val="21"/>
        </w:rPr>
        <w:t xml:space="preserve">Drafting note:</w:t>
      </w:r>
      <w:r>
        <w:rPr>
          <w:sz w:val="21"/>
        </w:rPr>
        <w:t xml:space="preserve"> </w:t>
      </w:r>
      <w:r>
        <w:rPr>
          <w:sz w:val="21"/>
        </w:rPr>
        <w:t xml:space="preserve">the endorsement is a condition for filing the claim. If it is missing when the application is scrutinised, issue RFD-03 within fifteen days (rule 90(3)); use Option B only for a defect found after acknowledgement, and only after RFD-08. Also check that the Letter of Approval was valid on the invoice date.</w:t>
      </w:r>
    </w:p>
    <w:p>
      <w:pPr>
        <w:pStyle w:val="FirstParagraph"/>
        <w:spacing w:before="0" w:after="120" w:line="269" w:lineRule="auto"/>
        <w:jc w:val="both"/>
      </w:pPr>
      <w:r>
        <w:t xml:space="preserve">6.2 [Option A: All invoices bear the specified officer’s endorsement that the goods were admitted in full in the Zone / the services were received, for authorised operations.] [Option B: Invoices at S. Nos. [ ] do not bear the endorsement, or the goods / services are not covered by the authorised operations of the unit as approved in its Letter of Approval No. [ ] dated [ ]. Their value of ₹[ ] is not a zero-rated supply under section 16(1)(b) and is excluded, for the reasons in para 8.]</w:t>
      </w:r>
    </w:p>
    <w:p>
      <w:pPr>
        <w:pStyle w:val="BodyText"/>
        <w:spacing w:before="0" w:after="120" w:line="269" w:lineRule="auto"/>
        <w:jc w:val="both"/>
      </w:pPr>
      <w:r>
        <w:t xml:space="preserve">6.3</w:t>
      </w:r>
      <w:r>
        <w:t xml:space="preserve"> </w:t>
      </w:r>
      <w:r>
        <w:rPr>
          <w:bCs/>
          <w:b/>
        </w:rPr>
        <w:t xml:space="preserve">Match with returns.</w:t>
      </w:r>
      <w:r>
        <w:t xml:space="preserve"> </w:t>
      </w:r>
      <w:r>
        <w:t xml:space="preserve">The invoices were matched with GSTR-1 Table 6B and the GSTR-3B for the period (Table 3.1(b)). [Explain any difference.]</w:t>
      </w:r>
    </w:p>
    <w:p>
      <w:pPr>
        <w:pStyle w:val="BodyText"/>
        <w:spacing w:before="0" w:after="120" w:line="269" w:lineRule="auto"/>
        <w:jc w:val="both"/>
      </w:pPr>
      <w:r>
        <w:t xml:space="preserve">6.4</w:t>
      </w:r>
      <w:r>
        <w:t xml:space="preserve"> </w:t>
      </w:r>
      <w:r>
        <w:rPr>
          <w:bCs/>
          <w:b/>
        </w:rPr>
        <w:t xml:space="preserve">LUT and rule 89(2)(f) declaration.</w:t>
      </w:r>
      <w:r>
        <w:t xml:space="preserve"> </w:t>
      </w:r>
      <w:r>
        <w:t xml:space="preserve">The LUT ARN [ ] dated [DD.MM.YYYY] covers the period of all invoices (rule 96A(1) read with rule 96A(6)). The declaration under rule 89(2)(f) that tax has not been collected from the SEZ unit / developer has been filed, and the invoices in Table 1 show no tax charged.</w:t>
      </w:r>
    </w:p>
    <w:p>
      <w:pPr>
        <w:pStyle w:val="BodyText"/>
        <w:spacing w:before="0" w:after="120" w:line="269" w:lineRule="auto"/>
        <w:jc w:val="both"/>
      </w:pPr>
      <w:r>
        <w:t xml:space="preserve">6.5</w:t>
      </w:r>
      <w:r>
        <w:t xml:space="preserve"> </w:t>
      </w:r>
      <w:r>
        <w:rPr>
          <w:bCs/>
          <w:b/>
        </w:rPr>
        <w:t xml:space="preserve">Payments for services.</w:t>
      </w:r>
      <w:r>
        <w:t xml:space="preserve"> </w:t>
      </w:r>
      <w:r>
        <w:t xml:space="preserve">[For services only: the turnover under rule 89(4)(D) is ₹[ ], being payments received during the period of ₹[ ], plus services completed during the period against earlier advances of ₹[ ], less advances for services not completed of ₹[ ]. Delete for goods.]</w:t>
      </w:r>
    </w:p>
    <w:p>
      <w:pPr>
        <w:pStyle w:val="BodyText"/>
        <w:spacing w:before="0" w:after="120" w:line="269" w:lineRule="auto"/>
        <w:jc w:val="both"/>
      </w:pPr>
      <w:r>
        <w:t xml:space="preserve">6.6</w:t>
      </w:r>
      <w:r>
        <w:t xml:space="preserve"> </w:t>
      </w:r>
      <w:r>
        <w:rPr>
          <w:bCs/>
          <w:b/>
        </w:rPr>
        <w:t xml:space="preserve">Credit.</w:t>
      </w:r>
      <w:r>
        <w:t xml:space="preserve"> </w:t>
      </w:r>
      <w:r>
        <w:t xml:space="preserve">Net ITC of ₹[ ] consists of credit on inputs and input services availed during the period, reflected in GSTR-2B of the period or an earlier period (para 1.3 of Circular No. 197/09/2023-GST). Credit on capital goods (₹[ ]) is excluded by the definition of Net ITC. No credit blocked by section 17(5) or barred by section 16(4) has been included. Credit on imports of goods (bills of entry), on Input Service Distributor documents and on inward supplies taxed under reverse charge was checked against [the bills of entry / ISD invoices / GSTR-3B Table 4A(3) and the cash payment of that tax]; it is not excluded merely because it does not appear as a supplier invoice in GSTR-2B (para 4 of Circular No. 139/09/2020-GST). [Option: Credit of ₹[ ] on [description] was excluded as [ground], as decided in para 8.]</w:t>
      </w:r>
    </w:p>
    <w:p>
      <w:pPr>
        <w:pStyle w:val="BodyText"/>
        <w:spacing w:before="0" w:after="120" w:line="269" w:lineRule="auto"/>
        <w:jc w:val="both"/>
      </w:pPr>
      <w:r>
        <w:t xml:space="preserve">6.7</w:t>
      </w:r>
      <w:r>
        <w:t xml:space="preserve"> </w:t>
      </w:r>
      <w:r>
        <w:rPr>
          <w:bCs/>
          <w:b/>
        </w:rPr>
        <w:t xml:space="preserve">Risk checks.</w:t>
      </w:r>
      <w:r>
        <w:t xml:space="preserve"> </w:t>
      </w:r>
      <w:r>
        <w:t xml:space="preserve">[Record the checks made, for example confirmation from the SEZ unit’s jurisdictional office or the Development Commissioner’s office; supplies by a recently registered GSTIN; supplier concentration in the ITC; e-way bills for the movement into the Zone. Delete this para if no risk check was needed.]</w:t>
      </w:r>
    </w:p>
    <w:p>
      <w:pPr>
        <w:pStyle w:val="BodyText"/>
        <w:keepNext/>
        <w:spacing w:before="240" w:after="80"/>
        <w:pBdr>
          <w:bottom w:val="single" w:sz="6" w:space="1" w:color="B4C6E7"/>
        </w:pBdr>
      </w:pPr>
      <w:r>
        <w:rPr>
          <w:bCs/>
          <w:b/>
          <w:color w:val="1F3864"/>
          <w:sz w:val="25"/>
        </w:rPr>
        <w:t xml:space="preserve">7. Computation of the admissible refund</w:t>
      </w:r>
    </w:p>
    <w:p>
      <w:pPr>
        <w:pStyle w:val="BodyText"/>
        <w:spacing w:before="0" w:after="120" w:line="269" w:lineRule="auto"/>
      </w:pPr>
      <w:r>
        <w:t xml:space="preserve">7.1 Sources of the figures: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760"/>
        <w:gridCol w:w="4596"/>
        <w:gridCol w:w="722"/>
        <w:gridCol w:w="788"/>
        <w:gridCol w:w="788"/>
        <w:gridCol w:w="985"/>
      </w:tblGrid>
      <w:tr>
        <w:trPr>
          <w:tblHeader w:val="true"/>
          <w:tblHeader/>
        </w:trPr>
        <w:tc>
          <w:tcPr>
            <w:tcW w:type="dxa" w:w="1760"/>
            <w:shd w:val="clear" w:color="auto" w:fill="DCE6F1"/>
          </w:tcPr>
          <w:p>
            <w:pPr>
              <w:pStyle w:val="Compact"/>
              <w:spacing w:before="0" w:after="0" w:line="240" w:lineRule="auto"/>
              <w:jc w:val="left"/>
            </w:pPr>
            <w:r>
              <w:rPr>
                <w:b/>
                <w:color w:val="1F3864"/>
                <w:sz w:val="21"/>
              </w:rPr>
              <w:t xml:space="preserve">Component</w:t>
            </w:r>
          </w:p>
        </w:tc>
        <w:tc>
          <w:tcPr>
            <w:tcW w:type="dxa" w:w="4596"/>
            <w:shd w:val="clear" w:color="auto" w:fill="DCE6F1"/>
          </w:tcPr>
          <w:p>
            <w:pPr>
              <w:pStyle w:val="Compact"/>
              <w:spacing w:before="0" w:after="0" w:line="240" w:lineRule="auto"/>
              <w:jc w:val="left"/>
            </w:pPr>
            <w:r>
              <w:rPr>
                <w:b/>
                <w:color w:val="1F3864"/>
                <w:sz w:val="21"/>
              </w:rPr>
              <w:t xml:space="preserve">Source used</w:t>
            </w:r>
          </w:p>
        </w:tc>
        <w:tc>
          <w:tcPr>
            <w:tcW w:type="dxa" w:w="722"/>
            <w:shd w:val="clear" w:color="auto" w:fill="DCE6F1"/>
          </w:tcPr>
          <w:p>
            <w:pPr>
              <w:pStyle w:val="Compact"/>
              <w:spacing w:before="0" w:after="0" w:line="240" w:lineRule="auto"/>
              <w:jc w:val="left"/>
            </w:pPr>
            <w:r>
              <w:rPr>
                <w:b/>
                <w:color w:val="1F3864"/>
                <w:sz w:val="21"/>
              </w:rPr>
              <w:t xml:space="preserve">As per RFD-01 (₹)</w:t>
            </w:r>
          </w:p>
        </w:tc>
        <w:tc>
          <w:tcPr>
            <w:tcW w:type="dxa" w:w="788"/>
            <w:shd w:val="clear" w:color="auto" w:fill="DCE6F1"/>
          </w:tcPr>
          <w:p>
            <w:pPr>
              <w:pStyle w:val="Compact"/>
              <w:spacing w:before="0" w:after="0" w:line="240" w:lineRule="auto"/>
              <w:jc w:val="left"/>
            </w:pPr>
            <w:r>
              <w:rPr>
                <w:b/>
                <w:color w:val="1F3864"/>
                <w:sz w:val="21"/>
              </w:rPr>
              <w:t xml:space="preserve">As per returns / SEZ records (₹)</w:t>
            </w:r>
          </w:p>
        </w:tc>
        <w:tc>
          <w:tcPr>
            <w:tcW w:type="dxa" w:w="788"/>
            <w:shd w:val="clear" w:color="auto" w:fill="DCE6F1"/>
          </w:tcPr>
          <w:p>
            <w:pPr>
              <w:pStyle w:val="Compact"/>
              <w:spacing w:before="0" w:after="0" w:line="240" w:lineRule="auto"/>
              <w:jc w:val="left"/>
            </w:pPr>
            <w:r>
              <w:rPr>
                <w:b/>
                <w:color w:val="1F3864"/>
                <w:sz w:val="21"/>
              </w:rPr>
              <w:t xml:space="preserve">Adopted (₹)</w:t>
            </w:r>
          </w:p>
        </w:tc>
        <w:tc>
          <w:tcPr>
            <w:tcW w:type="dxa" w:w="985"/>
            <w:shd w:val="clear" w:color="auto" w:fill="DCE6F1"/>
          </w:tcPr>
          <w:p>
            <w:pPr>
              <w:pStyle w:val="Compact"/>
              <w:spacing w:before="0" w:after="0" w:line="240" w:lineRule="auto"/>
              <w:jc w:val="left"/>
            </w:pPr>
            <w:r>
              <w:rPr>
                <w:b/>
                <w:color w:val="1F3864"/>
                <w:sz w:val="21"/>
              </w:rPr>
              <w:t xml:space="preserve">Reason for any difference</w:t>
            </w:r>
          </w:p>
        </w:tc>
      </w:tr>
      <w:tr>
        <w:tc>
          <w:tcPr>
            <w:tcW w:type="dxa" w:w="1760"/>
          </w:tcPr>
          <w:p>
            <w:pPr>
              <w:pStyle w:val="Compact"/>
              <w:spacing w:before="0" w:after="0" w:line="240" w:lineRule="auto"/>
              <w:jc w:val="left"/>
            </w:pPr>
            <w:r>
              <w:rPr>
                <w:sz w:val="21"/>
              </w:rPr>
              <w:t xml:space="preserve">Turnover of zero-rated supply of goods (A)</w:t>
            </w:r>
          </w:p>
        </w:tc>
        <w:tc>
          <w:tcPr>
            <w:tcW w:type="dxa" w:w="4596"/>
          </w:tcPr>
          <w:p>
            <w:pPr>
              <w:pStyle w:val="Compact"/>
              <w:spacing w:before="0" w:after="0" w:line="240" w:lineRule="auto"/>
              <w:jc w:val="left"/>
            </w:pPr>
            <w:r>
              <w:rPr>
                <w:sz w:val="21"/>
              </w:rPr>
              <w:t xml:space="preserve">Table 1, endorsed invoices within limitation, subject to rule 89(4)(C)</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r>
        <w:tc>
          <w:tcPr>
            <w:tcW w:type="dxa" w:w="1760"/>
          </w:tcPr>
          <w:p>
            <w:pPr>
              <w:pStyle w:val="Compact"/>
              <w:spacing w:before="0" w:after="0" w:line="240" w:lineRule="auto"/>
              <w:jc w:val="left"/>
            </w:pPr>
            <w:r>
              <w:rPr>
                <w:sz w:val="21"/>
              </w:rPr>
              <w:t xml:space="preserve">Turnover of zero-rated supply of services (B)</w:t>
            </w:r>
          </w:p>
        </w:tc>
        <w:tc>
          <w:tcPr>
            <w:tcW w:type="dxa" w:w="4596"/>
          </w:tcPr>
          <w:p>
            <w:pPr>
              <w:pStyle w:val="Compact"/>
              <w:spacing w:before="0" w:after="0" w:line="240" w:lineRule="auto"/>
              <w:jc w:val="left"/>
            </w:pPr>
            <w:r>
              <w:rPr>
                <w:sz w:val="21"/>
              </w:rPr>
              <w:t xml:space="preserve">Para 6.5, rule 89(4)(D)</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r>
        <w:tc>
          <w:tcPr>
            <w:tcW w:type="dxa" w:w="1760"/>
          </w:tcPr>
          <w:p>
            <w:pPr>
              <w:pStyle w:val="Compact"/>
              <w:spacing w:before="0" w:after="0" w:line="240" w:lineRule="auto"/>
              <w:jc w:val="left"/>
            </w:pPr>
            <w:r>
              <w:rPr>
                <w:sz w:val="21"/>
              </w:rPr>
              <w:t xml:space="preserve">Adjusted Total Turnover (C)</w:t>
            </w:r>
          </w:p>
        </w:tc>
        <w:tc>
          <w:tcPr>
            <w:tcW w:type="dxa" w:w="4596"/>
          </w:tcPr>
          <w:p>
            <w:pPr>
              <w:pStyle w:val="Compact"/>
              <w:spacing w:before="0" w:after="0" w:line="240" w:lineRule="auto"/>
              <w:jc w:val="left"/>
            </w:pPr>
            <w:r>
              <w:rPr>
                <w:sz w:val="21"/>
              </w:rPr>
              <w:t xml:space="preserve">GSTR-3B Table 3.1(a) and (b) only (rows (c) nil-rated / exempt, (d) inward reverse charge and (e) non-GST excluded: sections 2(112) and 2(47), rule 89(4)(E)), with SEZ supplies of goods at the value adopted under rule 89(4)(C), services at the rule 89(4)(D) value, and all SEZ invoices of the period, including those excluded in paras 3.1 and 6.2</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r>
        <w:tc>
          <w:tcPr>
            <w:tcW w:type="dxa" w:w="1760"/>
          </w:tcPr>
          <w:p>
            <w:pPr>
              <w:pStyle w:val="Compact"/>
              <w:spacing w:before="0" w:after="0" w:line="240" w:lineRule="auto"/>
              <w:jc w:val="left"/>
            </w:pPr>
            <w:r>
              <w:rPr>
                <w:sz w:val="21"/>
              </w:rPr>
              <w:t xml:space="preserve">Net ITC (D)</w:t>
            </w:r>
          </w:p>
        </w:tc>
        <w:tc>
          <w:tcPr>
            <w:tcW w:type="dxa" w:w="4596"/>
          </w:tcPr>
          <w:p>
            <w:pPr>
              <w:pStyle w:val="Compact"/>
              <w:spacing w:before="0" w:after="0" w:line="240" w:lineRule="auto"/>
              <w:jc w:val="left"/>
            </w:pPr>
            <w:r>
              <w:rPr>
                <w:sz w:val="21"/>
              </w:rPr>
              <w:t xml:space="preserve">GSTR-3B Table 4A(1) to 4A(5) less capital goods and ineligible credit</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bl>
    <w:p>
      <w:pPr>
        <w:pStyle w:val="BodyText"/>
        <w:spacing w:before="0" w:after="120" w:line="269" w:lineRule="auto"/>
      </w:pPr>
      <w:r>
        <w:t xml:space="preserve">7.2 Computation:</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406"/>
        <w:gridCol w:w="6943"/>
        <w:gridCol w:w="1289"/>
      </w:tblGrid>
      <w:tr>
        <w:trPr>
          <w:tblHeader w:val="true"/>
          <w:tblHeader/>
        </w:trPr>
        <w:tc>
          <w:tcPr>
            <w:tcW w:type="dxa" w:w="1406"/>
            <w:shd w:val="clear" w:color="auto" w:fill="DCE6F1"/>
          </w:tcPr>
          <w:p>
            <w:pPr>
              <w:pStyle w:val="Compact"/>
              <w:spacing w:before="0" w:after="0" w:line="240" w:lineRule="auto"/>
              <w:jc w:val="left"/>
            </w:pPr>
            <w:r>
              <w:rPr>
                <w:b/>
                <w:color w:val="1F3864"/>
                <w:sz w:val="21"/>
              </w:rPr>
              <w:t xml:space="preserve">Step</w:t>
            </w:r>
          </w:p>
        </w:tc>
        <w:tc>
          <w:tcPr>
            <w:tcW w:type="dxa" w:w="6943"/>
            <w:shd w:val="clear" w:color="auto" w:fill="DCE6F1"/>
          </w:tcPr>
          <w:p>
            <w:pPr>
              <w:pStyle w:val="Compact"/>
              <w:spacing w:before="0" w:after="0" w:line="240" w:lineRule="auto"/>
              <w:jc w:val="left"/>
            </w:pPr>
            <w:r>
              <w:rPr>
                <w:b/>
                <w:color w:val="1F3864"/>
                <w:sz w:val="21"/>
              </w:rPr>
              <w:t xml:space="preserve">Working</w:t>
            </w:r>
          </w:p>
        </w:tc>
        <w:tc>
          <w:tcPr>
            <w:tcW w:type="dxa" w:w="1289"/>
            <w:shd w:val="clear" w:color="auto" w:fill="DCE6F1"/>
          </w:tcPr>
          <w:p>
            <w:pPr>
              <w:pStyle w:val="Compact"/>
              <w:spacing w:before="0" w:after="0" w:line="240" w:lineRule="auto"/>
              <w:jc w:val="left"/>
            </w:pPr>
            <w:r>
              <w:rPr>
                <w:b/>
                <w:color w:val="1F3864"/>
                <w:sz w:val="21"/>
              </w:rPr>
              <w:t xml:space="preserve">Amount (₹)</w:t>
            </w:r>
          </w:p>
        </w:tc>
      </w:tr>
      <w:tr>
        <w:tc>
          <w:tcPr>
            <w:tcW w:type="dxa" w:w="1406"/>
          </w:tcPr>
          <w:p>
            <w:pPr>
              <w:pStyle w:val="Compact"/>
              <w:spacing w:before="0" w:after="0" w:line="240" w:lineRule="auto"/>
              <w:jc w:val="left"/>
            </w:pPr>
            <w:r>
              <w:rPr>
                <w:sz w:val="21"/>
              </w:rPr>
              <w:t xml:space="preserve">(i)</w:t>
            </w:r>
          </w:p>
        </w:tc>
        <w:tc>
          <w:tcPr>
            <w:tcW w:type="dxa" w:w="6943"/>
          </w:tcPr>
          <w:p>
            <w:pPr>
              <w:pStyle w:val="Compact"/>
              <w:spacing w:before="0" w:after="0" w:line="240" w:lineRule="auto"/>
              <w:jc w:val="left"/>
            </w:pPr>
            <w:r>
              <w:rPr>
                <w:sz w:val="21"/>
              </w:rPr>
              <w:t xml:space="preserve">(A + B) × D ÷ C = ([ ] + [ ]) × [ ] ÷ [ ]</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(ii)</w:t>
            </w:r>
          </w:p>
        </w:tc>
        <w:tc>
          <w:tcPr>
            <w:tcW w:type="dxa" w:w="6943"/>
          </w:tcPr>
          <w:p>
            <w:pPr>
              <w:pStyle w:val="Compact"/>
              <w:spacing w:before="0" w:after="0" w:line="240" w:lineRule="auto"/>
              <w:jc w:val="left"/>
            </w:pPr>
            <w:r>
              <w:rPr>
                <w:sz w:val="21"/>
              </w:rPr>
              <w:t xml:space="preserve">Balance in the electronic credit ledger at the end of the period</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(iii)</w:t>
            </w:r>
          </w:p>
        </w:tc>
        <w:tc>
          <w:tcPr>
            <w:tcW w:type="dxa" w:w="6943"/>
          </w:tcPr>
          <w:p>
            <w:pPr>
              <w:pStyle w:val="Compact"/>
              <w:spacing w:before="0" w:after="0" w:line="240" w:lineRule="auto"/>
              <w:jc w:val="left"/>
            </w:pPr>
            <w:r>
              <w:rPr>
                <w:sz w:val="21"/>
              </w:rPr>
              <w:t xml:space="preserve">Balance in the electronic credit ledger at the time of filing</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(iv)</w:t>
            </w:r>
          </w:p>
        </w:tc>
        <w:tc>
          <w:tcPr>
            <w:tcW w:type="dxa" w:w="6943"/>
          </w:tcPr>
          <w:p>
            <w:pPr>
              <w:pStyle w:val="Compact"/>
              <w:spacing w:before="0" w:after="0" w:line="240" w:lineRule="auto"/>
              <w:jc w:val="left"/>
            </w:pPr>
            <w:r>
              <w:rPr>
                <w:sz w:val="21"/>
              </w:rPr>
              <w:t xml:space="preserve">Admissible refund: least of (i), (ii) and (iii), rounded to the nearest rupee (section 170)</w:t>
            </w:r>
          </w:p>
        </w:tc>
        <w:tc>
          <w:tcPr>
            <w:tcW w:type="dxa" w:w="1289"/>
          </w:tcPr>
          <w:p>
            <w:pPr>
              <w:pStyle w:val="Compact"/>
              <w:spacing w:before="0" w:after="0" w:line="240" w:lineRule="auto"/>
              <w:jc w:val="left"/>
            </w:pPr>
            <w:r>
              <w:rPr>
                <w:bCs/>
                <w:b/>
                <w:sz w:val="21"/>
              </w:rPr>
              <w:t xml:space="preserve">[ ]</w:t>
            </w:r>
          </w:p>
        </w:tc>
      </w:tr>
      <w:tr>
        <w:tc>
          <w:tcPr>
            <w:tcW w:type="dxa" w:w="1406"/>
          </w:tcPr>
          <w:p>
            <w:pPr>
              <w:pStyle w:val="Compact"/>
              <w:spacing w:before="0" w:after="0" w:line="240" w:lineRule="auto"/>
              <w:jc w:val="left"/>
            </w:pPr>
            <w:r>
              <w:rPr>
                <w:sz w:val="21"/>
              </w:rPr>
              <w:t xml:space="preserve">(v)</w:t>
            </w:r>
          </w:p>
        </w:tc>
        <w:tc>
          <w:tcPr>
            <w:tcW w:type="dxa" w:w="6943"/>
          </w:tcPr>
          <w:p>
            <w:pPr>
              <w:pStyle w:val="Compact"/>
              <w:spacing w:before="0" w:after="0" w:line="240" w:lineRule="auto"/>
              <w:jc w:val="left"/>
            </w:pPr>
            <w:r>
              <w:rPr>
                <w:sz w:val="21"/>
              </w:rPr>
              <w:t xml:space="preserve">Amount claimed</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(vi)</w:t>
            </w:r>
          </w:p>
        </w:tc>
        <w:tc>
          <w:tcPr>
            <w:tcW w:type="dxa" w:w="6943"/>
          </w:tcPr>
          <w:p>
            <w:pPr>
              <w:pStyle w:val="Compact"/>
              <w:spacing w:before="0" w:after="0" w:line="240" w:lineRule="auto"/>
              <w:jc w:val="left"/>
            </w:pPr>
            <w:r>
              <w:rPr>
                <w:sz w:val="21"/>
              </w:rPr>
              <w:t xml:space="preserve">Inadmissible: (v) − (iv)</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(cess)</w:t>
            </w:r>
          </w:p>
        </w:tc>
        <w:tc>
          <w:tcPr>
            <w:tcW w:type="dxa" w:w="6943"/>
          </w:tcPr>
          <w:p>
            <w:pPr>
              <w:pStyle w:val="Compact"/>
              <w:spacing w:before="0" w:after="0" w:line="240" w:lineRule="auto"/>
              <w:jc w:val="left"/>
            </w:pPr>
            <w:r>
              <w:rPr>
                <w:sz w:val="21"/>
              </w:rPr>
              <w:t xml:space="preserve">[If compensation cess is claimed] the same formula applied to cess credit alone, debited entirely from the cess balance (para 39 of Circular No. 125/44/2019-GST): [working]</w:t>
            </w:r>
          </w:p>
        </w:tc>
        <w:tc>
          <w:tcPr>
            <w:tcW w:type="dxa" w:w="1289"/>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7.3 Head-wise split (cess separately, as in para 7.2), in the order of debit (integrated tax first, then central and State tax equally: para 37 of Circular 125):</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36"/>
        <w:gridCol w:w="1483"/>
        <w:gridCol w:w="1483"/>
        <w:gridCol w:w="1483"/>
        <w:gridCol w:w="1853"/>
        <w:gridCol w:w="2101"/>
      </w:tblGrid>
      <w:tr>
        <w:trPr>
          <w:tblHeader w:val="true"/>
          <w:tblHeader/>
        </w:trPr>
        <w:tc>
          <w:tcPr>
            <w:tcW w:type="dxa" w:w="1236"/>
            <w:shd w:val="clear" w:color="auto" w:fill="DCE6F1"/>
          </w:tcPr>
          <w:p>
            <w:pPr>
              <w:pStyle w:val="Compact"/>
              <w:spacing w:before="0" w:after="0" w:line="240" w:lineRule="auto"/>
              <w:jc w:val="left"/>
            </w:pPr>
            <w:r>
              <w:rPr>
                <w:b/>
                <w:color w:val="1F3864"/>
                <w:sz w:val="21"/>
              </w:rPr>
              <w:t xml:space="preserve">Head</w:t>
            </w:r>
          </w:p>
        </w:tc>
        <w:tc>
          <w:tcPr>
            <w:tcW w:type="dxa" w:w="1483"/>
            <w:shd w:val="clear" w:color="auto" w:fill="DCE6F1"/>
          </w:tcPr>
          <w:p>
            <w:pPr>
              <w:pStyle w:val="Compact"/>
              <w:spacing w:before="0" w:after="0" w:line="240" w:lineRule="auto"/>
              <w:jc w:val="left"/>
            </w:pPr>
            <w:r>
              <w:rPr>
                <w:b/>
                <w:color w:val="1F3864"/>
                <w:sz w:val="21"/>
              </w:rPr>
              <w:t xml:space="preserve">Debited in RFD-01 (₹)</w:t>
            </w:r>
          </w:p>
        </w:tc>
        <w:tc>
          <w:tcPr>
            <w:tcW w:type="dxa" w:w="1483"/>
            <w:shd w:val="clear" w:color="auto" w:fill="DCE6F1"/>
          </w:tcPr>
          <w:p>
            <w:pPr>
              <w:pStyle w:val="Compact"/>
              <w:spacing w:before="0" w:after="0" w:line="240" w:lineRule="auto"/>
              <w:jc w:val="left"/>
            </w:pPr>
            <w:r>
              <w:rPr>
                <w:b/>
                <w:color w:val="1F3864"/>
                <w:sz w:val="21"/>
              </w:rPr>
              <w:t xml:space="preserve">Ledger balance at end of period (₹)</w:t>
            </w:r>
          </w:p>
        </w:tc>
        <w:tc>
          <w:tcPr>
            <w:tcW w:type="dxa" w:w="1483"/>
            <w:shd w:val="clear" w:color="auto" w:fill="DCE6F1"/>
          </w:tcPr>
          <w:p>
            <w:pPr>
              <w:pStyle w:val="Compact"/>
              <w:spacing w:before="0" w:after="0" w:line="240" w:lineRule="auto"/>
              <w:jc w:val="left"/>
            </w:pPr>
            <w:r>
              <w:rPr>
                <w:b/>
                <w:color w:val="1F3864"/>
                <w:sz w:val="21"/>
              </w:rPr>
              <w:t xml:space="preserve">Ledger balance at filing (₹)</w:t>
            </w:r>
          </w:p>
        </w:tc>
        <w:tc>
          <w:tcPr>
            <w:tcW w:type="dxa" w:w="1853"/>
            <w:shd w:val="clear" w:color="auto" w:fill="DCE6F1"/>
          </w:tcPr>
          <w:p>
            <w:pPr>
              <w:pStyle w:val="Compact"/>
              <w:spacing w:before="0" w:after="0" w:line="240" w:lineRule="auto"/>
              <w:jc w:val="left"/>
            </w:pPr>
            <w:r>
              <w:rPr>
                <w:b/>
                <w:color w:val="1F3864"/>
                <w:sz w:val="21"/>
              </w:rPr>
              <w:t xml:space="preserve">Admissible (₹)</w:t>
            </w:r>
          </w:p>
        </w:tc>
        <w:tc>
          <w:tcPr>
            <w:tcW w:type="dxa" w:w="2101"/>
            <w:shd w:val="clear" w:color="auto" w:fill="DCE6F1"/>
          </w:tcPr>
          <w:p>
            <w:pPr>
              <w:pStyle w:val="Compact"/>
              <w:spacing w:before="0" w:after="0" w:line="240" w:lineRule="auto"/>
              <w:jc w:val="left"/>
            </w:pPr>
            <w:r>
              <w:rPr>
                <w:b/>
                <w:color w:val="1F3864"/>
                <w:sz w:val="21"/>
              </w:rPr>
              <w:t xml:space="preserve">Inadmissible (₹)</w:t>
            </w:r>
          </w:p>
        </w:tc>
      </w:tr>
      <w:tr>
        <w:tc>
          <w:tcPr>
            <w:tcW w:type="dxa" w:w="1236"/>
          </w:tcPr>
          <w:p>
            <w:pPr>
              <w:pStyle w:val="Compact"/>
              <w:spacing w:before="0" w:after="0" w:line="240" w:lineRule="auto"/>
              <w:jc w:val="left"/>
            </w:pPr>
            <w:r>
              <w:rPr>
                <w:sz w:val="21"/>
              </w:rPr>
              <w:t xml:space="preserve">IGST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CGST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SGST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Cess</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shd w:val="clear" w:color="auto" w:fill="F2F2F2"/>
          </w:tcPr>
          <w:p>
            <w:pPr>
              <w:pStyle w:val="Compact"/>
              <w:spacing w:before="0" w:after="0" w:line="240" w:lineRule="auto"/>
              <w:jc w:val="left"/>
            </w:pPr>
            <w:r>
              <w:rPr>
                <w:bCs/>
                <w:b/>
                <w:sz w:val="21"/>
              </w:rPr>
              <w:t xml:space="preserve">Total</w:t>
            </w:r>
          </w:p>
        </w:tc>
        <w:tc>
          <w:tcPr>
            <w:tcW w:type="dxa" w:w="1483"/>
            <w:shd w:val="clear" w:color="auto" w:fill="F2F2F2"/>
          </w:tcPr>
          <w:p>
            <w:pPr>
              <w:pStyle w:val="Compact"/>
              <w:spacing w:before="0" w:after="0" w:line="240" w:lineRule="auto"/>
              <w:jc w:val="left"/>
            </w:pPr>
            <w:r>
              <w:rPr>
                <w:bCs/>
                <w:b/>
                <w:sz w:val="21"/>
              </w:rPr>
              <w:t xml:space="preserve">[ ]</w:t>
            </w:r>
          </w:p>
        </w:tc>
        <w:tc>
          <w:tcPr>
            <w:tcW w:type="dxa" w:w="1483"/>
            <w:shd w:val="clear" w:color="auto" w:fill="F2F2F2"/>
          </w:tcPr>
          <w:p>
            <w:pPr>
              <w:pStyle w:val="Compact"/>
              <w:spacing w:before="0" w:after="0" w:line="240" w:lineRule="auto"/>
            </w:pPr>
          </w:p>
        </w:tc>
        <w:tc>
          <w:tcPr>
            <w:tcW w:type="dxa" w:w="1483"/>
            <w:shd w:val="clear" w:color="auto" w:fill="F2F2F2"/>
          </w:tcPr>
          <w:p>
            <w:pPr>
              <w:pStyle w:val="Compact"/>
              <w:spacing w:before="0" w:after="0" w:line="240" w:lineRule="auto"/>
            </w:pPr>
          </w:p>
        </w:tc>
        <w:tc>
          <w:tcPr>
            <w:tcW w:type="dxa" w:w="1853"/>
            <w:shd w:val="clear" w:color="auto" w:fill="F2F2F2"/>
          </w:tcPr>
          <w:p>
            <w:pPr>
              <w:pStyle w:val="Compact"/>
              <w:spacing w:before="0" w:after="0" w:line="240" w:lineRule="auto"/>
              <w:jc w:val="left"/>
            </w:pPr>
            <w:r>
              <w:rPr>
                <w:bCs/>
                <w:b/>
                <w:sz w:val="21"/>
              </w:rPr>
              <w:t xml:space="preserve">[ ]</w:t>
            </w:r>
          </w:p>
        </w:tc>
        <w:tc>
          <w:tcPr>
            <w:tcW w:type="dxa" w:w="2101"/>
            <w:shd w:val="clear" w:color="auto" w:fill="F2F2F2"/>
          </w:tcPr>
          <w:p>
            <w:pPr>
              <w:pStyle w:val="Compact"/>
              <w:spacing w:before="0" w:after="0" w:line="240" w:lineRule="auto"/>
              <w:jc w:val="left"/>
            </w:pPr>
            <w:r>
              <w:rPr>
                <w:bCs/>
                <w:b/>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a supply excluded because it lacks the endorsement or is outside the authorised operations is not a zero-rated supply. If integrated tax was not paid on it, it is a taxable supply on which tax was short paid; refer it for proceedings under section 73 / 74 / 74A. The input tax credit itself has not been found ineligible, so the rejected refund is re-credited by PMT-03 in para 11.4.</w:t>
      </w:r>
    </w:p>
    <w:p>
      <w:pPr>
        <w:pStyle w:val="BlockText"/>
        <w:shd w:val="clear" w:color="auto" w:fill="E7E6E6"/>
      </w:pPr>
      <w:r>
        <w:rPr>
          <w:bCs/>
          <w:b/>
          <w:sz w:val="21"/>
        </w:rPr>
        <w:t xml:space="preserve">Drafting note:</w:t>
      </w:r>
      <w:r>
        <w:rPr>
          <w:sz w:val="21"/>
        </w:rPr>
        <w:t xml:space="preserve"> </w:t>
      </w:r>
      <w:r>
        <w:rPr>
          <w:sz w:val="21"/>
        </w:rPr>
        <w:t xml:space="preserve">compensation cess is computed separately, by applying the formula to cess credit alone, and is debited entirely from the cess balance (para 39 of Circular No. 125/44/2019-GST); the IGST-first order of debit applies only to IGST, CGST and SGST. If the applicant did not follow that order of debit, no adverse view is taken (para 38). Delete the Cess row if no cess is involved.</w:t>
      </w:r>
    </w:p>
    <w:p>
      <w:pPr>
        <w:pStyle w:val="FirstParagraph"/>
        <w:keepNext/>
        <w:spacing w:before="240" w:after="80"/>
        <w:pBdr>
          <w:bottom w:val="single" w:sz="6" w:space="1" w:color="B4C6E7"/>
        </w:pBdr>
      </w:pPr>
      <w:r>
        <w:rPr>
          <w:bCs/>
          <w:b/>
          <w:color w:val="1F3864"/>
          <w:sz w:val="25"/>
        </w:rPr>
        <w:t xml:space="preserve">8. Notice, reply and personal hearing</w:t>
      </w:r>
    </w:p>
    <w:p>
      <w:pPr>
        <w:pStyle w:val="BlockText"/>
        <w:shd w:val="clear" w:color="auto" w:fill="E7E6E6"/>
      </w:pPr>
      <w:r>
        <w:rPr>
          <w:bCs/>
          <w:b/>
          <w:sz w:val="21"/>
        </w:rPr>
        <w:t xml:space="preserve">Drafting note:</w:t>
      </w:r>
      <w:r>
        <w:rPr>
          <w:sz w:val="21"/>
        </w:rPr>
        <w:t xml:space="preserve"> </w:t>
      </w:r>
      <w:r>
        <w:rPr>
          <w:sz w:val="21"/>
        </w:rPr>
        <w:t xml:space="preserve">if the claim is sanctioned in full, replace this whole para with:</w:t>
      </w:r>
      <w:r>
        <w:rPr>
          <w:sz w:val="21"/>
        </w:rPr>
        <w:t xml:space="preserve"> </w:t>
      </w:r>
      <w:r>
        <w:rPr>
          <w:sz w:val="21"/>
        </w:rPr>
        <w:t xml:space="preserve">“</w:t>
      </w:r>
      <w:r>
        <w:rPr>
          <w:sz w:val="21"/>
        </w:rPr>
        <w:t xml:space="preserve">8.1 As the claim is found admissible in full, no notice in FORM GST RFD-08 was required.</w:t>
      </w:r>
      <w:r>
        <w:rPr>
          <w:sz w:val="21"/>
        </w:rPr>
        <w:t xml:space="preserve">”</w:t>
      </w:r>
      <w:r>
        <w:rPr>
          <w:sz w:val="21"/>
        </w:rPr>
        <w:t xml:space="preserve"> </w:t>
      </w:r>
      <w:r>
        <w:rPr>
          <w:sz w:val="21"/>
        </w:rPr>
        <w:t xml:space="preserve">Otherwise, the notice must state each actual ground found, with figures, and not template wording (rule 92(3) needs</w:t>
      </w:r>
      <w:r>
        <w:rPr>
          <w:sz w:val="21"/>
        </w:rPr>
        <w:t xml:space="preserve"> </w:t>
      </w:r>
      <w:r>
        <w:rPr>
          <w:sz w:val="21"/>
        </w:rPr>
        <w:t xml:space="preserve">“</w:t>
      </w:r>
      <w:r>
        <w:rPr>
          <w:sz w:val="21"/>
        </w:rPr>
        <w:t xml:space="preserve">reasons to be recorded in writing</w:t>
      </w:r>
      <w:r>
        <w:rPr>
          <w:sz w:val="21"/>
        </w:rPr>
        <w:t xml:space="preserve">”</w:t>
      </w:r>
      <w:r>
        <w:rPr>
          <w:sz w:val="21"/>
        </w:rPr>
        <w:t xml:space="preserve">). The order can reject only on a ground put to the applicant in the notice. Under rule 92(3) the applicant gets fifteen days to reply, and no application can be rejected without an opportunity of being heard.</w:t>
      </w:r>
    </w:p>
    <w:p>
      <w:pPr>
        <w:pStyle w:val="FirstParagraph"/>
        <w:spacing w:before="0" w:after="120" w:line="269" w:lineRule="auto"/>
        <w:jc w:val="both"/>
      </w:pPr>
      <w:r>
        <w:t xml:space="preserve">8.1 On scrutiny, the following grounds were noticed, and a notice in FORM GST RFD-08 No. [ ] dated [DD.MM.YYYY] was issued proposing to reject ₹[ ] of the claim and asking the applicant to reply in FORM GST RFD-09 within fifteen days: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44"/>
        <w:gridCol w:w="4539"/>
        <w:gridCol w:w="2856"/>
      </w:tblGrid>
      <w:tr>
        <w:trPr>
          <w:tblHeader w:val="true"/>
          <w:tblHeader/>
        </w:trPr>
        <w:tc>
          <w:tcPr>
            <w:tcW w:type="dxa" w:w="2244"/>
            <w:shd w:val="clear" w:color="auto" w:fill="DCE6F1"/>
          </w:tcPr>
          <w:p>
            <w:pPr>
              <w:pStyle w:val="Compact"/>
              <w:spacing w:before="0" w:after="0" w:line="240" w:lineRule="auto"/>
              <w:jc w:val="left"/>
            </w:pPr>
            <w:r>
              <w:rPr>
                <w:b/>
                <w:color w:val="1F3864"/>
                <w:sz w:val="21"/>
              </w:rPr>
              <w:t xml:space="preserve">Ground No.</w:t>
            </w:r>
          </w:p>
        </w:tc>
        <w:tc>
          <w:tcPr>
            <w:tcW w:type="dxa" w:w="4539"/>
            <w:shd w:val="clear" w:color="auto" w:fill="DCE6F1"/>
          </w:tcPr>
          <w:p>
            <w:pPr>
              <w:pStyle w:val="Compact"/>
              <w:spacing w:before="0" w:after="0" w:line="240" w:lineRule="auto"/>
              <w:jc w:val="left"/>
            </w:pPr>
            <w:r>
              <w:rPr>
                <w:b/>
                <w:color w:val="1F3864"/>
                <w:sz w:val="21"/>
              </w:rPr>
              <w:t xml:space="preserve">Ground stated in the notice</w:t>
            </w:r>
          </w:p>
        </w:tc>
        <w:tc>
          <w:tcPr>
            <w:tcW w:type="dxa" w:w="2856"/>
            <w:shd w:val="clear" w:color="auto" w:fill="DCE6F1"/>
          </w:tcPr>
          <w:p>
            <w:pPr>
              <w:pStyle w:val="Compact"/>
              <w:spacing w:before="0" w:after="0" w:line="240" w:lineRule="auto"/>
              <w:jc w:val="left"/>
            </w:pPr>
            <w:r>
              <w:rPr>
                <w:b/>
                <w:color w:val="1F3864"/>
                <w:sz w:val="21"/>
              </w:rPr>
              <w:t xml:space="preserve">Amount proposed for rejection (₹)</w:t>
            </w:r>
          </w:p>
        </w:tc>
      </w:tr>
      <w:tr>
        <w:tc>
          <w:tcPr>
            <w:tcW w:type="dxa" w:w="2244"/>
          </w:tcPr>
          <w:p>
            <w:pPr>
              <w:pStyle w:val="Compact"/>
              <w:spacing w:before="0" w:after="0" w:line="240" w:lineRule="auto"/>
              <w:jc w:val="left"/>
            </w:pPr>
            <w:r>
              <w:rPr>
                <w:sz w:val="21"/>
              </w:rPr>
              <w:t xml:space="preserve">1</w:t>
            </w:r>
          </w:p>
        </w:tc>
        <w:tc>
          <w:tcPr>
            <w:tcW w:type="dxa" w:w="4539"/>
          </w:tcPr>
          <w:p>
            <w:pPr>
              <w:pStyle w:val="Compact"/>
              <w:spacing w:before="0" w:after="0" w:line="240" w:lineRule="auto"/>
              <w:jc w:val="left"/>
            </w:pPr>
            <w:r>
              <w:rPr>
                <w:sz w:val="21"/>
              </w:rPr>
              <w:t xml:space="preserve">[ground, with the figures and the provision relied on]</w:t>
            </w:r>
          </w:p>
        </w:tc>
        <w:tc>
          <w:tcPr>
            <w:tcW w:type="dxa" w:w="2856"/>
          </w:tcPr>
          <w:p>
            <w:pPr>
              <w:pStyle w:val="Compact"/>
              <w:spacing w:before="0" w:after="0" w:line="240" w:lineRule="auto"/>
              <w:jc w:val="left"/>
            </w:pPr>
            <w:r>
              <w:rPr>
                <w:sz w:val="21"/>
              </w:rPr>
              <w:t xml:space="preserve">[ ]</w:t>
            </w:r>
          </w:p>
        </w:tc>
      </w:tr>
      <w:tr>
        <w:tc>
          <w:tcPr>
            <w:tcW w:type="dxa" w:w="2244"/>
          </w:tcPr>
          <w:p>
            <w:pPr>
              <w:pStyle w:val="Compact"/>
              <w:spacing w:before="0" w:after="0" w:line="240" w:lineRule="auto"/>
              <w:jc w:val="left"/>
            </w:pPr>
            <w:r>
              <w:rPr>
                <w:sz w:val="21"/>
              </w:rPr>
              <w:t xml:space="preserve">2</w:t>
            </w:r>
          </w:p>
        </w:tc>
        <w:tc>
          <w:tcPr>
            <w:tcW w:type="dxa" w:w="4539"/>
          </w:tcPr>
          <w:p>
            <w:pPr>
              <w:pStyle w:val="Compact"/>
              <w:spacing w:before="0" w:after="0" w:line="240" w:lineRule="auto"/>
              <w:jc w:val="left"/>
            </w:pPr>
            <w:r>
              <w:rPr>
                <w:sz w:val="21"/>
              </w:rPr>
              <w:t xml:space="preserve">[ ]</w:t>
            </w:r>
          </w:p>
        </w:tc>
        <w:tc>
          <w:tcPr>
            <w:tcW w:type="dxa" w:w="2856"/>
          </w:tcPr>
          <w:p>
            <w:pPr>
              <w:pStyle w:val="Compact"/>
              <w:spacing w:before="0" w:after="0" w:line="240" w:lineRule="auto"/>
              <w:jc w:val="left"/>
            </w:pPr>
            <w:r>
              <w:rPr>
                <w:sz w:val="21"/>
              </w:rPr>
              <w:t xml:space="preserve">[ ]</w:t>
            </w:r>
          </w:p>
        </w:tc>
      </w:tr>
      <w:tr>
        <w:tc>
          <w:tcPr>
            <w:tcW w:type="dxa" w:w="2244"/>
            <w:shd w:val="clear" w:color="auto" w:fill="F2F2F2"/>
          </w:tcPr>
          <w:p>
            <w:pPr>
              <w:pStyle w:val="Compact"/>
              <w:spacing w:before="0" w:after="0" w:line="240" w:lineRule="auto"/>
            </w:pPr>
          </w:p>
        </w:tc>
        <w:tc>
          <w:tcPr>
            <w:tcW w:type="dxa" w:w="4539"/>
            <w:shd w:val="clear" w:color="auto" w:fill="F2F2F2"/>
          </w:tcPr>
          <w:p>
            <w:pPr>
              <w:pStyle w:val="Compact"/>
              <w:spacing w:before="0" w:after="0" w:line="240" w:lineRule="auto"/>
              <w:jc w:val="left"/>
            </w:pPr>
            <w:r>
              <w:rPr>
                <w:bCs/>
                <w:b/>
                <w:sz w:val="21"/>
              </w:rPr>
              <w:t xml:space="preserve">Total</w:t>
            </w:r>
          </w:p>
        </w:tc>
        <w:tc>
          <w:tcPr>
            <w:tcW w:type="dxa" w:w="2856"/>
            <w:shd w:val="clear" w:color="auto" w:fill="F2F2F2"/>
          </w:tcPr>
          <w:p>
            <w:pPr>
              <w:pStyle w:val="Compact"/>
              <w:spacing w:before="0" w:after="0" w:line="240" w:lineRule="auto"/>
              <w:jc w:val="left"/>
            </w:pPr>
            <w:r>
              <w:rPr>
                <w:bCs/>
                <w:b/>
                <w:sz w:val="21"/>
              </w:rPr>
              <w:t xml:space="preserve">[ ]</w:t>
            </w:r>
          </w:p>
        </w:tc>
      </w:tr>
    </w:tbl>
    <w:p>
      <w:pPr>
        <w:pStyle w:val="BodyText"/>
        <w:spacing w:before="0" w:after="120" w:line="269" w:lineRule="auto"/>
        <w:jc w:val="both"/>
      </w:pPr>
      <w:r>
        <w:t xml:space="preserve">8.2 The applicant replied in FORM GST RFD-09 on [DD.MM.YYYY] [Option: after the time extended on request dated [ ]] and submitted [list of documents]. A personal hearing was held on [DD.MM.YYYY], attended by [designation of the authorised representative, not the person’s name], who [reiterated the reply] / [made the following further submissions: …] and [filed additional documents on [DD.MM.YYYY]].</w:t>
      </w:r>
    </w:p>
    <w:p>
      <w:pPr>
        <w:pStyle w:val="BodyText"/>
        <w:spacing w:before="0" w:after="120" w:line="269" w:lineRule="auto"/>
        <w:jc w:val="both"/>
      </w:pPr>
      <w:r>
        <w:t xml:space="preserve">[Option, where the applicant did not respond] 8.2 No reply was received. Opportunities of personal hearing were given on [DD.MM.YYYY], [DD.MM.YYYY] and [DD.MM.YYYY] by letters served on the portal [and by e-mail], but no one appeared and no adjournment was sought. The matter is therefore decided on the records available, as each of the grounds below is examined on its merits.</w:t>
      </w:r>
    </w:p>
    <w:p>
      <w:pPr>
        <w:pStyle w:val="BodyText"/>
        <w:spacing w:before="0" w:after="120" w:line="269" w:lineRule="auto"/>
        <w:jc w:val="both"/>
      </w:pPr>
      <w:r>
        <w:t xml:space="preserve">8.3</w:t>
      </w:r>
      <w:r>
        <w:t xml:space="preserve"> </w:t>
      </w:r>
      <w:r>
        <w:rPr>
          <w:bCs/>
          <w:b/>
        </w:rPr>
        <w:t xml:space="preserve">Findings on each ground.</w:t>
      </w:r>
      <w:r>
        <w:t xml:space="preserve"> </w:t>
      </w:r>
      <w:r>
        <w:t xml:space="preserve">Each ground in the notice, each point in the reply and each submission made at the hearing is dealt with below.</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60"/>
        <w:gridCol w:w="2024"/>
        <w:gridCol w:w="1638"/>
        <w:gridCol w:w="2602"/>
        <w:gridCol w:w="1253"/>
        <w:gridCol w:w="1060"/>
      </w:tblGrid>
      <w:tr>
        <w:trPr>
          <w:tblHeader w:val="true"/>
          <w:tblHeader/>
        </w:trPr>
        <w:tc>
          <w:tcPr>
            <w:tcW w:type="dxa" w:w="1060"/>
            <w:shd w:val="clear" w:color="auto" w:fill="DCE6F1"/>
          </w:tcPr>
          <w:p>
            <w:pPr>
              <w:pStyle w:val="Compact"/>
              <w:spacing w:before="0" w:after="0" w:line="240" w:lineRule="auto"/>
              <w:jc w:val="left"/>
            </w:pPr>
            <w:r>
              <w:rPr>
                <w:b/>
                <w:color w:val="1F3864"/>
                <w:sz w:val="21"/>
              </w:rPr>
              <w:t xml:space="preserve">Ground</w:t>
            </w:r>
          </w:p>
        </w:tc>
        <w:tc>
          <w:tcPr>
            <w:tcW w:type="dxa" w:w="2024"/>
            <w:shd w:val="clear" w:color="auto" w:fill="DCE6F1"/>
          </w:tcPr>
          <w:p>
            <w:pPr>
              <w:pStyle w:val="Compact"/>
              <w:spacing w:before="0" w:after="0" w:line="240" w:lineRule="auto"/>
              <w:jc w:val="left"/>
            </w:pPr>
            <w:r>
              <w:rPr>
                <w:b/>
                <w:color w:val="1F3864"/>
                <w:sz w:val="21"/>
              </w:rPr>
              <w:t xml:space="preserve">Applicant’s reply / submission at hearing</w:t>
            </w:r>
          </w:p>
        </w:tc>
        <w:tc>
          <w:tcPr>
            <w:tcW w:type="dxa" w:w="1638"/>
            <w:shd w:val="clear" w:color="auto" w:fill="DCE6F1"/>
          </w:tcPr>
          <w:p>
            <w:pPr>
              <w:pStyle w:val="Compact"/>
              <w:spacing w:before="0" w:after="0" w:line="240" w:lineRule="auto"/>
              <w:jc w:val="left"/>
            </w:pPr>
            <w:r>
              <w:rPr>
                <w:b/>
                <w:color w:val="1F3864"/>
                <w:sz w:val="21"/>
              </w:rPr>
              <w:t xml:space="preserve">Verification done</w:t>
            </w:r>
          </w:p>
        </w:tc>
        <w:tc>
          <w:tcPr>
            <w:tcW w:type="dxa" w:w="2602"/>
            <w:shd w:val="clear" w:color="auto" w:fill="DCE6F1"/>
          </w:tcPr>
          <w:p>
            <w:pPr>
              <w:pStyle w:val="Compact"/>
              <w:spacing w:before="0" w:after="0" w:line="240" w:lineRule="auto"/>
              <w:jc w:val="left"/>
            </w:pPr>
            <w:r>
              <w:rPr>
                <w:b/>
                <w:color w:val="1F3864"/>
                <w:sz w:val="21"/>
              </w:rPr>
              <w:t xml:space="preserve">Finding and provision relied on</w:t>
            </w:r>
          </w:p>
        </w:tc>
        <w:tc>
          <w:tcPr>
            <w:tcW w:type="dxa" w:w="1253"/>
            <w:shd w:val="clear" w:color="auto" w:fill="DCE6F1"/>
          </w:tcPr>
          <w:p>
            <w:pPr>
              <w:pStyle w:val="Compact"/>
              <w:spacing w:before="0" w:after="0" w:line="240" w:lineRule="auto"/>
              <w:jc w:val="left"/>
            </w:pPr>
            <w:r>
              <w:rPr>
                <w:b/>
                <w:color w:val="1F3864"/>
                <w:sz w:val="21"/>
              </w:rPr>
              <w:t xml:space="preserve">ITC / turnover / tax affected (₹)</w:t>
            </w:r>
          </w:p>
        </w:tc>
        <w:tc>
          <w:tcPr>
            <w:tcW w:type="dxa" w:w="1060"/>
            <w:shd w:val="clear" w:color="auto" w:fill="DCE6F1"/>
          </w:tcPr>
          <w:p>
            <w:pPr>
              <w:pStyle w:val="Compact"/>
              <w:spacing w:before="0" w:after="0" w:line="240" w:lineRule="auto"/>
              <w:jc w:val="left"/>
            </w:pPr>
            <w:r>
              <w:rPr>
                <w:b/>
                <w:color w:val="1F3864"/>
                <w:sz w:val="21"/>
              </w:rPr>
              <w:t xml:space="preserve">Effect on refund (₹)</w:t>
            </w:r>
          </w:p>
        </w:tc>
      </w:tr>
      <w:tr>
        <w:tc>
          <w:tcPr>
            <w:tcW w:type="dxa" w:w="1060"/>
          </w:tcPr>
          <w:p>
            <w:pPr>
              <w:pStyle w:val="Compact"/>
              <w:spacing w:before="0" w:after="0" w:line="240" w:lineRule="auto"/>
              <w:jc w:val="left"/>
            </w:pPr>
            <w:r>
              <w:rPr>
                <w:sz w:val="21"/>
              </w:rPr>
              <w:t xml:space="preserve">1</w:t>
            </w:r>
          </w:p>
        </w:tc>
        <w:tc>
          <w:tcPr>
            <w:tcW w:type="dxa" w:w="2024"/>
          </w:tcPr>
          <w:p>
            <w:pPr>
              <w:pStyle w:val="Compact"/>
              <w:spacing w:before="0" w:after="0" w:line="240" w:lineRule="auto"/>
              <w:jc w:val="left"/>
            </w:pPr>
            <w:r>
              <w:rPr>
                <w:sz w:val="21"/>
              </w:rPr>
              <w:t xml:space="preserve">[summary of the reply on this ground]</w:t>
            </w:r>
          </w:p>
        </w:tc>
        <w:tc>
          <w:tcPr>
            <w:tcW w:type="dxa" w:w="1638"/>
          </w:tcPr>
          <w:p>
            <w:pPr>
              <w:pStyle w:val="Compact"/>
              <w:spacing w:before="0" w:after="0" w:line="240" w:lineRule="auto"/>
              <w:jc w:val="left"/>
            </w:pPr>
            <w:r>
              <w:rPr>
                <w:sz w:val="21"/>
              </w:rPr>
              <w:t xml:space="preserve">[what was checked, against which record]</w:t>
            </w:r>
          </w:p>
        </w:tc>
        <w:tc>
          <w:tcPr>
            <w:tcW w:type="dxa" w:w="2602"/>
          </w:tcPr>
          <w:p>
            <w:pPr>
              <w:pStyle w:val="Compact"/>
              <w:spacing w:before="0" w:after="0" w:line="240" w:lineRule="auto"/>
              <w:jc w:val="left"/>
            </w:pPr>
            <w:r>
              <w:rPr>
                <w:sz w:val="21"/>
              </w:rPr>
              <w:t xml:space="preserve">[Accepted / Partly accepted / Not accepted, because …; section or rule]</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r>
        <w:tc>
          <w:tcPr>
            <w:tcW w:type="dxa" w:w="1060"/>
          </w:tcPr>
          <w:p>
            <w:pPr>
              <w:pStyle w:val="Compact"/>
              <w:spacing w:before="0" w:after="0" w:line="240" w:lineRule="auto"/>
              <w:jc w:val="left"/>
            </w:pPr>
            <w:r>
              <w:rPr>
                <w:sz w:val="21"/>
              </w:rPr>
              <w:t xml:space="preserve">2</w:t>
            </w:r>
          </w:p>
        </w:tc>
        <w:tc>
          <w:tcPr>
            <w:tcW w:type="dxa" w:w="2024"/>
          </w:tcPr>
          <w:p>
            <w:pPr>
              <w:pStyle w:val="Compact"/>
              <w:spacing w:before="0" w:after="0" w:line="240" w:lineRule="auto"/>
              <w:jc w:val="left"/>
            </w:pPr>
            <w:r>
              <w:rPr>
                <w:sz w:val="21"/>
              </w:rPr>
              <w:t xml:space="preserve">[ ]</w:t>
            </w:r>
          </w:p>
        </w:tc>
        <w:tc>
          <w:tcPr>
            <w:tcW w:type="dxa" w:w="1638"/>
          </w:tcPr>
          <w:p>
            <w:pPr>
              <w:pStyle w:val="Compact"/>
              <w:spacing w:before="0" w:after="0" w:line="240" w:lineRule="auto"/>
              <w:jc w:val="left"/>
            </w:pPr>
            <w:r>
              <w:rPr>
                <w:sz w:val="21"/>
              </w:rPr>
              <w:t xml:space="preserve">[ ]</w:t>
            </w:r>
          </w:p>
        </w:tc>
        <w:tc>
          <w:tcPr>
            <w:tcW w:type="dxa" w:w="2602"/>
          </w:tcPr>
          <w:p>
            <w:pPr>
              <w:pStyle w:val="Compact"/>
              <w:spacing w:before="0" w:after="0" w:line="240" w:lineRule="auto"/>
              <w:jc w:val="left"/>
            </w:pPr>
            <w:r>
              <w:rPr>
                <w:sz w:val="21"/>
              </w:rPr>
              <w:t xml:space="preserve">[ ]</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r>
        <w:tc>
          <w:tcPr>
            <w:tcW w:type="dxa" w:w="1060"/>
          </w:tcPr>
          <w:p>
            <w:pPr>
              <w:pStyle w:val="Compact"/>
              <w:spacing w:before="0" w:after="0" w:line="240" w:lineRule="auto"/>
              <w:jc w:val="left"/>
            </w:pPr>
            <w:r>
              <w:rPr>
                <w:sz w:val="21"/>
              </w:rPr>
              <w:t xml:space="preserve">Further submission at hearing</w:t>
            </w:r>
          </w:p>
        </w:tc>
        <w:tc>
          <w:tcPr>
            <w:tcW w:type="dxa" w:w="2024"/>
          </w:tcPr>
          <w:p>
            <w:pPr>
              <w:pStyle w:val="Compact"/>
              <w:spacing w:before="0" w:after="0" w:line="240" w:lineRule="auto"/>
              <w:jc w:val="left"/>
            </w:pPr>
            <w:r>
              <w:rPr>
                <w:sz w:val="21"/>
              </w:rPr>
              <w:t xml:space="preserve">[ ]</w:t>
            </w:r>
          </w:p>
        </w:tc>
        <w:tc>
          <w:tcPr>
            <w:tcW w:type="dxa" w:w="1638"/>
          </w:tcPr>
          <w:p>
            <w:pPr>
              <w:pStyle w:val="Compact"/>
              <w:spacing w:before="0" w:after="0" w:line="240" w:lineRule="auto"/>
              <w:jc w:val="left"/>
            </w:pPr>
            <w:r>
              <w:rPr>
                <w:sz w:val="21"/>
              </w:rPr>
              <w:t xml:space="preserve">[ ]</w:t>
            </w:r>
          </w:p>
        </w:tc>
        <w:tc>
          <w:tcPr>
            <w:tcW w:type="dxa" w:w="2602"/>
          </w:tcPr>
          <w:p>
            <w:pPr>
              <w:pStyle w:val="Compact"/>
              <w:spacing w:before="0" w:after="0" w:line="240" w:lineRule="auto"/>
              <w:jc w:val="left"/>
            </w:pPr>
            <w:r>
              <w:rPr>
                <w:sz w:val="21"/>
              </w:rPr>
              <w:t xml:space="preserve">[ ]</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write a separate paragraph under the table for any ground that needs more than three lines of reasoning. Keep the</w:t>
      </w:r>
      <w:r>
        <w:rPr>
          <w:sz w:val="21"/>
        </w:rPr>
        <w:t xml:space="preserve"> </w:t>
      </w:r>
      <w:r>
        <w:rPr>
          <w:sz w:val="21"/>
        </w:rPr>
        <w:t xml:space="preserve">“</w:t>
      </w:r>
      <w:r>
        <w:rPr>
          <w:sz w:val="21"/>
        </w:rPr>
        <w:t xml:space="preserve">affected</w:t>
      </w:r>
      <w:r>
        <w:rPr>
          <w:sz w:val="21"/>
        </w:rPr>
        <w:t xml:space="preserve">”</w:t>
      </w:r>
      <w:r>
        <w:rPr>
          <w:sz w:val="21"/>
        </w:rPr>
        <w:t xml:space="preserve"> </w:t>
      </w:r>
      <w:r>
        <w:rPr>
          <w:sz w:val="21"/>
        </w:rPr>
        <w:t xml:space="preserve">column (the ITC, turnover or tax that is the input) separate from the</w:t>
      </w:r>
      <w:r>
        <w:rPr>
          <w:sz w:val="21"/>
        </w:rPr>
        <w:t xml:space="preserve"> </w:t>
      </w:r>
      <w:r>
        <w:rPr>
          <w:sz w:val="21"/>
        </w:rPr>
        <w:t xml:space="preserve">“</w:t>
      </w:r>
      <w:r>
        <w:rPr>
          <w:sz w:val="21"/>
        </w:rPr>
        <w:t xml:space="preserve">effect on refund</w:t>
      </w:r>
      <w:r>
        <w:rPr>
          <w:sz w:val="21"/>
        </w:rPr>
        <w:t xml:space="preserve">”</w:t>
      </w:r>
      <w:r>
        <w:rPr>
          <w:sz w:val="21"/>
        </w:rPr>
        <w:t xml:space="preserve"> </w:t>
      </w:r>
      <w:r>
        <w:rPr>
          <w:sz w:val="21"/>
        </w:rPr>
        <w:t xml:space="preserve">column (the result after the formula), so that the two are never confused. Decide every ground, including one that becomes moot because of the finding on another ground (say</w:t>
      </w:r>
      <w:r>
        <w:rPr>
          <w:sz w:val="21"/>
        </w:rPr>
        <w:t xml:space="preserve"> </w:t>
      </w:r>
      <w:r>
        <w:rPr>
          <w:sz w:val="21"/>
        </w:rPr>
        <w:t xml:space="preserve">“</w:t>
      </w:r>
      <w:r>
        <w:rPr>
          <w:sz w:val="21"/>
        </w:rPr>
        <w:t xml:space="preserve">This ground does not survive, in view of the finding on ground [ ]</w:t>
      </w:r>
      <w:r>
        <w:rPr>
          <w:sz w:val="21"/>
        </w:rPr>
        <w:t xml:space="preserve">”</w:t>
      </w:r>
      <w:r>
        <w:rPr>
          <w:sz w:val="21"/>
        </w:rPr>
        <w:t xml:space="preserve">). If a ground is dropped, say so and why.</w:t>
      </w:r>
    </w:p>
    <w:p>
      <w:pPr>
        <w:pStyle w:val="FirstParagraph"/>
        <w:keepNext/>
        <w:spacing w:before="240" w:after="80"/>
        <w:pBdr>
          <w:bottom w:val="single" w:sz="6" w:space="1" w:color="B4C6E7"/>
        </w:pBdr>
      </w:pPr>
      <w:r>
        <w:rPr>
          <w:bCs/>
          <w:b/>
          <w:color w:val="1F3864"/>
          <w:sz w:val="25"/>
        </w:rPr>
        <w:t xml:space="preserve">9. Other conditions for payment of the refund</w:t>
      </w:r>
    </w:p>
    <w:p>
      <w:pPr>
        <w:pStyle w:val="BodyText"/>
        <w:spacing w:before="0" w:after="120" w:line="269" w:lineRule="auto"/>
        <w:jc w:val="both"/>
      </w:pPr>
      <w:r>
        <w:t xml:space="preserve">9.1</w:t>
      </w:r>
      <w:r>
        <w:t xml:space="preserve"> </w:t>
      </w:r>
      <w:r>
        <w:rPr>
          <w:bCs/>
          <w:b/>
        </w:rPr>
        <w:t xml:space="preserve">Unjust enrichment.</w:t>
      </w:r>
      <w:r>
        <w:t xml:space="preserve"> </w:t>
      </w:r>
      <w:r>
        <w:t xml:space="preserve">The refund is of unutilised input tax credit on zero-rated supplies, payable to the applicant under clause (b) of section 54(8) (a supply to an SEZ is zero-rated but is not an export, which is what clause (a) covers). The question of unjust enrichment does not arise, and no certificate or declaration under rule 89(2)(l) or (m) is required (provisos to rule 89(2)(l) and (m)).</w:t>
      </w:r>
    </w:p>
    <w:p>
      <w:pPr>
        <w:pStyle w:val="BodyText"/>
        <w:spacing w:before="0" w:after="120" w:line="269" w:lineRule="auto"/>
        <w:jc w:val="both"/>
      </w:pPr>
      <w:r>
        <w:t xml:space="preserve">9.2</w:t>
      </w:r>
      <w:r>
        <w:t xml:space="preserve"> </w:t>
      </w:r>
      <w:r>
        <w:rPr>
          <w:bCs/>
          <w:b/>
        </w:rPr>
        <w:t xml:space="preserve">Dues and withholding (section 54(10) and 54(11)).</w:t>
      </w:r>
      <w:r>
        <w:t xml:space="preserve"> </w:t>
      </w:r>
      <w:r>
        <w:t xml:space="preserve">The [range report dated [DD.MM.YYYY]], the arrears and liability register of the Division, the back-office demand and recovery ledger and the portal (Electronic Liability Register Part II) were checked on [DD.MM.YYYY].</w:t>
      </w:r>
    </w:p>
    <w:p>
      <w:pPr>
        <w:pStyle w:val="BodyText"/>
        <w:spacing w:before="0" w:after="120" w:line="269" w:lineRule="auto"/>
        <w:jc w:val="both"/>
      </w:pPr>
      <w:r>
        <w:t xml:space="preserve">[Option A] No return was pending and no tax, interest, penalty or other amount was payable by the applicant under the CGST Act or the existing law that had not been stayed by the specified date. No amount is withheld or deducted.</w:t>
      </w:r>
    </w:p>
    <w:p>
      <w:pPr>
        <w:pStyle w:val="BodyText"/>
        <w:spacing w:before="0" w:after="120" w:line="269" w:lineRule="auto"/>
        <w:jc w:val="both"/>
      </w:pPr>
      <w:r>
        <w:t xml:space="preserve">[Option B] The applicant owes ₹[ ] under [Order No. [ ] dated [ ] / demand ID [ ]]. That amount was not stayed by any court, Tribunal or Appellate Authority by the specified date (the last date for filing an appeal), [and no appeal with the pre-deposit under section 107(6) is on record]. Under section 54(10)(b), ₹[ ] is deducted from the refund and</w:t>
      </w:r>
      <w:r>
        <w:t xml:space="preserve"> </w:t>
      </w:r>
      <w:r>
        <w:rPr>
          <w:bCs/>
          <w:b/>
        </w:rPr>
        <w:t xml:space="preserve">adjusted in this order</w:t>
      </w:r>
      <w:r>
        <w:t xml:space="preserve"> </w:t>
      </w:r>
      <w:r>
        <w:t xml:space="preserve">against that demand (rule 92(1); para 35 of Circular No. 125/44/2019-GST). [Under section 54(10)(a), ₹[ ] is withheld until the return for [period] is filed, by order in Part A of FORM GST RFD-07 dated [DD.MM.YYYY] (rule 92(2)).]</w:t>
      </w:r>
    </w:p>
    <w:p>
      <w:pPr>
        <w:pStyle w:val="BodyText"/>
        <w:spacing w:before="0" w:after="120" w:line="269" w:lineRule="auto"/>
        <w:jc w:val="both"/>
      </w:pPr>
      <w:r>
        <w:t xml:space="preserve">[Option C] By order dated [DD.MM.YYYY], the Commissioner, being of the opinion that the grant of this refund is likely to adversely affect the revenue in [the appeal / proceedings [No.] pending under section [ ]] on account of [malfeasance / fraud], namely [ ], has, after giving the applicant an opportunity of being heard, withheld ₹[ ] until [ ] under section 54(11). The withholding is recorded in Part A of FORM GST RFD-07 dated [DD.MM.YYYY] (rule 92(2)). If the applicant becomes entitled to the amount as a result of those proceedings, interest is payable under section 54(12).</w:t>
      </w:r>
    </w:p>
    <w:p>
      <w:pPr>
        <w:pStyle w:val="BlockText"/>
        <w:shd w:val="clear" w:color="auto" w:fill="E7E6E6"/>
      </w:pPr>
      <w:r>
        <w:rPr>
          <w:bCs/>
          <w:b/>
          <w:sz w:val="21"/>
        </w:rPr>
        <w:t xml:space="preserve">Drafting note:</w:t>
      </w:r>
      <w:r>
        <w:rPr>
          <w:sz w:val="21"/>
        </w:rPr>
        <w:t xml:space="preserve"> </w:t>
      </w:r>
      <w:r>
        <w:rPr>
          <w:sz w:val="21"/>
        </w:rPr>
        <w:t xml:space="preserve">only a confirmed amount not stayed by the specified date can be deducted or withheld under section 54(10). A demand set aside in appeal, a demand under appeal with the pre-deposit paid (deemed stayed under section 107(7)), or a mere show cause notice cannot be. Nothing is to be adjusted against a provisional refund (Instruction 06/2025-GST para 3.2). An adjustment under section 54(10)(b) is made in this RFD-06 itself; RFD-07 Part A is only for withholding (section 54(10)(a) or 54(11)), and Part B for its release. Never reject a refund in place of adjusting or withholding it.</w:t>
      </w:r>
    </w:p>
    <w:p>
      <w:pPr>
        <w:pStyle w:val="FirstParagraph"/>
        <w:spacing w:before="0" w:after="120" w:line="269" w:lineRule="auto"/>
        <w:jc w:val="both"/>
      </w:pPr>
      <w:r>
        <w:t xml:space="preserve">9.3</w:t>
      </w:r>
      <w:r>
        <w:t xml:space="preserve"> </w:t>
      </w:r>
      <w:r>
        <w:rPr>
          <w:bCs/>
          <w:b/>
        </w:rPr>
        <w:t xml:space="preserve">Minimum amount (section 54(14)).</w:t>
      </w:r>
      <w:r>
        <w:t xml:space="preserve"> </w:t>
      </w:r>
      <w:r>
        <w:t xml:space="preserve">The amount sanctioned under each tax head is not less than one thousand rupees. [Option: The amount found admissible under [head] is ₹[ ], which is less than one thousand rupees, and is therefore not paid (section 54(14); para 60 of Circular No. 125/44/2019-GST, which applies the limit to each tax head separately).]</w:t>
      </w:r>
    </w:p>
    <w:p>
      <w:pPr>
        <w:pStyle w:val="BlockText"/>
        <w:shd w:val="clear" w:color="auto" w:fill="E7E6E6"/>
      </w:pPr>
      <w:r>
        <w:rPr>
          <w:bCs/>
          <w:b/>
          <w:sz w:val="21"/>
        </w:rPr>
        <w:t xml:space="preserve">Drafting note (amount below ₹1,000 under a head):</w:t>
      </w:r>
      <w:r>
        <w:rPr>
          <w:sz w:val="21"/>
        </w:rPr>
        <w:t xml:space="preserve"> </w:t>
      </w:r>
      <w:r>
        <w:rPr>
          <w:sz w:val="21"/>
        </w:rPr>
        <w:t xml:space="preserve">say in para 11 what becomes of it. Show it in the</w:t>
      </w:r>
      <w:r>
        <w:rPr>
          <w:sz w:val="21"/>
        </w:rPr>
        <w:t xml:space="preserve"> </w:t>
      </w:r>
      <w:r>
        <w:rPr>
          <w:sz w:val="21"/>
        </w:rPr>
        <w:t xml:space="preserve">“</w:t>
      </w:r>
      <w:r>
        <w:rPr>
          <w:sz w:val="21"/>
        </w:rPr>
        <w:t xml:space="preserve">Rejected</w:t>
      </w:r>
      <w:r>
        <w:rPr>
          <w:sz w:val="21"/>
        </w:rPr>
        <w:t xml:space="preserve">”</w:t>
      </w:r>
      <w:r>
        <w:rPr>
          <w:sz w:val="21"/>
        </w:rPr>
        <w:t xml:space="preserve"> </w:t>
      </w:r>
      <w:r>
        <w:rPr>
          <w:sz w:val="21"/>
        </w:rPr>
        <w:t xml:space="preserve">column of the 11.1 table with the words</w:t>
      </w:r>
      <w:r>
        <w:rPr>
          <w:sz w:val="21"/>
        </w:rPr>
        <w:t xml:space="preserve"> </w:t>
      </w:r>
      <w:r>
        <w:rPr>
          <w:sz w:val="21"/>
        </w:rPr>
        <w:t xml:space="preserve">“</w:t>
      </w:r>
      <w:r>
        <w:rPr>
          <w:sz w:val="21"/>
        </w:rPr>
        <w:t xml:space="preserve">not paid under section 54(14)</w:t>
      </w:r>
      <w:r>
        <w:rPr>
          <w:sz w:val="21"/>
        </w:rPr>
        <w:t xml:space="preserve">”</w:t>
      </w:r>
      <w:r>
        <w:rPr>
          <w:sz w:val="21"/>
        </w:rPr>
        <w:t xml:space="preserve">, so the table balances. Where it was debited from the electronic credit or cash ledger on filing, direct its re-credit by PMT-03 with the rest of the rejected amount [confirm the Commissionerate’s practice].</w:t>
      </w:r>
    </w:p>
    <w:p>
      <w:pPr>
        <w:pStyle w:val="FirstParagraph"/>
        <w:spacing w:before="0" w:after="120" w:line="269" w:lineRule="auto"/>
        <w:jc w:val="both"/>
      </w:pPr>
      <w:r>
        <w:t xml:space="preserve">9.4</w:t>
      </w:r>
      <w:r>
        <w:t xml:space="preserve"> </w:t>
      </w:r>
      <w:r>
        <w:rPr>
          <w:bCs/>
          <w:b/>
        </w:rPr>
        <w:t xml:space="preserve">Bank account.</w:t>
      </w:r>
      <w:r>
        <w:t xml:space="preserve"> </w:t>
      </w:r>
      <w:r>
        <w:t xml:space="preserve">The refund will be credited to the bank account [ending [XXXX]] declared in the application, which is one of the accounts in the applicant’s registration particulars and has been validated on the portal (rule 92(4)).</w:t>
      </w:r>
    </w:p>
    <w:p>
      <w:pPr>
        <w:pStyle w:val="BodyText"/>
        <w:spacing w:before="0" w:after="120" w:line="269" w:lineRule="auto"/>
        <w:jc w:val="both"/>
      </w:pPr>
      <w:r>
        <w:t xml:space="preserve">9.5</w:t>
      </w:r>
      <w:r>
        <w:t xml:space="preserve"> </w:t>
      </w:r>
      <w:r>
        <w:rPr>
          <w:bCs/>
          <w:b/>
        </w:rPr>
        <w:t xml:space="preserve">Time limit and interest on delay (section 54(7), section 56 and rule 94).</w:t>
      </w:r>
      <w:r>
        <w:t xml:space="preserve"> </w:t>
      </w:r>
      <w:r>
        <w:t xml:space="preserve">The application was filed on [DD.MM.YYYY] (the ARN date, as indicated in RFD-02 under rule 90(2)); the period under section 54(7) and section 56 counts from that date and ends on [DD.MM.YYYY].</w:t>
      </w:r>
    </w:p>
    <w:p>
      <w:pPr>
        <w:pStyle w:val="BodyText"/>
        <w:spacing w:before="0" w:after="120" w:line="269" w:lineRule="auto"/>
        <w:jc w:val="both"/>
      </w:pPr>
      <w:r>
        <w:t xml:space="preserve">[Option A] This order and the payment order in FORM GST RFD-05 are issued on [DD.MM.YYYY], within the sixty days. A refund is made only when the amount is credited to the applicant’s bank account (para 34 of Circular No. 125/44/2019-GST); if the credit takes place after [the date on which the sixty days end], interest under section 56 is payable for the days of delay up to the date of credit, and will be sanctioned by a separate order under rule 94.</w:t>
      </w:r>
    </w:p>
    <w:p>
      <w:pPr>
        <w:pStyle w:val="BodyText"/>
        <w:spacing w:before="0" w:after="120" w:line="269" w:lineRule="auto"/>
        <w:jc w:val="both"/>
      </w:pPr>
      <w:r>
        <w:t xml:space="preserve">[Option B] The sixty days ended on [DD.MM.YYYY], before this order. Under section 56 and rule 94, interest at six per cent per annum (Notification No. 13/2017-Central Tax dated 28.06.2017) is payable on the refund sanctioned from [the day after the sixty days end] until the date on which the amount is credited to the applicant’s bank account (para 34 of Circular No. 125/44/2019-GST). Under rule 94(2), the period beyond fifteen days of receipt of the RFD-08 notice taken by the applicant to reply or to submit documents, i.e. from [DD.MM.YYYY] to [DD.MM.YYYY] ([ ] days), and any period taken to correct or validate the bank account, are excluded. A separate order under rule 94(1), with FORM GST RFD-05, will specify the amount of delayed refund, the period of delay and the interest payable.</w:t>
      </w:r>
    </w:p>
    <w:p>
      <w:pPr>
        <w:pStyle w:val="BodyText"/>
        <w:keepNext/>
        <w:spacing w:before="240" w:after="80"/>
        <w:pBdr>
          <w:bottom w:val="single" w:sz="6" w:space="1" w:color="B4C6E7"/>
        </w:pBdr>
      </w:pPr>
      <w:r>
        <w:rPr>
          <w:bCs/>
          <w:b/>
          <w:color w:val="1F3864"/>
          <w:sz w:val="25"/>
        </w:rPr>
        <w:t xml:space="preserve">10. Conclusion</w:t>
      </w:r>
    </w:p>
    <w:p>
      <w:pPr>
        <w:pStyle w:val="BodyText"/>
        <w:spacing w:before="0" w:after="120" w:line="269" w:lineRule="auto"/>
        <w:jc w:val="both"/>
      </w:pPr>
      <w:r>
        <w:t xml:space="preserve">10.1 In view of the above, I find that the applicant is entitled to refund of ₹[ ] under clause (i) of the first proviso to section 54(3) of the CGST Act and sections 16(1)(b) and 16(3) of the IGST Act, read with rule 89(4), and that ₹[ ] is not admissible for the reasons in paras [3, 6, 7 and 8]. The inadmissible amount, having been debited from the electronic credit ledger, is to be re-credited under rule 93(2) on the conditions in para 11.4. Accordingly, I pass the following order.</w:t>
      </w:r>
    </w:p>
    <w:p>
      <w:pPr>
        <w:pStyle w:val="BodyText"/>
        <w:keepNext/>
        <w:spacing w:before="240" w:after="80"/>
        <w:pBdr>
          <w:bottom w:val="single" w:sz="6" w:space="1" w:color="B4C6E7"/>
        </w:pBdr>
        <w:jc w:val="center"/>
      </w:pPr>
      <w:r>
        <w:rPr>
          <w:bCs/>
          <w:b/>
          <w:color w:val="1F3864"/>
          <w:sz w:val="25"/>
        </w:rPr>
        <w:t xml:space="preserve">11. ORDER</w:t>
      </w:r>
    </w:p>
    <w:p>
      <w:pPr>
        <w:pStyle w:val="BodyText"/>
        <w:spacing w:before="0" w:after="120" w:line="269" w:lineRule="auto"/>
        <w:jc w:val="both"/>
      </w:pPr>
      <w:r>
        <w:t xml:space="preserve">11.1 Under section 54(5) of the CGST Act read with rules 92(1) and 92(4), I sanction refund of</w:t>
      </w:r>
      <w:r>
        <w:t xml:space="preserve"> </w:t>
      </w:r>
      <w:r>
        <w:rPr>
          <w:bCs/>
          <w:b/>
        </w:rPr>
        <w:t xml:space="preserve">₹[ ] (Rupees [amount in words] only)</w:t>
      </w:r>
      <w:r>
        <w:t xml:space="preserve"> </w:t>
      </w:r>
      <w:r>
        <w:t xml:space="preserve">to the applicant, payable under section 54(8)(b), as follows: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90"/>
        <w:gridCol w:w="1068"/>
        <w:gridCol w:w="1334"/>
        <w:gridCol w:w="1423"/>
        <w:gridCol w:w="1275"/>
        <w:gridCol w:w="1068"/>
        <w:gridCol w:w="1423"/>
        <w:gridCol w:w="1157"/>
      </w:tblGrid>
      <w:tr>
        <w:trPr>
          <w:tblHeader w:val="true"/>
          <w:tblHeader/>
        </w:trPr>
        <w:tc>
          <w:tcPr>
            <w:tcW w:type="dxa" w:w="890"/>
            <w:shd w:val="clear" w:color="auto" w:fill="DCE6F1"/>
          </w:tcPr>
          <w:p>
            <w:pPr>
              <w:pStyle w:val="Compact"/>
              <w:spacing w:before="0" w:after="0" w:line="240" w:lineRule="auto"/>
              <w:jc w:val="left"/>
            </w:pPr>
            <w:r>
              <w:rPr>
                <w:b/>
                <w:color w:val="1F3864"/>
                <w:sz w:val="18"/>
              </w:rPr>
              <w:t xml:space="preserve">Head</w:t>
            </w:r>
          </w:p>
        </w:tc>
        <w:tc>
          <w:tcPr>
            <w:tcW w:type="dxa" w:w="1068"/>
            <w:shd w:val="clear" w:color="auto" w:fill="DCE6F1"/>
          </w:tcPr>
          <w:p>
            <w:pPr>
              <w:pStyle w:val="Compact"/>
              <w:spacing w:before="0" w:after="0" w:line="240" w:lineRule="auto"/>
              <w:jc w:val="left"/>
            </w:pPr>
            <w:r>
              <w:rPr>
                <w:b/>
                <w:color w:val="1F3864"/>
                <w:sz w:val="18"/>
              </w:rPr>
              <w:t xml:space="preserve">Claimed (₹)</w:t>
            </w:r>
          </w:p>
        </w:tc>
        <w:tc>
          <w:tcPr>
            <w:tcW w:type="dxa" w:w="1334"/>
            <w:shd w:val="clear" w:color="auto" w:fill="DCE6F1"/>
          </w:tcPr>
          <w:p>
            <w:pPr>
              <w:pStyle w:val="Compact"/>
              <w:spacing w:before="0" w:after="0" w:line="240" w:lineRule="auto"/>
              <w:jc w:val="left"/>
            </w:pPr>
            <w:r>
              <w:rPr>
                <w:b/>
                <w:color w:val="1F3864"/>
                <w:sz w:val="18"/>
              </w:rPr>
              <w:t xml:space="preserve">Admissible (₹)</w:t>
            </w:r>
          </w:p>
        </w:tc>
        <w:tc>
          <w:tcPr>
            <w:tcW w:type="dxa" w:w="1423"/>
            <w:shd w:val="clear" w:color="auto" w:fill="DCE6F1"/>
          </w:tcPr>
          <w:p>
            <w:pPr>
              <w:pStyle w:val="Compact"/>
              <w:spacing w:before="0" w:after="0" w:line="240" w:lineRule="auto"/>
              <w:jc w:val="left"/>
            </w:pPr>
            <w:r>
              <w:rPr>
                <w:b/>
                <w:color w:val="1F3864"/>
                <w:sz w:val="18"/>
              </w:rPr>
              <w:t xml:space="preserve">Provisional refund paid (RFD-04 dated [ ], RFD-05 dated [ ]) (₹)</w:t>
            </w:r>
          </w:p>
        </w:tc>
        <w:tc>
          <w:tcPr>
            <w:tcW w:type="dxa" w:w="1275"/>
            <w:shd w:val="clear" w:color="auto" w:fill="DCE6F1"/>
          </w:tcPr>
          <w:p>
            <w:pPr>
              <w:pStyle w:val="Compact"/>
              <w:spacing w:before="0" w:after="0" w:line="240" w:lineRule="auto"/>
              <w:jc w:val="left"/>
            </w:pPr>
            <w:r>
              <w:rPr>
                <w:b/>
                <w:color w:val="1F3864"/>
                <w:sz w:val="18"/>
              </w:rPr>
              <w:t xml:space="preserve">Adjusted under section 54(10)(b) in this order / withheld by RFD-07 (₹)</w:t>
            </w:r>
          </w:p>
        </w:tc>
        <w:tc>
          <w:tcPr>
            <w:tcW w:type="dxa" w:w="1068"/>
            <w:shd w:val="clear" w:color="auto" w:fill="DCE6F1"/>
          </w:tcPr>
          <w:p>
            <w:pPr>
              <w:pStyle w:val="Compact"/>
              <w:spacing w:before="0" w:after="0" w:line="240" w:lineRule="auto"/>
              <w:jc w:val="left"/>
            </w:pPr>
            <w:r>
              <w:rPr>
                <w:b/>
                <w:color w:val="1F3864"/>
                <w:sz w:val="18"/>
              </w:rPr>
              <w:t xml:space="preserve">Net payable now by RFD-05 (₹)</w:t>
            </w:r>
          </w:p>
        </w:tc>
        <w:tc>
          <w:tcPr>
            <w:tcW w:type="dxa" w:w="1423"/>
            <w:shd w:val="clear" w:color="auto" w:fill="DCE6F1"/>
          </w:tcPr>
          <w:p>
            <w:pPr>
              <w:pStyle w:val="Compact"/>
              <w:spacing w:before="0" w:after="0" w:line="240" w:lineRule="auto"/>
              <w:jc w:val="left"/>
            </w:pPr>
            <w:r>
              <w:rPr>
                <w:b/>
                <w:color w:val="1F3864"/>
                <w:sz w:val="18"/>
              </w:rPr>
              <w:t xml:space="preserve">Excess provisional refund recoverable (para 11.5A) (₹)</w:t>
            </w:r>
          </w:p>
        </w:tc>
        <w:tc>
          <w:tcPr>
            <w:tcW w:type="dxa" w:w="1157"/>
            <w:shd w:val="clear" w:color="auto" w:fill="DCE6F1"/>
          </w:tcPr>
          <w:p>
            <w:pPr>
              <w:pStyle w:val="Compact"/>
              <w:spacing w:before="0" w:after="0" w:line="240" w:lineRule="auto"/>
              <w:jc w:val="left"/>
            </w:pPr>
            <w:r>
              <w:rPr>
                <w:b/>
                <w:color w:val="1F3864"/>
                <w:sz w:val="18"/>
              </w:rPr>
              <w:t xml:space="preserve">Rejected (₹)</w:t>
            </w:r>
          </w:p>
        </w:tc>
      </w:tr>
      <w:tr>
        <w:tc>
          <w:tcPr>
            <w:tcW w:type="dxa" w:w="890"/>
          </w:tcPr>
          <w:p>
            <w:pPr>
              <w:pStyle w:val="Compact"/>
              <w:spacing w:before="0" w:after="0" w:line="240" w:lineRule="auto"/>
              <w:jc w:val="left"/>
            </w:pPr>
            <w:r>
              <w:rPr>
                <w:sz w:val="18"/>
              </w:rPr>
              <w:t xml:space="preserve">IGST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CGST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SGST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Cess</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shd w:val="clear" w:color="auto" w:fill="F2F2F2"/>
          </w:tcPr>
          <w:p>
            <w:pPr>
              <w:pStyle w:val="Compact"/>
              <w:spacing w:before="0" w:after="0" w:line="240" w:lineRule="auto"/>
              <w:jc w:val="left"/>
            </w:pPr>
            <w:r>
              <w:rPr>
                <w:bCs/>
                <w:b/>
                <w:sz w:val="18"/>
              </w:rPr>
              <w:t xml:space="preserve">Total</w:t>
            </w:r>
          </w:p>
        </w:tc>
        <w:tc>
          <w:tcPr>
            <w:tcW w:type="dxa" w:w="1068"/>
            <w:shd w:val="clear" w:color="auto" w:fill="F2F2F2"/>
          </w:tcPr>
          <w:p>
            <w:pPr>
              <w:pStyle w:val="Compact"/>
              <w:spacing w:before="0" w:after="0" w:line="240" w:lineRule="auto"/>
              <w:jc w:val="left"/>
            </w:pPr>
            <w:r>
              <w:rPr>
                <w:bCs/>
                <w:b/>
                <w:sz w:val="18"/>
              </w:rPr>
              <w:t xml:space="preserve">[ ]</w:t>
            </w:r>
          </w:p>
        </w:tc>
        <w:tc>
          <w:tcPr>
            <w:tcW w:type="dxa" w:w="1334"/>
            <w:shd w:val="clear" w:color="auto" w:fill="F2F2F2"/>
          </w:tcPr>
          <w:p>
            <w:pPr>
              <w:pStyle w:val="Compact"/>
              <w:spacing w:before="0" w:after="0" w:line="240" w:lineRule="auto"/>
              <w:jc w:val="left"/>
            </w:pPr>
            <w:r>
              <w:rPr>
                <w:bCs/>
                <w:b/>
                <w:sz w:val="18"/>
              </w:rPr>
              <w:t xml:space="preserve">[ ]</w:t>
            </w:r>
          </w:p>
        </w:tc>
        <w:tc>
          <w:tcPr>
            <w:tcW w:type="dxa" w:w="1423"/>
            <w:shd w:val="clear" w:color="auto" w:fill="F2F2F2"/>
          </w:tcPr>
          <w:p>
            <w:pPr>
              <w:pStyle w:val="Compact"/>
              <w:spacing w:before="0" w:after="0" w:line="240" w:lineRule="auto"/>
              <w:jc w:val="left"/>
            </w:pPr>
            <w:r>
              <w:rPr>
                <w:bCs/>
                <w:b/>
                <w:sz w:val="18"/>
              </w:rPr>
              <w:t xml:space="preserve">[ ]</w:t>
            </w:r>
          </w:p>
        </w:tc>
        <w:tc>
          <w:tcPr>
            <w:tcW w:type="dxa" w:w="1275"/>
            <w:shd w:val="clear" w:color="auto" w:fill="F2F2F2"/>
          </w:tcPr>
          <w:p>
            <w:pPr>
              <w:pStyle w:val="Compact"/>
              <w:spacing w:before="0" w:after="0" w:line="240" w:lineRule="auto"/>
              <w:jc w:val="left"/>
            </w:pPr>
            <w:r>
              <w:rPr>
                <w:bCs/>
                <w:b/>
                <w:sz w:val="18"/>
              </w:rPr>
              <w:t xml:space="preserve">[ ]</w:t>
            </w:r>
          </w:p>
        </w:tc>
        <w:tc>
          <w:tcPr>
            <w:tcW w:type="dxa" w:w="1068"/>
            <w:shd w:val="clear" w:color="auto" w:fill="F2F2F2"/>
          </w:tcPr>
          <w:p>
            <w:pPr>
              <w:pStyle w:val="Compact"/>
              <w:spacing w:before="0" w:after="0" w:line="240" w:lineRule="auto"/>
              <w:jc w:val="left"/>
            </w:pPr>
            <w:r>
              <w:rPr>
                <w:bCs/>
                <w:b/>
                <w:sz w:val="18"/>
              </w:rPr>
              <w:t xml:space="preserve">[ ]</w:t>
            </w:r>
          </w:p>
        </w:tc>
        <w:tc>
          <w:tcPr>
            <w:tcW w:type="dxa" w:w="1423"/>
            <w:shd w:val="clear" w:color="auto" w:fill="F2F2F2"/>
          </w:tcPr>
          <w:p>
            <w:pPr>
              <w:pStyle w:val="Compact"/>
              <w:spacing w:before="0" w:after="0" w:line="240" w:lineRule="auto"/>
              <w:jc w:val="left"/>
            </w:pPr>
            <w:r>
              <w:rPr>
                <w:bCs/>
                <w:b/>
                <w:sz w:val="18"/>
              </w:rPr>
              <w:t xml:space="preserve">[ ]</w:t>
            </w:r>
          </w:p>
        </w:tc>
        <w:tc>
          <w:tcPr>
            <w:tcW w:type="dxa" w:w="1157"/>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jc w:val="both"/>
      </w:pPr>
      <w:r>
        <w:t xml:space="preserve">11.2 The net amount of ₹[ ] shall be credited to the applicant’s bank account by payment order in FORM GST RFD-05 (rule 92(4)). [Option: ₹[ ] adjusted under section 54(10)(b) shall be appropriated against [demand ID / order]; ₹[ ] is withheld by RFD-07 Part A as stated in para 9.2.]</w:t>
      </w:r>
    </w:p>
    <w:p>
      <w:pPr>
        <w:pStyle w:val="BodyText"/>
        <w:spacing w:before="0" w:after="120" w:line="269" w:lineRule="auto"/>
        <w:jc w:val="both"/>
      </w:pPr>
      <w:r>
        <w:t xml:space="preserve">11.3 Under rule 92(3), I reject refund of</w:t>
      </w:r>
      <w:r>
        <w:t xml:space="preserve"> </w:t>
      </w:r>
      <w:r>
        <w:rPr>
          <w:bCs/>
          <w:b/>
        </w:rPr>
        <w:t xml:space="preserve">₹[ ] (Rupees [amount in words] only)</w:t>
      </w:r>
      <w:r>
        <w:t xml:space="preserve"> </w:t>
      </w:r>
      <w:r>
        <w:t xml:space="preserve">(IGST ₹[ ], CGST ₹[ ], SGST ₹[ ], Cess ₹[ ]) for the reasons in paras [3, 6, 7 and 8].</w:t>
      </w:r>
    </w:p>
    <w:p>
      <w:pPr>
        <w:pStyle w:val="BodyText"/>
        <w:spacing w:before="0" w:after="120" w:line="269" w:lineRule="auto"/>
        <w:jc w:val="both"/>
      </w:pPr>
      <w:r>
        <w:t xml:space="preserve">11.4 Under rule 93(2), the amount of ₹[ ] (IGST ₹[ ], CGST ₹[ ], SGST ₹[ ], Cess ₹[ ]) rejected in para 11.3, which was debited from the electronic credit ledger, shall be re-credited to that ledger by an order in FORM GST PMT-03, after the applicant gives an undertaking in writing that it will not file an appeal against this order, or, if it files an appeal, after the appeal is finally rejected (Explanation to rule 93; paras 21 and 23 of Circular No. 125/44/2019-GST). If the appeal succeeds, the applicant may file a fresh claim under the category</w:t>
      </w:r>
      <w:r>
        <w:t xml:space="preserve"> </w:t>
      </w:r>
      <w:r>
        <w:t xml:space="preserve">“</w:t>
      </w:r>
      <w:r>
        <w:t xml:space="preserve">on account of assessment / provisional assessment / appeal / any other order</w:t>
      </w:r>
      <w:r>
        <w:t xml:space="preserve">”</w:t>
      </w:r>
      <w:r>
        <w:t xml:space="preserve"> </w:t>
      </w:r>
      <w:r>
        <w:t xml:space="preserve">(para 24 of that Circular).</w:t>
      </w:r>
    </w:p>
    <w:p>
      <w:pPr>
        <w:pStyle w:val="BodyText"/>
        <w:spacing w:before="0" w:after="120" w:line="269" w:lineRule="auto"/>
        <w:jc w:val="both"/>
      </w:pPr>
      <w:r>
        <w:t xml:space="preserve">11.5</w:t>
      </w:r>
      <w:r>
        <w:t xml:space="preserve"> </w:t>
      </w:r>
      <w:r>
        <w:rPr>
          <w:bCs/>
          <w:b/>
        </w:rPr>
        <w:t xml:space="preserve">[Option: only where the RFD-08 notice also proposed recovery of ineligible ITC, with a summary in FORM GST DRC-01 under rule 142(1)]</w:t>
      </w:r>
      <w:r>
        <w:t xml:space="preserve"> </w:t>
      </w:r>
      <w:r>
        <w:t xml:space="preserve">Under section [73 / 74 / 74A] read with section 54, I confirm the demand of input tax credit of ₹[ ] (IGST ₹[ ], CGST ₹[ ], SGST ₹[ ]) wrongly availed, as found in para 8, with interest under section 50 and penalty of ₹[ ] under section [73(9) / 74(9) / 74A(5)]. A summary of this demand shall be issued in FORM GST DRC-07 and entered in the electronic liability register. [If the applicant has paid this amount with interest by DRC-03 No. [ ] dated [ ], record it here and drop the penalty to the extent allowed by section [73(8) / 74(8) / 74A(8) or 74A(9)].] The re-credit in para 11.4 covers the whole rejected amount, including this ITC, as in the example in para 23 of Circular No. 125/44/2019-GST.</w:t>
      </w:r>
    </w:p>
    <w:p>
      <w:pPr>
        <w:pStyle w:val="BlockText"/>
        <w:shd w:val="clear" w:color="auto" w:fill="E7E6E6"/>
      </w:pPr>
      <w:r>
        <w:rPr>
          <w:bCs/>
          <w:b/>
          <w:sz w:val="21"/>
        </w:rPr>
        <w:t xml:space="preserve">Drafting note:</w:t>
      </w:r>
      <w:r>
        <w:rPr>
          <w:sz w:val="21"/>
        </w:rPr>
        <w:t xml:space="preserve"> </w:t>
      </w:r>
      <w:r>
        <w:rPr>
          <w:sz w:val="21"/>
        </w:rPr>
        <w:t xml:space="preserve">keep para 11.5 only where the notice proposed the recovery. Use section 74A for demands relating to financial year 2024-25 onwards, and sections 73/74 for earlier years. If the notice proposed only rejection, delete para 11.5 and, where ITC was found ineligible, refer the matter for separate proceedings in a covering note, not in this order.</w:t>
      </w:r>
    </w:p>
    <w:p>
      <w:pPr>
        <w:pStyle w:val="FirstParagraph"/>
        <w:spacing w:before="0" w:after="120" w:line="269" w:lineRule="auto"/>
        <w:jc w:val="both"/>
      </w:pPr>
      <w:r>
        <w:t xml:space="preserve">11.5A</w:t>
      </w:r>
      <w:r>
        <w:t xml:space="preserve"> </w:t>
      </w:r>
      <w:r>
        <w:rPr>
          <w:bCs/>
          <w:b/>
        </w:rPr>
        <w:t xml:space="preserve">[Option: only where the provisional refund paid exceeds the amount found admissible, and the RFD-08 notice proposed its recovery]</w:t>
      </w:r>
      <w:r>
        <w:t xml:space="preserve"> </w:t>
      </w:r>
      <w:r>
        <w:t xml:space="preserve">The provisional refund of ₹[ ] sanctioned by RFD-04 dated [ ] and paid by RFD-05 dated [ ] exceeds the amount found admissible, ₹[ ], by ₹[ ]. As proposed in the notice in FORM GST RFD-08 dated [ ], with its summary in FORM GST DRC-01 under rule 142(1)(a), issued under section 54 read with section [73 / 74 / 74A] (para 3.4 of Instruction No. 06/2025-GST), I confirm ₹[ ] (IGST ₹[ ], CGST ₹[ ], SGST ₹[ ], Cess ₹[ ]) as refund erroneously paid, recoverable from the applicant with interest under section 50 [and penalty of ₹[ ] under section [73(9) / 74(9) / 74A(5)]]. A summary shall be issued in FORM GST DRC-07. No amount is payable to the applicant under this order.</w:t>
      </w:r>
    </w:p>
    <w:p>
      <w:pPr>
        <w:pStyle w:val="BlockText"/>
        <w:shd w:val="clear" w:color="auto" w:fill="E7E6E6"/>
      </w:pPr>
      <w:r>
        <w:rPr>
          <w:bCs/>
          <w:b/>
          <w:sz w:val="21"/>
        </w:rPr>
        <w:t xml:space="preserve">Drafting note (recovery):</w:t>
      </w:r>
      <w:r>
        <w:rPr>
          <w:sz w:val="21"/>
        </w:rPr>
        <w:t xml:space="preserve"> </w:t>
      </w:r>
      <w:r>
        <w:rPr>
          <w:sz w:val="21"/>
        </w:rPr>
        <w:t xml:space="preserve">provisional refunds under Instruction 06/2025-GST are paid only on applications filed on or after 01.10.2025, so section 74A will ordinarily apply (section 74A(12): tax pertaining to financial year 2024-25 onwards). Its notice limit for an erroneous refund is forty-two months from the date of the refund (section 74A(2)). If the applicant paid the excess with interest within sixty days of the notice, no penalty is imposed and the proceedings are concluded (section 74A(8)(ii)): record the DRC-03 and delete the penalty.</w:t>
      </w:r>
    </w:p>
    <w:p>
      <w:pPr>
        <w:pStyle w:val="FirstParagraph"/>
        <w:spacing w:before="0" w:after="120" w:line="269" w:lineRule="auto"/>
        <w:jc w:val="both"/>
      </w:pPr>
      <w:r>
        <w:t xml:space="preserve">11.6 [Option: Interest under section 56 on the delayed refund shall be paid by a separate order under rule 94, as stated in para 9.5.]</w:t>
      </w:r>
    </w:p>
    <w:p>
      <w:pPr>
        <w:pStyle w:val="BlockText"/>
        <w:shd w:val="clear" w:color="auto" w:fill="E7E6E6"/>
      </w:pPr>
      <w:r>
        <w:rPr>
          <w:bCs/>
          <w:b/>
          <w:sz w:val="21"/>
        </w:rPr>
        <w:t xml:space="preserve">Drafting note: final check before signing.</w:t>
      </w:r>
      <w:r>
        <w:rPr>
          <w:sz w:val="21"/>
        </w:rPr>
        <w:t xml:space="preserve"> </w:t>
      </w:r>
      <w:r>
        <w:rPr>
          <w:sz w:val="21"/>
        </w:rPr>
        <w:t xml:space="preserve">(1) The admissible amount in the computation, the head-wise table in para 11, the figures in the ORDER and the amount in words all agree. (2) Under every tax head, admissible + rejected = amount claimed, and admissible = provisional refund paid (if any) + amount adjusted or withheld + net amount now payable − excess provisional refund recoverable; where there is an excess, the adjusted and net payable columns are nil. (3) The amount re-credited by PMT-03 equals the amount rejected that was debited from the credit ledger, head-wise. (4) Every ground in the RFD-08 notice has a finding. (5) No bracket, blank date, drafting note or another case’s figures remain. (6) Figures are rounded to the nearest rupee (section 170). (7) Paragraph numbers run in order.</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applicant] (GSTIN [ ]), [address] (through the common portal and by e-mail to the registered e-mail address)</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Commissioner of Central Tax, Medchal CGST Commissionerate (by name to the Assistant Commissioner (Review – Refunds), Headquarters), for review under section 107(2).</w:t>
      </w:r>
    </w:p>
    <w:p>
      <w:pPr>
        <w:numPr>
          <w:ilvl w:val="0"/>
          <w:numId w:val="1002"/>
        </w:numPr>
        <w:pStyle w:val="Compact"/>
        <w:spacing w:before="0" w:after="120" w:line="269" w:lineRule="auto"/>
      </w:pPr>
      <w:r>
        <w:t xml:space="preserve">The Assistant / Deputy Commissioner (Post-Audit), Medchal CGST Commissionerate, for post-audit of refund orders.</w:t>
      </w:r>
    </w:p>
    <w:p>
      <w:pPr>
        <w:numPr>
          <w:ilvl w:val="0"/>
          <w:numId w:val="1002"/>
        </w:numPr>
        <w:pStyle w:val="Compact"/>
        <w:spacing w:before="0" w:after="120" w:line="269" w:lineRule="auto"/>
      </w:pPr>
      <w:r>
        <w:t xml:space="preserve">The Superintendent, [Range], Sangareddy CGST Division, for information and for updating the refund register.</w:t>
      </w:r>
    </w:p>
    <w:p>
      <w:pPr>
        <w:numPr>
          <w:ilvl w:val="0"/>
          <w:numId w:val="1002"/>
        </w:numPr>
        <w:pStyle w:val="Compact"/>
        <w:spacing w:before="0" w:after="120" w:line="269" w:lineRule="auto"/>
      </w:pPr>
      <w:r>
        <w:t xml:space="preserve">Guard file / Office copy.</w:t>
      </w:r>
    </w:p>
    <w:p>
      <w:pPr>
        <w:pStyle w:val="FirstParagraph"/>
        <w:keepNext/>
        <w:spacing w:before="240" w:after="80"/>
        <w:pBdr>
          <w:bottom w:val="single" w:sz="6" w:space="1" w:color="B4C6E7"/>
        </w:pBdr>
      </w:pPr>
      <w:r>
        <w:rPr>
          <w:bCs/>
          <w:b/>
          <w:color w:val="1F3864"/>
          <w:sz w:val="25"/>
        </w:rPr>
        <w:t xml:space="preserve">Annexure for the drafting officer (delete before signing): worked example with hypothetical figures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442"/>
        <w:gridCol w:w="6975"/>
        <w:gridCol w:w="1220"/>
      </w:tblGrid>
      <w:tr>
        <w:trPr>
          <w:tblHeader w:val="true"/>
          <w:tblHeader/>
        </w:trPr>
        <w:tc>
          <w:tcPr>
            <w:tcW w:type="dxa" w:w="1442"/>
            <w:shd w:val="clear" w:color="auto" w:fill="DCE6F1"/>
          </w:tcPr>
          <w:p>
            <w:pPr>
              <w:pStyle w:val="Compact"/>
              <w:spacing w:before="0" w:after="0" w:line="240" w:lineRule="auto"/>
              <w:jc w:val="left"/>
            </w:pPr>
            <w:r>
              <w:rPr>
                <w:b/>
                <w:color w:val="1F3864"/>
                <w:sz w:val="21"/>
              </w:rPr>
              <w:t xml:space="preserve">Step</w:t>
            </w:r>
          </w:p>
        </w:tc>
        <w:tc>
          <w:tcPr>
            <w:tcW w:type="dxa" w:w="6975"/>
            <w:shd w:val="clear" w:color="auto" w:fill="DCE6F1"/>
          </w:tcPr>
          <w:p>
            <w:pPr>
              <w:pStyle w:val="Compact"/>
              <w:spacing w:before="0" w:after="0" w:line="240" w:lineRule="auto"/>
              <w:jc w:val="left"/>
            </w:pPr>
            <w:r>
              <w:rPr>
                <w:b/>
                <w:color w:val="1F3864"/>
                <w:sz w:val="21"/>
              </w:rPr>
              <w:t xml:space="preserve">Working</w:t>
            </w:r>
          </w:p>
        </w:tc>
        <w:tc>
          <w:tcPr>
            <w:tcW w:type="dxa" w:w="1220"/>
            <w:shd w:val="clear" w:color="auto" w:fill="DCE6F1"/>
          </w:tcPr>
          <w:p>
            <w:pPr>
              <w:pStyle w:val="Compact"/>
              <w:spacing w:before="0" w:after="0" w:line="240" w:lineRule="auto"/>
              <w:jc w:val="left"/>
            </w:pPr>
            <w:r>
              <w:rPr>
                <w:b/>
                <w:color w:val="1F3864"/>
                <w:sz w:val="21"/>
              </w:rPr>
              <w:t xml:space="preserve">Amount (₹)</w:t>
            </w:r>
          </w:p>
        </w:tc>
      </w:tr>
      <w:tr>
        <w:tc>
          <w:tcPr>
            <w:tcW w:type="dxa" w:w="1442"/>
          </w:tcPr>
          <w:p>
            <w:pPr>
              <w:pStyle w:val="Compact"/>
              <w:spacing w:before="0" w:after="0" w:line="240" w:lineRule="auto"/>
              <w:jc w:val="left"/>
            </w:pPr>
            <w:r>
              <w:rPr>
                <w:sz w:val="21"/>
              </w:rPr>
              <w:t xml:space="preserve">Zero-rated turnover</w:t>
            </w:r>
          </w:p>
        </w:tc>
        <w:tc>
          <w:tcPr>
            <w:tcW w:type="dxa" w:w="6975"/>
          </w:tcPr>
          <w:p>
            <w:pPr>
              <w:pStyle w:val="Compact"/>
              <w:spacing w:before="0" w:after="0" w:line="240" w:lineRule="auto"/>
              <w:jc w:val="left"/>
            </w:pPr>
            <w:r>
              <w:rPr>
                <w:sz w:val="21"/>
              </w:rPr>
              <w:t xml:space="preserve">Endorsed SEZ invoices; one unendorsed invoice of 1,00,000 excluded but kept in Adjusted Total Turnover</w:t>
            </w:r>
          </w:p>
        </w:tc>
        <w:tc>
          <w:tcPr>
            <w:tcW w:type="dxa" w:w="1220"/>
          </w:tcPr>
          <w:p>
            <w:pPr>
              <w:pStyle w:val="Compact"/>
              <w:spacing w:before="0" w:after="0" w:line="240" w:lineRule="auto"/>
              <w:jc w:val="left"/>
            </w:pPr>
            <w:r>
              <w:rPr>
                <w:sz w:val="21"/>
              </w:rPr>
              <w:t xml:space="preserve">8,00,000</w:t>
            </w:r>
          </w:p>
        </w:tc>
      </w:tr>
      <w:tr>
        <w:tc>
          <w:tcPr>
            <w:tcW w:type="dxa" w:w="1442"/>
          </w:tcPr>
          <w:p>
            <w:pPr>
              <w:pStyle w:val="Compact"/>
              <w:spacing w:before="0" w:after="0" w:line="240" w:lineRule="auto"/>
              <w:jc w:val="left"/>
            </w:pPr>
            <w:r>
              <w:rPr>
                <w:sz w:val="21"/>
              </w:rPr>
              <w:t xml:space="preserve">Adjusted Total Turnover</w:t>
            </w:r>
          </w:p>
        </w:tc>
        <w:tc>
          <w:tcPr>
            <w:tcW w:type="dxa" w:w="6975"/>
          </w:tcPr>
          <w:p>
            <w:pPr>
              <w:pStyle w:val="Compact"/>
              <w:spacing w:before="0" w:after="0" w:line="240" w:lineRule="auto"/>
              <w:jc w:val="left"/>
            </w:pPr>
            <w:r>
              <w:rPr>
                <w:sz w:val="21"/>
              </w:rPr>
              <w:t xml:space="preserve">9,00,000 SEZ invoices + domestic taxable 6,00,000</w:t>
            </w:r>
          </w:p>
        </w:tc>
        <w:tc>
          <w:tcPr>
            <w:tcW w:type="dxa" w:w="1220"/>
          </w:tcPr>
          <w:p>
            <w:pPr>
              <w:pStyle w:val="Compact"/>
              <w:spacing w:before="0" w:after="0" w:line="240" w:lineRule="auto"/>
              <w:jc w:val="left"/>
            </w:pPr>
            <w:r>
              <w:rPr>
                <w:sz w:val="21"/>
              </w:rPr>
              <w:t xml:space="preserve">15,00,000</w:t>
            </w:r>
          </w:p>
        </w:tc>
      </w:tr>
      <w:tr>
        <w:tc>
          <w:tcPr>
            <w:tcW w:type="dxa" w:w="1442"/>
          </w:tcPr>
          <w:p>
            <w:pPr>
              <w:pStyle w:val="Compact"/>
              <w:spacing w:before="0" w:after="0" w:line="240" w:lineRule="auto"/>
              <w:jc w:val="left"/>
            </w:pPr>
            <w:r>
              <w:rPr>
                <w:sz w:val="21"/>
              </w:rPr>
              <w:t xml:space="preserve">As claimed</w:t>
            </w:r>
          </w:p>
        </w:tc>
        <w:tc>
          <w:tcPr>
            <w:tcW w:type="dxa" w:w="6975"/>
          </w:tcPr>
          <w:p>
            <w:pPr>
              <w:pStyle w:val="Compact"/>
              <w:spacing w:before="0" w:after="0" w:line="240" w:lineRule="auto"/>
              <w:jc w:val="left"/>
            </w:pPr>
            <w:r>
              <w:rPr>
                <w:sz w:val="21"/>
              </w:rPr>
              <w:t xml:space="preserve">9,00,000 × Net ITC 1,50,000 (all IGST) ÷ 15,00,000; provisional refund 90% = 81,000</w:t>
            </w:r>
          </w:p>
        </w:tc>
        <w:tc>
          <w:tcPr>
            <w:tcW w:type="dxa" w:w="1220"/>
          </w:tcPr>
          <w:p>
            <w:pPr>
              <w:pStyle w:val="Compact"/>
              <w:spacing w:before="0" w:after="0" w:line="240" w:lineRule="auto"/>
              <w:jc w:val="left"/>
            </w:pPr>
            <w:r>
              <w:rPr>
                <w:sz w:val="21"/>
              </w:rPr>
              <w:t xml:space="preserve">90,000</w:t>
            </w:r>
          </w:p>
        </w:tc>
      </w:tr>
      <w:tr>
        <w:tc>
          <w:tcPr>
            <w:tcW w:type="dxa" w:w="1442"/>
          </w:tcPr>
          <w:p>
            <w:pPr>
              <w:pStyle w:val="Compact"/>
              <w:spacing w:before="0" w:after="0" w:line="240" w:lineRule="auto"/>
              <w:jc w:val="left"/>
            </w:pPr>
            <w:r>
              <w:rPr>
                <w:sz w:val="21"/>
              </w:rPr>
              <w:t xml:space="preserve">Admissible</w:t>
            </w:r>
          </w:p>
        </w:tc>
        <w:tc>
          <w:tcPr>
            <w:tcW w:type="dxa" w:w="6975"/>
          </w:tcPr>
          <w:p>
            <w:pPr>
              <w:pStyle w:val="Compact"/>
              <w:spacing w:before="0" w:after="0" w:line="240" w:lineRule="auto"/>
              <w:jc w:val="left"/>
            </w:pPr>
            <w:r>
              <w:rPr>
                <w:sz w:val="21"/>
              </w:rPr>
              <w:t xml:space="preserve">8,00,000 × 1,50,000 ÷ 15,00,000</w:t>
            </w:r>
          </w:p>
        </w:tc>
        <w:tc>
          <w:tcPr>
            <w:tcW w:type="dxa" w:w="1220"/>
          </w:tcPr>
          <w:p>
            <w:pPr>
              <w:pStyle w:val="Compact"/>
              <w:spacing w:before="0" w:after="0" w:line="240" w:lineRule="auto"/>
              <w:jc w:val="left"/>
            </w:pPr>
            <w:r>
              <w:rPr>
                <w:sz w:val="21"/>
              </w:rPr>
              <w:t xml:space="preserve">80,000</w:t>
            </w:r>
          </w:p>
        </w:tc>
      </w:tr>
      <w:tr>
        <w:tc>
          <w:tcPr>
            <w:tcW w:type="dxa" w:w="1442"/>
          </w:tcPr>
          <w:p>
            <w:pPr>
              <w:pStyle w:val="Compact"/>
              <w:spacing w:before="0" w:after="0" w:line="240" w:lineRule="auto"/>
              <w:jc w:val="left"/>
            </w:pPr>
            <w:r>
              <w:rPr>
                <w:sz w:val="21"/>
              </w:rPr>
              <w:t xml:space="preserve">Rejected</w:t>
            </w:r>
          </w:p>
        </w:tc>
        <w:tc>
          <w:tcPr>
            <w:tcW w:type="dxa" w:w="6975"/>
          </w:tcPr>
          <w:p>
            <w:pPr>
              <w:pStyle w:val="Compact"/>
              <w:spacing w:before="0" w:after="0" w:line="240" w:lineRule="auto"/>
              <w:jc w:val="left"/>
            </w:pPr>
            <w:r>
              <w:rPr>
                <w:sz w:val="21"/>
              </w:rPr>
              <w:t xml:space="preserve">90,000 − 80,000, re-credited by PMT-03 after the undertaking (para 11.4)</w:t>
            </w:r>
          </w:p>
        </w:tc>
        <w:tc>
          <w:tcPr>
            <w:tcW w:type="dxa" w:w="1220"/>
          </w:tcPr>
          <w:p>
            <w:pPr>
              <w:pStyle w:val="Compact"/>
              <w:spacing w:before="0" w:after="0" w:line="240" w:lineRule="auto"/>
              <w:jc w:val="left"/>
            </w:pPr>
            <w:r>
              <w:rPr>
                <w:sz w:val="21"/>
              </w:rPr>
              <w:t xml:space="preserve">10,000</w:t>
            </w:r>
          </w:p>
        </w:tc>
      </w:tr>
      <w:tr>
        <w:tc>
          <w:tcPr>
            <w:tcW w:type="dxa" w:w="1442"/>
          </w:tcPr>
          <w:p>
            <w:pPr>
              <w:pStyle w:val="Compact"/>
              <w:spacing w:before="0" w:after="0" w:line="240" w:lineRule="auto"/>
              <w:jc w:val="left"/>
            </w:pPr>
            <w:r>
              <w:rPr>
                <w:sz w:val="21"/>
              </w:rPr>
              <w:t xml:space="preserve">Excess provisional refund</w:t>
            </w:r>
          </w:p>
        </w:tc>
        <w:tc>
          <w:tcPr>
            <w:tcW w:type="dxa" w:w="6975"/>
          </w:tcPr>
          <w:p>
            <w:pPr>
              <w:pStyle w:val="Compact"/>
              <w:spacing w:before="0" w:after="0" w:line="240" w:lineRule="auto"/>
              <w:jc w:val="left"/>
            </w:pPr>
            <w:r>
              <w:rPr>
                <w:sz w:val="21"/>
              </w:rPr>
              <w:t xml:space="preserve">81,000 − 80,000, confirmed for recovery with interest (para 11.5A, DRC-07); net payable nil</w:t>
            </w:r>
          </w:p>
        </w:tc>
        <w:tc>
          <w:tcPr>
            <w:tcW w:type="dxa" w:w="1220"/>
          </w:tcPr>
          <w:p>
            <w:pPr>
              <w:pStyle w:val="Compact"/>
              <w:spacing w:before="0" w:after="0" w:line="240" w:lineRule="auto"/>
              <w:jc w:val="left"/>
            </w:pPr>
            <w:r>
              <w:rPr>
                <w:sz w:val="21"/>
              </w:rPr>
              <w:t xml:space="preserve">1,000</w:t>
            </w:r>
          </w:p>
        </w:tc>
      </w:tr>
      <w:tr>
        <w:tc>
          <w:tcPr>
            <w:tcW w:type="dxa" w:w="1442"/>
          </w:tcPr>
          <w:p>
            <w:pPr>
              <w:pStyle w:val="Compact"/>
              <w:spacing w:before="0" w:after="0" w:line="240" w:lineRule="auto"/>
              <w:jc w:val="left"/>
            </w:pPr>
            <w:r>
              <w:rPr>
                <w:sz w:val="21"/>
              </w:rPr>
              <w:t xml:space="preserve">Check</w:t>
            </w:r>
          </w:p>
        </w:tc>
        <w:tc>
          <w:tcPr>
            <w:tcW w:type="dxa" w:w="6975"/>
          </w:tcPr>
          <w:p>
            <w:pPr>
              <w:pStyle w:val="Compact"/>
              <w:spacing w:before="0" w:after="0" w:line="240" w:lineRule="auto"/>
              <w:jc w:val="left"/>
            </w:pPr>
            <w:r>
              <w:rPr>
                <w:sz w:val="21"/>
              </w:rPr>
              <w:t xml:space="preserve">80,000 + 10,000 = 90,000 claimed; 81,000 − 1,000 = 80,000 admissible</w:t>
            </w:r>
          </w:p>
        </w:tc>
        <w:tc>
          <w:tcPr>
            <w:tcW w:type="dxa" w:w="1220"/>
          </w:tcPr>
          <w:p>
            <w:pPr>
              <w:pStyle w:val="Compact"/>
              <w:spacing w:before="0" w:after="0" w:line="240" w:lineRule="auto"/>
            </w:pPr>
          </w:p>
        </w:tc>
      </w:tr>
    </w:tbl>
    <w:p>
      <w:pPr>
        <w:pStyle w:val="BlockText"/>
        <w:shd w:val="clear" w:color="auto" w:fill="E7E6E6"/>
        <w:spacing w:before="360"/>
      </w:pPr>
      <w:r>
        <w:rPr>
          <w:bCs/>
          <w:b/>
          <w:sz w:val="21"/>
        </w:rPr>
        <w:t xml:space="preserve">How to use this template.</w:t>
      </w:r>
      <w:r>
        <w:rPr>
          <w:sz w:val="21"/>
        </w:rPr>
        <w:t xml:space="preserve"> </w:t>
      </w:r>
      <w:r>
        <w:rPr>
          <w:sz w:val="21"/>
        </w:rPr>
        <w:t xml:space="preserve">Text in [square brackets] is to be filled in or chosen. Paragraphs marked</w:t>
      </w:r>
      <w:r>
        <w:rPr>
          <w:sz w:val="21"/>
        </w:rPr>
        <w:t xml:space="preserve"> </w:t>
      </w:r>
      <w:r>
        <w:rPr>
          <w:bCs/>
          <w:b/>
          <w:sz w:val="21"/>
        </w:rPr>
        <w:t xml:space="preserve">[Option A]</w:t>
      </w:r>
      <w:r>
        <w:rPr>
          <w:sz w:val="21"/>
        </w:rPr>
        <w:t xml:space="preserve">,</w:t>
      </w:r>
      <w:r>
        <w:rPr>
          <w:sz w:val="21"/>
        </w:rPr>
        <w:t xml:space="preserve"> </w:t>
      </w:r>
      <w:r>
        <w:rPr>
          <w:bCs/>
          <w:b/>
          <w:sz w:val="21"/>
        </w:rPr>
        <w:t xml:space="preserve">[Option B]</w:t>
      </w:r>
      <w:r>
        <w:rPr>
          <w:sz w:val="21"/>
        </w:rPr>
        <w:t xml:space="preserve"> </w:t>
      </w:r>
      <w:r>
        <w:rPr>
          <w:sz w:val="21"/>
        </w:rPr>
        <w:t xml:space="preserve">are alternatives: keep the one that fits and delete the rest.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box is guidance for the officer and must be deleted before the order is signed. Do not leave any bracket, blank date or drafting note in the issued order.</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T4: Refund of unutilised ITC on supplies to an SEZ unit or developer without payment of tax (under LUT)</dc:title>
  <dc:creator>Sangareddy CGST Division</dc:creator>
  <cp:keywords/>
  <dcterms:created xsi:type="dcterms:W3CDTF">2026-10-12T14:52:40Z</dcterms:created>
  <dcterms:modified xsi:type="dcterms:W3CDTF">2026-10-12T14:52:40Z</dcterms:modified>
</cp:coreProperties>
</file>

<file path=docProps/custom.xml><?xml version="1.0" encoding="utf-8"?>
<Properties xmlns="http://schemas.openxmlformats.org/officeDocument/2006/custom-properties" xmlns:vt="http://schemas.openxmlformats.org/officeDocument/2006/docPropsVTypes"/>
</file>