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Bdr>
          <w:top w:val="single" w:sz="36" w:space="6" w:color="FF9933"/>
        </w:pBdr>
      </w:pPr>
      <w:r>
        <w:rPr>
          <w:rFonts w:ascii="Nirmala UI" w:hAnsi="Nirmala UI" w:cs="Nirmala UI" w:hint="cs"/>
          <w:b/>
          <w:color w:val="1F3864"/>
          <w:sz w:val="22"/>
          <w:szCs w:val="22"/>
          <w:bCs/>
        </w:rPr>
        <w:t xml:space="preserve">भारत सरकार  </w:t>
      </w:r>
      <w:r>
        <w:rPr>
          <w:b/>
          <w:color w:val="1F3864"/>
          <w:sz w:val="22"/>
          <w:szCs w:val="22"/>
          <w:bCs/>
        </w:rPr>
        <w:t>|  GOVERNMENT OF INDIA</w:t>
      </w:r>
    </w:p>
    <w:p>
      <w:pPr>
        <w:spacing w:before="0" w:after="0" w:line="240" w:lineRule="auto"/>
        <w:jc w:val="center"/>
      </w:pPr>
      <w:r>
        <w:rPr>
          <w:rFonts w:ascii="Nirmala UI" w:hAnsi="Nirmala UI" w:cs="Nirmala UI" w:hint="cs"/>
          <w:b w:val="0"/>
          <w:color w:val="595959"/>
          <w:sz w:val="18"/>
          <w:szCs w:val="18"/>
        </w:rPr>
        <w:t xml:space="preserve">वित्त मंत्रालय, राजस्व विभाग  </w:t>
      </w:r>
      <w:r>
        <w:rPr>
          <w:b w:val="0"/>
          <w:color w:val="595959"/>
          <w:sz w:val="18"/>
          <w:szCs w:val="18"/>
        </w:rPr>
        <w:t>|  MINISTRY OF FINANCE, DEPARTMENT OF REVENUE</w:t>
      </w:r>
    </w:p>
    <w:p>
      <w:pPr>
        <w:spacing w:before="0" w:after="0" w:line="240" w:lineRule="auto"/>
        <w:jc w:val="center"/>
      </w:pPr>
      <w:r>
        <w:rPr>
          <w:rFonts w:ascii="Nirmala UI" w:hAnsi="Nirmala UI" w:cs="Nirmala UI" w:hint="cs"/>
          <w:b/>
          <w:sz w:val="22"/>
          <w:szCs w:val="22"/>
          <w:bCs/>
        </w:rPr>
        <w:t>केन्द्रीय कर सहायक आयुक्त का कार्यालय</w:t>
      </w:r>
    </w:p>
    <w:p>
      <w:pPr>
        <w:spacing w:before="0" w:after="0" w:line="240" w:lineRule="auto"/>
        <w:jc w:val="center"/>
      </w:pPr>
      <w:r>
        <w:rPr>
          <w:b/>
          <w:sz w:val="23"/>
          <w:szCs w:val="23"/>
          <w:bCs/>
        </w:rPr>
        <w:t>OFFICE OF THE ASSISTANT COMMISSIONER OF CENTRAL TAX</w:t>
      </w:r>
    </w:p>
    <w:p>
      <w:pPr>
        <w:spacing w:before="0" w:after="0" w:line="240" w:lineRule="auto"/>
        <w:jc w:val="center"/>
      </w:pPr>
      <w:r>
        <w:rPr>
          <w:b/>
          <w:color w:val="1F3864"/>
          <w:sz w:val="32"/>
          <w:szCs w:val="32"/>
          <w:bCs/>
        </w:rPr>
        <w:t>SANGAREDDY CGST DIVISION</w:t>
      </w:r>
    </w:p>
    <w:p>
      <w:pPr>
        <w:spacing w:before="0" w:after="0" w:line="240" w:lineRule="auto"/>
        <w:jc w:val="center"/>
      </w:pPr>
      <w:r>
        <w:rPr>
          <w:b/>
          <w:color w:val="1F3864"/>
          <w:sz w:val="22"/>
          <w:szCs w:val="22"/>
          <w:bCs/>
        </w:rPr>
        <w:t>MEDCHAL CGST COMMISSIONERATE</w:t>
      </w:r>
    </w:p>
    <w:p>
      <w:pPr>
        <w:spacing w:before="0" w:after="0" w:line="240" w:lineRule="auto"/>
        <w:jc w:val="center"/>
      </w:pPr>
      <w:r>
        <w:rPr>
          <w:b w:val="0"/>
          <w:color w:val="595959"/>
          <w:sz w:val="18"/>
          <w:szCs w:val="18"/>
        </w:rPr>
        <w:t>Plot No. 328, SSR Arcade, Mathrusri Nagar, Miyapur, Hyderabad – 500 049</w:t>
      </w:r>
    </w:p>
    <w:p>
      <w:pPr>
        <w:spacing w:before="0" w:after="120" w:line="240" w:lineRule="auto"/>
        <w:jc w:val="center"/>
      </w:pPr>
      <w:r>
        <w:rPr>
          <w:b w:val="0"/>
          <w:color w:val="595959"/>
          <w:sz w:val="18"/>
          <w:szCs w:val="18"/>
        </w:rPr>
        <w:t>Telephone: 79012 43259   |   E-mail: cgst.sgrdiv@gov.in</w:t>
      </w:r>
    </w:p>
    <w:p>
      <w:pPr>
        <w:spacing w:before="0" w:after="280" w:line="240" w:lineRule="auto"/>
        <w:jc w:val="center"/>
        <w:shd w:val="clear" w:color="auto" w:fill="1F3864"/>
        <w:pBdr>
          <w:bottom w:val="single" w:sz="36" w:space="0" w:color="138808"/>
        </w:pBdr>
      </w:pPr>
      <w:r>
        <w:rPr>
          <w:b/>
          <w:color w:val="FFFFFF"/>
          <w:sz w:val="21"/>
          <w:szCs w:val="21"/>
          <w:bCs/>
        </w:rPr>
        <w:t xml:space="preserve">GST  ★  ONE NATION, ONE TAX  ★  </w:t>
      </w:r>
      <w:r>
        <w:rPr>
          <w:rFonts w:ascii="Nirmala UI" w:hAnsi="Nirmala UI" w:cs="Nirmala UI" w:hint="cs"/>
          <w:b/>
          <w:color w:val="FFFFFF"/>
          <w:sz w:val="21"/>
          <w:szCs w:val="21"/>
          <w:bCs/>
        </w:rPr>
        <w:t>जीएसटी: एक राष्ट्र, एक कर</w:t>
      </w:r>
    </w:p>
    <w:p>
      <w:pPr>
        <w:pStyle w:val="BodyText"/>
        <w:spacing w:before="80" w:after="200" w:line="264" w:lineRule="auto"/>
        <w:jc w:val="center"/>
        <w:pBdr>
          <w:top w:val="single" w:sz="8" w:space="4" w:color="1F3864"/>
          <w:left w:val="single" w:sz="8" w:space="4" w:color="1F3864"/>
          <w:bottom w:val="single" w:sz="8" w:space="4" w:color="1F3864"/>
          <w:right w:val="single" w:sz="8" w:space="4" w:color="1F3864"/>
        </w:pBdr>
        <w:shd w:val="clear" w:color="auto" w:fill="EEF2F8"/>
      </w:pPr>
      <w:r>
        <w:rPr>
          <w:bCs/>
          <w:b/>
          <w:color w:val="1F3864"/>
        </w:rPr>
        <w:t xml:space="preserve">FORM GST RFD-06 [See rules 92(1), 92(3), 92(4), 92(5) and 96(7)]</w:t>
      </w:r>
      <w:r>
        <w:rPr>
          <w:color w:val="1F3864"/>
        </w:rPr>
        <w:br/>
      </w:r>
      <w:r>
        <w:rPr>
          <w:bCs/>
          <w:b/>
          <w:color w:val="1F3864"/>
        </w:rPr>
        <w:t xml:space="preserve">SPEAKING ORDER ANNEXED TO THE REFUND SANCTION / REJECTION ORDER</w:t>
      </w:r>
      <w:r>
        <w:rPr>
          <w:color w:val="1F3864"/>
        </w:rPr>
        <w:br/>
      </w:r>
      <w:r>
        <w:rPr>
          <w:bCs/>
          <w:b/>
          <w:color w:val="1F3864"/>
        </w:rPr>
        <w:t xml:space="preserve">REFUND OF INTEGRATED TAX PAID ON EXPORT OF SERVICES [SECTION 54(1) OF THE CGST ACT READ WITH SECTION 16(4) OF THE IGST ACT]</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471"/>
        <w:gridCol w:w="7167"/>
      </w:tblGrid>
      <w:tr>
        <w:trPr>
          <w:tblHeader w:val="true"/>
          <w:tblHeader/>
        </w:trPr>
        <w:tc>
          <w:tcPr>
            <w:tcW w:type="dxa" w:w="2471"/>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7167"/>
            <w:shd w:val="clear" w:color="auto" w:fill="DCE6F1"/>
          </w:tcPr>
          <w:p>
            <w:pPr>
              <w:pStyle w:val="Compact"/>
              <w:spacing w:before="0" w:after="0" w:line="240" w:lineRule="auto"/>
              <w:jc w:val="left"/>
            </w:pPr>
            <w:r>
              <w:rPr>
                <w:b/>
                <w:color w:val="1F3864"/>
                <w:sz w:val="21"/>
              </w:rPr>
              <w:t xml:space="preserve">Details</w:t>
            </w:r>
          </w:p>
        </w:tc>
      </w:tr>
      <w:tr>
        <w:tc>
          <w:tcPr>
            <w:tcW w:type="dxa" w:w="2471"/>
            <w:shd w:val="clear" w:color="auto" w:fill="F5F8FC"/>
          </w:tcPr>
          <w:p>
            <w:pPr>
              <w:pStyle w:val="Compact"/>
              <w:spacing w:before="0" w:after="0" w:line="240" w:lineRule="auto"/>
              <w:jc w:val="left"/>
            </w:pPr>
            <w:r>
              <w:rPr>
                <w:b/>
                <w:sz w:val="21"/>
              </w:rPr>
              <w:t xml:space="preserve">Order No. and date</w:t>
            </w:r>
          </w:p>
        </w:tc>
        <w:tc>
          <w:tcPr>
            <w:tcW w:type="dxa" w:w="7167"/>
          </w:tcPr>
          <w:p>
            <w:pPr>
              <w:pStyle w:val="Compact"/>
              <w:spacing w:before="0" w:after="0" w:line="240" w:lineRule="auto"/>
              <w:jc w:val="left"/>
            </w:pPr>
            <w:r>
              <w:rPr>
                <w:sz w:val="21"/>
              </w:rPr>
              <w:t xml:space="preserve">[Order No.] dated [DD.MM.YYYY]</w:t>
            </w:r>
          </w:p>
        </w:tc>
      </w:tr>
      <w:tr>
        <w:tc>
          <w:tcPr>
            <w:tcW w:type="dxa" w:w="2471"/>
            <w:shd w:val="clear" w:color="auto" w:fill="F5F8FC"/>
          </w:tcPr>
          <w:p>
            <w:pPr>
              <w:pStyle w:val="Compact"/>
              <w:spacing w:before="0" w:after="0" w:line="240" w:lineRule="auto"/>
              <w:jc w:val="left"/>
            </w:pPr>
            <w:r>
              <w:rPr>
                <w:b/>
                <w:sz w:val="21"/>
              </w:rPr>
              <w:t xml:space="preserve">Reference No. (RFN) / DIN</w:t>
            </w:r>
          </w:p>
        </w:tc>
        <w:tc>
          <w:tcPr>
            <w:tcW w:type="dxa" w:w="7167"/>
          </w:tcPr>
          <w:p>
            <w:pPr>
              <w:pStyle w:val="Compact"/>
              <w:spacing w:before="0" w:after="0" w:line="240" w:lineRule="auto"/>
              <w:jc w:val="left"/>
            </w:pPr>
            <w:r>
              <w:rPr>
                <w:sz w:val="21"/>
              </w:rPr>
              <w:t xml:space="preserve">RFN [ ] generated on the common portal. [A DIN is not required on a communication served through the portal that bears an RFN (Circular No. 249/06/2025-GST); quote a DIN on any copy sent outside the portal, such as by e-mail.]</w:t>
            </w:r>
          </w:p>
        </w:tc>
      </w:tr>
      <w:tr>
        <w:tc>
          <w:tcPr>
            <w:tcW w:type="dxa" w:w="2471"/>
            <w:shd w:val="clear" w:color="auto" w:fill="F5F8FC"/>
          </w:tcPr>
          <w:p>
            <w:pPr>
              <w:pStyle w:val="Compact"/>
              <w:spacing w:before="0" w:after="0" w:line="240" w:lineRule="auto"/>
              <w:jc w:val="left"/>
            </w:pPr>
            <w:r>
              <w:rPr>
                <w:b/>
                <w:sz w:val="21"/>
              </w:rPr>
              <w:t xml:space="preserve">Name and address of the applicant</w:t>
            </w:r>
          </w:p>
        </w:tc>
        <w:tc>
          <w:tcPr>
            <w:tcW w:type="dxa" w:w="7167"/>
          </w:tcPr>
          <w:p>
            <w:pPr>
              <w:pStyle w:val="Compact"/>
              <w:spacing w:before="0" w:after="0" w:line="240" w:lineRule="auto"/>
              <w:jc w:val="left"/>
            </w:pPr>
            <w:r>
              <w:rPr>
                <w:sz w:val="21"/>
              </w:rPr>
              <w:t xml:space="preserve">[Legal name] ([trade name]), [principal place of business]</w:t>
            </w:r>
          </w:p>
        </w:tc>
      </w:tr>
      <w:tr>
        <w:tc>
          <w:tcPr>
            <w:tcW w:type="dxa" w:w="2471"/>
            <w:shd w:val="clear" w:color="auto" w:fill="F5F8FC"/>
          </w:tcPr>
          <w:p>
            <w:pPr>
              <w:pStyle w:val="Compact"/>
              <w:spacing w:before="0" w:after="0" w:line="240" w:lineRule="auto"/>
              <w:jc w:val="left"/>
            </w:pPr>
            <w:r>
              <w:rPr>
                <w:b/>
                <w:sz w:val="21"/>
              </w:rPr>
              <w:t xml:space="preserve">GSTIN</w:t>
            </w:r>
          </w:p>
        </w:tc>
        <w:tc>
          <w:tcPr>
            <w:tcW w:type="dxa" w:w="7167"/>
          </w:tcPr>
          <w:p>
            <w:pPr>
              <w:pStyle w:val="Compact"/>
              <w:spacing w:before="0" w:after="0" w:line="240" w:lineRule="auto"/>
              <w:jc w:val="left"/>
            </w:pPr>
            <w:r>
              <w:rPr>
                <w:sz w:val="21"/>
              </w:rPr>
              <w:t xml:space="preserve">[GSTIN]</w:t>
            </w:r>
          </w:p>
        </w:tc>
      </w:tr>
      <w:tr>
        <w:tc>
          <w:tcPr>
            <w:tcW w:type="dxa" w:w="2471"/>
            <w:shd w:val="clear" w:color="auto" w:fill="F5F8FC"/>
          </w:tcPr>
          <w:p>
            <w:pPr>
              <w:pStyle w:val="Compact"/>
              <w:spacing w:before="0" w:after="0" w:line="240" w:lineRule="auto"/>
              <w:jc w:val="left"/>
            </w:pPr>
            <w:r>
              <w:rPr>
                <w:b/>
                <w:sz w:val="21"/>
              </w:rPr>
              <w:t xml:space="preserve">Refund category as selected in RFD-01</w:t>
            </w:r>
          </w:p>
        </w:tc>
        <w:tc>
          <w:tcPr>
            <w:tcW w:type="dxa" w:w="7167"/>
          </w:tcPr>
          <w:p>
            <w:pPr>
              <w:pStyle w:val="Compact"/>
              <w:spacing w:before="0" w:after="0" w:line="240" w:lineRule="auto"/>
              <w:jc w:val="left"/>
            </w:pPr>
            <w:r>
              <w:rPr>
                <w:sz w:val="21"/>
              </w:rPr>
              <w:t xml:space="preserve">Export of services with payment of tax</w:t>
            </w:r>
          </w:p>
        </w:tc>
      </w:tr>
      <w:tr>
        <w:tc>
          <w:tcPr>
            <w:tcW w:type="dxa" w:w="2471"/>
            <w:shd w:val="clear" w:color="auto" w:fill="F5F8FC"/>
          </w:tcPr>
          <w:p>
            <w:pPr>
              <w:pStyle w:val="Compact"/>
              <w:spacing w:before="0" w:after="0" w:line="240" w:lineRule="auto"/>
              <w:jc w:val="left"/>
            </w:pPr>
            <w:r>
              <w:rPr>
                <w:b/>
                <w:sz w:val="21"/>
              </w:rPr>
              <w:t xml:space="preserve">Tax period(s)</w:t>
            </w:r>
          </w:p>
        </w:tc>
        <w:tc>
          <w:tcPr>
            <w:tcW w:type="dxa" w:w="7167"/>
          </w:tcPr>
          <w:p>
            <w:pPr>
              <w:pStyle w:val="Compact"/>
              <w:spacing w:before="0" w:after="0" w:line="240" w:lineRule="auto"/>
              <w:jc w:val="left"/>
            </w:pPr>
            <w:r>
              <w:rPr>
                <w:sz w:val="21"/>
              </w:rPr>
              <w:t xml:space="preserve">[Month YYYY] to [Month YYYY]</w:t>
            </w:r>
          </w:p>
        </w:tc>
      </w:tr>
      <w:tr>
        <w:tc>
          <w:tcPr>
            <w:tcW w:type="dxa" w:w="2471"/>
            <w:shd w:val="clear" w:color="auto" w:fill="F5F8FC"/>
          </w:tcPr>
          <w:p>
            <w:pPr>
              <w:pStyle w:val="Compact"/>
              <w:spacing w:before="0" w:after="0" w:line="240" w:lineRule="auto"/>
              <w:jc w:val="left"/>
            </w:pPr>
            <w:r>
              <w:rPr>
                <w:b/>
                <w:sz w:val="21"/>
              </w:rPr>
              <w:t xml:space="preserve">ARN and date of filing of RFD-01</w:t>
            </w:r>
          </w:p>
        </w:tc>
        <w:tc>
          <w:tcPr>
            <w:tcW w:type="dxa" w:w="7167"/>
          </w:tcPr>
          <w:p>
            <w:pPr>
              <w:pStyle w:val="Compact"/>
              <w:spacing w:before="0" w:after="0" w:line="240" w:lineRule="auto"/>
              <w:jc w:val="left"/>
            </w:pPr>
            <w:r>
              <w:rPr>
                <w:sz w:val="21"/>
              </w:rPr>
              <w:t xml:space="preserve">[ARN] dated [DD.MM.YYYY]</w:t>
            </w:r>
          </w:p>
        </w:tc>
      </w:tr>
      <w:tr>
        <w:tc>
          <w:tcPr>
            <w:tcW w:type="dxa" w:w="2471"/>
            <w:shd w:val="clear" w:color="auto" w:fill="F5F8FC"/>
          </w:tcPr>
          <w:p>
            <w:pPr>
              <w:pStyle w:val="Compact"/>
              <w:spacing w:before="0" w:after="0" w:line="240" w:lineRule="auto"/>
              <w:jc w:val="left"/>
            </w:pPr>
            <w:r>
              <w:rPr>
                <w:b/>
                <w:sz w:val="21"/>
              </w:rPr>
              <w:t xml:space="preserve">Acknowledgement (RFD-02)</w:t>
            </w:r>
          </w:p>
        </w:tc>
        <w:tc>
          <w:tcPr>
            <w:tcW w:type="dxa" w:w="7167"/>
          </w:tcPr>
          <w:p>
            <w:pPr>
              <w:pStyle w:val="Compact"/>
              <w:spacing w:before="0" w:after="0" w:line="240" w:lineRule="auto"/>
              <w:jc w:val="left"/>
            </w:pPr>
            <w:r>
              <w:rPr>
                <w:sz w:val="21"/>
              </w:rPr>
              <w:t xml:space="preserve">Issued on [DD.MM.YYYY] [Option: after deficiency memo RFD-03 dated [DD.MM.YYYY] on the earlier ARN [ARN] dated [DD.MM.YYYY]]</w:t>
            </w:r>
          </w:p>
        </w:tc>
      </w:tr>
      <w:tr>
        <w:tc>
          <w:tcPr>
            <w:tcW w:type="dxa" w:w="2471"/>
            <w:shd w:val="clear" w:color="auto" w:fill="F5F8FC"/>
          </w:tcPr>
          <w:p>
            <w:pPr>
              <w:pStyle w:val="Compact"/>
              <w:spacing w:before="0" w:after="0" w:line="240" w:lineRule="auto"/>
              <w:jc w:val="left"/>
            </w:pPr>
            <w:r>
              <w:rPr>
                <w:b/>
                <w:sz w:val="21"/>
              </w:rPr>
              <w:t xml:space="preserve">Date of receipt of the application for section 54(7) and section 56</w:t>
            </w:r>
          </w:p>
        </w:tc>
        <w:tc>
          <w:tcPr>
            <w:tcW w:type="dxa" w:w="7167"/>
          </w:tcPr>
          <w:p>
            <w:pPr>
              <w:pStyle w:val="Compact"/>
              <w:spacing w:before="0" w:after="0" w:line="240" w:lineRule="auto"/>
              <w:jc w:val="left"/>
            </w:pPr>
            <w:r>
              <w:rPr>
                <w:sz w:val="21"/>
              </w:rPr>
              <w:t xml:space="preserve">[DD.MM.YYYY], the date of filing (ARN), as indicated in RFD-02 (rule 90(2)); sixty days end on [DD.MM.YYYY]</w:t>
            </w:r>
          </w:p>
        </w:tc>
      </w:tr>
      <w:tr>
        <w:tc>
          <w:tcPr>
            <w:tcW w:type="dxa" w:w="2471"/>
            <w:shd w:val="clear" w:color="auto" w:fill="F5F8FC"/>
          </w:tcPr>
          <w:p>
            <w:pPr>
              <w:pStyle w:val="Compact"/>
              <w:spacing w:before="0" w:after="0" w:line="240" w:lineRule="auto"/>
              <w:jc w:val="left"/>
            </w:pPr>
            <w:r>
              <w:rPr>
                <w:b/>
                <w:sz w:val="21"/>
              </w:rPr>
              <w:t xml:space="preserve">Provisional refund (RFD-04)</w:t>
            </w:r>
          </w:p>
        </w:tc>
        <w:tc>
          <w:tcPr>
            <w:tcW w:type="dxa" w:w="7167"/>
          </w:tcPr>
          <w:p>
            <w:pPr>
              <w:pStyle w:val="Compact"/>
              <w:spacing w:before="0" w:after="0" w:line="240" w:lineRule="auto"/>
              <w:jc w:val="left"/>
            </w:pPr>
            <w:r>
              <w:rPr>
                <w:sz w:val="21"/>
              </w:rPr>
              <w:t xml:space="preserve">[RFD-04 No. [ ] dated [DD.MM.YYYY] for ₹[ ]] / [Not granted, reasons in para 5]</w:t>
            </w:r>
          </w:p>
        </w:tc>
      </w:tr>
      <w:tr>
        <w:tc>
          <w:tcPr>
            <w:tcW w:type="dxa" w:w="2471"/>
            <w:shd w:val="clear" w:color="auto" w:fill="F5F8FC"/>
          </w:tcPr>
          <w:p>
            <w:pPr>
              <w:pStyle w:val="Compact"/>
              <w:spacing w:before="0" w:after="0" w:line="240" w:lineRule="auto"/>
              <w:jc w:val="left"/>
            </w:pPr>
            <w:r>
              <w:rPr>
                <w:b/>
                <w:sz w:val="21"/>
              </w:rPr>
              <w:t xml:space="preserve">Notice (RFD-08) and reply (RFD-09)</w:t>
            </w:r>
          </w:p>
        </w:tc>
        <w:tc>
          <w:tcPr>
            <w:tcW w:type="dxa" w:w="7167"/>
          </w:tcPr>
          <w:p>
            <w:pPr>
              <w:pStyle w:val="Compact"/>
              <w:spacing w:before="0" w:after="0" w:line="240" w:lineRule="auto"/>
              <w:jc w:val="left"/>
            </w:pPr>
            <w:r>
              <w:rPr>
                <w:sz w:val="21"/>
              </w:rPr>
              <w:t xml:space="preserve">[RFD-08 No. [ ] dated [DD.MM.YYYY]; reply dated [DD.MM.YYYY]] / [Not issued, as the claim is sanctioned in full]</w:t>
            </w:r>
          </w:p>
        </w:tc>
      </w:tr>
      <w:tr>
        <w:tc>
          <w:tcPr>
            <w:tcW w:type="dxa" w:w="2471"/>
            <w:shd w:val="clear" w:color="auto" w:fill="F5F8FC"/>
          </w:tcPr>
          <w:p>
            <w:pPr>
              <w:pStyle w:val="Compact"/>
              <w:spacing w:before="0" w:after="0" w:line="240" w:lineRule="auto"/>
              <w:jc w:val="left"/>
            </w:pPr>
            <w:r>
              <w:rPr>
                <w:b/>
                <w:sz w:val="21"/>
              </w:rPr>
              <w:t xml:space="preserve">Personal hearing</w:t>
            </w:r>
          </w:p>
        </w:tc>
        <w:tc>
          <w:tcPr>
            <w:tcW w:type="dxa" w:w="7167"/>
          </w:tcPr>
          <w:p>
            <w:pPr>
              <w:pStyle w:val="Compact"/>
              <w:spacing w:before="0" w:after="0" w:line="240" w:lineRule="auto"/>
              <w:jc w:val="left"/>
            </w:pPr>
            <w:r>
              <w:rPr>
                <w:sz w:val="21"/>
              </w:rPr>
              <w:t xml:space="preserve">[DD.MM.YYYY], attended by [designation of the authorised representative] / [Not required, as the claim is sanctioned in full]</w:t>
            </w:r>
          </w:p>
        </w:tc>
      </w:tr>
      <w:tr>
        <w:tc>
          <w:tcPr>
            <w:tcW w:type="dxa" w:w="2471"/>
            <w:shd w:val="clear" w:color="auto" w:fill="F5F8FC"/>
          </w:tcPr>
          <w:p>
            <w:pPr>
              <w:pStyle w:val="Compact"/>
              <w:spacing w:before="0" w:after="0" w:line="240" w:lineRule="auto"/>
              <w:jc w:val="left"/>
            </w:pPr>
            <w:r>
              <w:rPr>
                <w:b/>
                <w:sz w:val="21"/>
              </w:rPr>
              <w:t xml:space="preserve">Amount claimed</w:t>
            </w:r>
          </w:p>
        </w:tc>
        <w:tc>
          <w:tcPr>
            <w:tcW w:type="dxa" w:w="7167"/>
          </w:tcPr>
          <w:p>
            <w:pPr>
              <w:pStyle w:val="Compact"/>
              <w:spacing w:before="0" w:after="0" w:line="240" w:lineRule="auto"/>
              <w:jc w:val="left"/>
            </w:pPr>
            <w:r>
              <w:rPr>
                <w:sz w:val="21"/>
              </w:rPr>
              <w:t xml:space="preserve">IGST ₹[ ] (compensation cess is not levied on services)</w:t>
            </w:r>
          </w:p>
        </w:tc>
      </w:tr>
      <w:tr>
        <w:tc>
          <w:tcPr>
            <w:tcW w:type="dxa" w:w="2471"/>
            <w:shd w:val="clear" w:color="auto" w:fill="F5F8FC"/>
          </w:tcPr>
          <w:p>
            <w:pPr>
              <w:pStyle w:val="Compact"/>
              <w:spacing w:before="0" w:after="0" w:line="240" w:lineRule="auto"/>
              <w:jc w:val="left"/>
            </w:pPr>
            <w:r>
              <w:rPr>
                <w:b/>
                <w:sz w:val="21"/>
              </w:rPr>
              <w:t xml:space="preserve">Result</w:t>
            </w:r>
          </w:p>
        </w:tc>
        <w:tc>
          <w:tcPr>
            <w:tcW w:type="dxa" w:w="7167"/>
          </w:tcPr>
          <w:p>
            <w:pPr>
              <w:pStyle w:val="Compact"/>
              <w:spacing w:before="0" w:after="0" w:line="240" w:lineRule="auto"/>
              <w:jc w:val="left"/>
            </w:pPr>
            <w:r>
              <w:rPr>
                <w:sz w:val="21"/>
              </w:rPr>
              <w:t xml:space="preserve">Sanctioned ₹[ ]; Rejected ₹[ ]; Adjusted against dues / withheld ₹[ ] (head-wise details in para 11)</w:t>
            </w:r>
          </w:p>
        </w:tc>
      </w:tr>
    </w:tbl>
    <w:p>
      <w:pPr>
        <w:pStyle w:val="BodyText"/>
        <w:keepNext/>
        <w:spacing w:before="240" w:after="80"/>
        <w:jc w:val="center"/>
        <w:pBdr>
          <w:bottom w:val="single" w:sz="6" w:space="1" w:color="B4C6E7"/>
        </w:pBdr>
      </w:pPr>
      <w:r>
        <w:rPr>
          <w:bCs/>
          <w:b/>
          <w:color w:val="1F3864"/>
          <w:sz w:val="25"/>
        </w:rPr>
        <w:t xml:space="preserve">IMPORTANT NOTE FOR THE APPLICANT</w:t>
      </w:r>
    </w:p>
    <w:p>
      <w:pPr>
        <w:numPr>
          <w:ilvl w:val="0"/>
          <w:numId w:val="1001"/>
        </w:numPr>
        <w:pStyle w:val="Compact"/>
        <w:spacing w:before="0" w:after="120" w:line="269" w:lineRule="auto"/>
      </w:pPr>
      <w:r>
        <w:t xml:space="preserve">This copy is granted free of charge for the private use of the person to whom it is issued.</w:t>
      </w:r>
    </w:p>
    <w:p>
      <w:pPr>
        <w:numPr>
          <w:ilvl w:val="0"/>
          <w:numId w:val="1001"/>
        </w:numPr>
        <w:pStyle w:val="Compact"/>
        <w:spacing w:before="0" w:after="120" w:line="269" w:lineRule="auto"/>
      </w:pPr>
      <w:r>
        <w:t xml:space="preserve">Any person aggrieved by this order may appeal under section 107(1) of the Central Goods and Services Tax Act, 2017 (the CGST Act) to the Commissioner (Appeals-II), Hyderabad, Headquarters Office, 7th Floor, L.B. Stadium Road, Basheerbagh, Hyderabad – 500 004 (rule 109A(1)(b) of the CGST Rules, 2017) within</w:t>
      </w:r>
      <w:r>
        <w:t xml:space="preserve"> </w:t>
      </w:r>
      <w:r>
        <w:rPr>
          <w:bCs/>
          <w:b/>
        </w:rPr>
        <w:t xml:space="preserve">three months</w:t>
      </w:r>
      <w:r>
        <w:t xml:space="preserve"> </w:t>
      </w:r>
      <w:r>
        <w:t xml:space="preserve">from the date on which this order is communicated. Under section 107(4), the Appellate Authority may allow a further period of</w:t>
      </w:r>
      <w:r>
        <w:t xml:space="preserve"> </w:t>
      </w:r>
      <w:r>
        <w:rPr>
          <w:bCs/>
          <w:b/>
        </w:rPr>
        <w:t xml:space="preserve">one month</w:t>
      </w:r>
      <w:r>
        <w:t xml:space="preserve"> </w:t>
      </w:r>
      <w:r>
        <w:t xml:space="preserve">if satisfied that there was sufficient cause.</w:t>
      </w:r>
    </w:p>
    <w:p>
      <w:pPr>
        <w:numPr>
          <w:ilvl w:val="0"/>
          <w:numId w:val="1001"/>
        </w:numPr>
        <w:pStyle w:val="Compact"/>
        <w:spacing w:before="0" w:after="120" w:line="269" w:lineRule="auto"/>
      </w:pPr>
      <w:r>
        <w:t xml:space="preserve">The appeal is to be filed</w:t>
      </w:r>
      <w:r>
        <w:t xml:space="preserve"> </w:t>
      </w:r>
      <w:r>
        <w:rPr>
          <w:bCs/>
          <w:b/>
        </w:rPr>
        <w:t xml:space="preserve">electronically in FORM GST APL-01 on the common portal</w:t>
      </w:r>
      <w:r>
        <w:t xml:space="preserve">, with the documents uploaded there (rule 108). No court fee stamp is required. As this order is available on the common portal, no copy of it need be filed; if it is not available there, a self-certified copy is to be submitted within seven days of filing APL-01, failing which the appeal is treated as filed on the date the copy is submitted (rule 108(3)).</w:t>
      </w:r>
    </w:p>
    <w:p>
      <w:pPr>
        <w:numPr>
          <w:ilvl w:val="0"/>
          <w:numId w:val="1001"/>
        </w:numPr>
        <w:pStyle w:val="Compact"/>
        <w:spacing w:before="0" w:after="120" w:line="269" w:lineRule="auto"/>
      </w:pPr>
      <w:r>
        <w:t xml:space="preserve">Under section 107(6), no appeal can be filed unless the appellant has paid (a) in full, the part of the tax, interest, fine, fee and penalty arising from this order that is admitted; and (b) ten per cent of the remaining</w:t>
      </w:r>
      <w:r>
        <w:t xml:space="preserve"> </w:t>
      </w:r>
      <w:r>
        <w:rPr>
          <w:bCs/>
          <w:b/>
        </w:rPr>
        <w:t xml:space="preserve">tax in dispute</w:t>
      </w:r>
      <w:r>
        <w:t xml:space="preserve"> </w:t>
      </w:r>
      <w:r>
        <w:t xml:space="preserve">arising from this order, subject to a maximum of twenty crore rupees. Where an order demands only a penalty without any demand of tax, ten per cent of that penalty is payable (proviso to section 107(6)). [Drafting note: where this order only sanctions or rejects a refund and confirms no demand, no tax is</w:t>
      </w:r>
      <w:r>
        <w:t xml:space="preserve"> </w:t>
      </w:r>
      <w:r>
        <w:t xml:space="preserve">“</w:t>
      </w:r>
      <w:r>
        <w:t xml:space="preserve">in dispute</w:t>
      </w:r>
      <w:r>
        <w:t xml:space="preserve">”</w:t>
      </w:r>
      <w:r>
        <w:t xml:space="preserve"> </w:t>
      </w:r>
      <w:r>
        <w:t xml:space="preserve">under section 107(6); keep this paragraph unchanged, as it is a general statement of the law.]</w:t>
      </w:r>
    </w:p>
    <w:p>
      <w:pPr>
        <w:numPr>
          <w:ilvl w:val="0"/>
          <w:numId w:val="1001"/>
        </w:numPr>
        <w:pStyle w:val="Compact"/>
        <w:spacing w:before="0" w:after="120" w:line="269" w:lineRule="auto"/>
      </w:pPr>
      <w:r>
        <w:t xml:space="preserve">This order is passed under the CGST Act and the CGST Rules, and also under the corresponding provisions of the [State] GST Act, 2017 / Union Territory GST Act, 2017 and the Integrated Goods and Services Tax Act, 2017 (the IGST Act), as applicable (the State or Union Territory portion is decided under section 6 of the State GST Act or the Union Territory GST Act, as the case may be; IGST under section 20 of the IGST Act). The sanction and payment orders for all tax heads are issued by this office, to which the application is assigned (para 27 of Circular No. 125/44/2019-GST). A reference to a provision of the CGST Act or Rules includes the corresponding provision of those Acts and Rules.</w:t>
      </w:r>
    </w:p>
    <w:p>
      <w:pPr>
        <w:pStyle w:val="FirstParagraph"/>
        <w:keepNext/>
        <w:spacing w:before="240" w:after="80"/>
        <w:pBdr>
          <w:bottom w:val="single" w:sz="6" w:space="1" w:color="B4C6E7"/>
        </w:pBdr>
      </w:pPr>
      <w:r>
        <w:rPr>
          <w:bCs/>
          <w:b/>
          <w:color w:val="1F3864"/>
          <w:sz w:val="25"/>
        </w:rPr>
        <w:t xml:space="preserve">1. Brief facts</w:t>
      </w:r>
    </w:p>
    <w:p>
      <w:pPr>
        <w:pStyle w:val="BodyText"/>
        <w:spacing w:before="0" w:after="120" w:line="269" w:lineRule="auto"/>
        <w:jc w:val="both"/>
      </w:pPr>
      <w:r>
        <w:t xml:space="preserve">1.1 [Legal name] (the applicant), registered under GSTIN [ ], supplies [description of services] under SAC [ ] to [number] recipient(s) located in [country / countries], under [agreement(s) dated [ ]]. During [period] it supplied these services on payment of integrated tax of ₹[ ], declared in GSTR-1 Table 6A and paid through GSTR-3B Table 3.1(b).</w:t>
      </w:r>
    </w:p>
    <w:p>
      <w:pPr>
        <w:pStyle w:val="BodyText"/>
        <w:spacing w:before="0" w:after="120" w:line="269" w:lineRule="auto"/>
        <w:jc w:val="both"/>
      </w:pPr>
      <w:r>
        <w:t xml:space="preserve">1.2 The applicant filed FORM GST RFD-01 under ARN [ ] dated [DD.MM.YYYY] for refund of IGST of ₹[ ] so paid, with Statement 2 listing [ ] invoices and the related FIRCs / BRCs / e-BRCs. The application was acknowledged in FORM GST RFD-02 on [DD.MM.YYYY].</w:t>
      </w:r>
    </w:p>
    <w:p>
      <w:pPr>
        <w:pStyle w:val="BodyText"/>
        <w:keepNext/>
        <w:spacing w:before="240" w:after="80"/>
        <w:pBdr>
          <w:bottom w:val="single" w:sz="6" w:space="1" w:color="B4C6E7"/>
        </w:pBdr>
      </w:pPr>
      <w:r>
        <w:rPr>
          <w:bCs/>
          <w:b/>
          <w:color w:val="1F3864"/>
          <w:sz w:val="25"/>
        </w:rPr>
        <w:t xml:space="preserve">2. Legal provisions</w:t>
      </w:r>
    </w:p>
    <w:p>
      <w:pPr>
        <w:pStyle w:val="BodyText"/>
        <w:spacing w:before="0" w:after="120" w:line="269" w:lineRule="auto"/>
        <w:jc w:val="both"/>
      </w:pPr>
      <w:r>
        <w:t xml:space="preserve">2.1 Under section 16(1)(a) of the IGST Act, export of services is a zero-rated supply. Under section 16(4) of the IGST Act (as substituted with effect from 01.10.2023) and Notification No. 01/2023-Integrated Tax dated 31.07.2023, as amended by Notification No. 05/2023-Integrated Tax dated 26.10.2023, all services may be exported on payment of integrated tax, and the supplier may claim refund of the tax so paid. The refund is claimed under section 54(1) of the CGST Act, read with section 20 of the IGST Act.</w:t>
      </w:r>
    </w:p>
    <w:p>
      <w:pPr>
        <w:pStyle w:val="BodyText"/>
        <w:spacing w:before="0" w:after="120" w:line="269" w:lineRule="auto"/>
        <w:jc w:val="both"/>
      </w:pPr>
      <w:r>
        <w:t xml:space="preserve">2.2 Under section 2(6) of the IGST Act,</w:t>
      </w:r>
      <w:r>
        <w:t xml:space="preserve"> </w:t>
      </w:r>
      <w:r>
        <w:t xml:space="preserve">“</w:t>
      </w:r>
      <w:r>
        <w:t xml:space="preserve">export of services</w:t>
      </w:r>
      <w:r>
        <w:t xml:space="preserve">”</w:t>
      </w:r>
      <w:r>
        <w:t xml:space="preserve"> </w:t>
      </w:r>
      <w:r>
        <w:t xml:space="preserve">means the supply of a service when (i) the supplier is located in India; (ii) the recipient is located outside India; (iii) the place of supply is outside India; (iv) the payment for the service has been received by the supplier in convertible foreign exchange or in Indian rupees wherever permitted by the Reserve Bank of India; and (v) the supplier and the recipient are not merely establishments of a distinct person in accordance with Explanation 1 to section 8. The place of supply is decided under section 13 of the IGST Act: the general rule in section 13(2) (location of the recipient) applies unless the service falls in sub-sections (3) to (13). Clause (b) of section 13(8), which made the location of the supplier the place of supply of intermediary services, was omitted by section 157 of the Finance Act, 2026, with effect from [date of commencement of section 157: the law text records only the date of the Act, 30.03.2026, and no separate notification has been seen; confirm before use]. The omission is prospective: for supplies before that date, the place of supply of intermediary services remains the location of the supplier (section 13(8)(b)), and whether a supply is an intermediary service is decided on the tests in Circular No. 159/15/2021-GST.</w:t>
      </w:r>
    </w:p>
    <w:p>
      <w:pPr>
        <w:pStyle w:val="BodyText"/>
        <w:spacing w:before="0" w:after="120" w:line="269" w:lineRule="auto"/>
        <w:jc w:val="both"/>
      </w:pPr>
      <w:r>
        <w:t xml:space="preserve">2.3 Under rule 89(2)(c), the application is accompanied by a statement containing the number and date of invoices and the relevant BRCs or FIRCs. Under clause (c) of Explanation 2 to section 54, the relevant date is the date of receipt of payment in convertible foreign exchange (or permitted Indian rupees), where the supply had been completed before the payment; or the date of issue of the invoice, where payment had been received in advance of the invoice. Under rule 96(9), refund of integrated tax paid on services exported is claimed in FORM GST RFD-01 and dealt with under rule 89; the shipping-bill route in rule 96 applies only to goods.</w:t>
      </w:r>
    </w:p>
    <w:p>
      <w:pPr>
        <w:pStyle w:val="BodyText"/>
        <w:spacing w:before="0" w:after="120" w:line="269" w:lineRule="auto"/>
        <w:jc w:val="both"/>
      </w:pPr>
      <w:r>
        <w:t xml:space="preserve">2.4 This is a refund of tax paid, not of input tax credit. The formula in rule 89(4) does not apply, and the eligibility of the applicant’s input tax credit is not an issue in this claim.</w:t>
      </w:r>
    </w:p>
    <w:p>
      <w:pPr>
        <w:pStyle w:val="BodyText"/>
        <w:keepNext/>
        <w:spacing w:before="240" w:after="80"/>
        <w:pBdr>
          <w:bottom w:val="single" w:sz="6" w:space="1" w:color="B4C6E7"/>
        </w:pBdr>
      </w:pPr>
      <w:r>
        <w:rPr>
          <w:bCs/>
          <w:b/>
          <w:color w:val="1F3864"/>
          <w:sz w:val="25"/>
        </w:rPr>
        <w:t xml:space="preserve">3. Limitation</w:t>
      </w:r>
    </w:p>
    <w:p>
      <w:pPr>
        <w:pStyle w:val="BodyText"/>
        <w:spacing w:before="0" w:after="120" w:line="269" w:lineRule="auto"/>
        <w:jc w:val="both"/>
      </w:pPr>
      <w:r>
        <w:t xml:space="preserve">3.1 The relevant date under clause (c) has been checked for each invoice in Table 1. [Option A: All relevant dates fall on or after [DD.MM.YYYY], and the application filed on [DD.MM.YYYY] is within two years of each.] [Option B: The relevant dates for invoices at S. Nos. [ ] are before [DD.MM.YYYY]; the tax of ₹[ ] on them is beyond two years and is not refundable.]</w:t>
      </w:r>
    </w:p>
    <w:p>
      <w:pPr>
        <w:pStyle w:val="BodyText"/>
        <w:keepNext/>
        <w:spacing w:before="240" w:after="80"/>
        <w:pBdr>
          <w:bottom w:val="single" w:sz="6" w:space="1" w:color="B4C6E7"/>
        </w:pBdr>
      </w:pPr>
      <w:r>
        <w:rPr>
          <w:bCs/>
          <w:b/>
          <w:color w:val="1F3864"/>
          <w:sz w:val="25"/>
        </w:rPr>
        <w:t xml:space="preserve">4. Other conditions for admissibility</w:t>
      </w:r>
    </w:p>
    <w:p>
      <w:pPr>
        <w:pStyle w:val="BodyText"/>
        <w:spacing w:before="0" w:after="120" w:line="269" w:lineRule="auto"/>
        <w:jc w:val="both"/>
      </w:pPr>
      <w:r>
        <w:t xml:space="preserve">4.1 The application was complete in terms of rule 89(2) and was acknowledged in RFD-02 within fifteen days under rule 90(2). The applicant has filed all returns due up to the date of the application (para 6 of Circular 125). The back-office refund history shows no other claim on these invoices, whether in this category or as unutilised ITC under LUT. The applicant [has / has not] undergone Aadhaar authentication under rule 10B [if not, see para 5, Option D].</w:t>
      </w:r>
    </w:p>
    <w:p>
      <w:pPr>
        <w:pStyle w:val="BodyText"/>
        <w:keepNext/>
        <w:spacing w:before="240" w:after="80"/>
        <w:pBdr>
          <w:bottom w:val="single" w:sz="6" w:space="1" w:color="B4C6E7"/>
        </w:pBdr>
      </w:pPr>
      <w:r>
        <w:rPr>
          <w:bCs/>
          <w:b/>
          <w:color w:val="1F3864"/>
          <w:sz w:val="25"/>
        </w:rPr>
        <w:t xml:space="preserve">5. Provisional refund</w:t>
      </w:r>
    </w:p>
    <w:p>
      <w:pPr>
        <w:pStyle w:val="BodyText"/>
        <w:spacing w:before="0" w:after="120" w:line="269" w:lineRule="auto"/>
        <w:jc w:val="both"/>
      </w:pPr>
      <w:r>
        <w:t xml:space="preserve">5.1 Section 54(6) of the CGST Act, read with rule 91 of the CGST Rules, provides for refund on a provisional basis of ninety per cent of the amount claimed on account of zero-rated supply of goods or services. Under rule 91(2), as substituted by Notification No. 13/2025-Central Tax dated 17.09.2025 with effect from 01.10.2025, the proper officer is to issue the provisional refund order in FORM GST RFD-04 within seven days of the acknowledgement, on the basis of the identification and evaluation of risk by the system. Under the first proviso to rule 91(2), the proper officer may, for reasons to be recorded in writing, decide that the applicant is not to be granted refund on a provisional basis. Instruction No. 06/2025-GST dated 03.10.2025 (paras 3.1 to 3.3) directs that ninety per cent of the amount claimed be sanctioned provisionally where the system categorises the application as</w:t>
      </w:r>
      <w:r>
        <w:t xml:space="preserve"> </w:t>
      </w:r>
      <w:r>
        <w:t xml:space="preserve">“</w:t>
      </w:r>
      <w:r>
        <w:t xml:space="preserve">low-risk</w:t>
      </w:r>
      <w:r>
        <w:t xml:space="preserve">”</w:t>
      </w:r>
      <w:r>
        <w:t xml:space="preserve">, without further scrutiny for that purpose; that applications not categorised as low-risk get no provisional refund and are scrutinised in detail; and that the first proviso to rule 91(2) be used sparingly, case by case, and not on presumptive grounds or merely because routine proceedings such as scrutiny have begun. Provisional refund is not available to the categories notified under section 54(6) by Notification No. 14/2025-Central Tax dated 17.09.2025, namely a person who has not undergone Aadhaar authentication under rule 10B, and a person engaged in the supply of areca nuts (0802 80), pan masala (2106 90 20), tobacco and manufactured tobacco substitutes (chapter 24) or essential oils (3301); nor, under rule 91(1), to a person prosecuted, during the five years before the tax period of the claim, for an offence where the tax evaded exceeds two hundred and fifty lakh rupees.</w:t>
      </w:r>
    </w:p>
    <w:p>
      <w:pPr>
        <w:pStyle w:val="BlockText"/>
        <w:shd w:val="clear" w:color="auto" w:fill="E7E6E6"/>
      </w:pPr>
      <w:r>
        <w:rPr>
          <w:bCs/>
          <w:b/>
          <w:sz w:val="21"/>
        </w:rPr>
        <w:t xml:space="preserve">Drafting note:</w:t>
      </w:r>
      <w:r>
        <w:rPr>
          <w:sz w:val="21"/>
        </w:rPr>
        <w:t xml:space="preserve"> </w:t>
      </w:r>
      <w:r>
        <w:rPr>
          <w:sz w:val="21"/>
        </w:rPr>
        <w:t xml:space="preserve">keep one of Options A to D. Record the system risk category exactly as shown on the back-office screen. Under para 3.2 of Instruction 06/2025, no amount can be adjusted or withheld under section 54(10) or 54(11) from a provisional refund; where the applicant has such dues, the Instruction allows the officer to decide the claim finally at the earliest instead, and recover the dues from the final sanction. Provisional refund may also be refused where, on an earlier refund of the applicant, the issue is pending in appeal, a show cause notice has been issued, or an order has not attained finality.</w:t>
      </w:r>
    </w:p>
    <w:p>
      <w:pPr>
        <w:pStyle w:val="FirstParagraph"/>
        <w:spacing w:before="0" w:after="120" w:line="269" w:lineRule="auto"/>
        <w:jc w:val="both"/>
      </w:pPr>
      <w:r>
        <w:t xml:space="preserve">5.2</w:t>
      </w:r>
      <w:r>
        <w:t xml:space="preserve"> </w:t>
      </w:r>
      <w:r>
        <w:rPr>
          <w:bCs/>
          <w:b/>
        </w:rPr>
        <w:t xml:space="preserve">[Option A: provisional refund granted]</w:t>
      </w:r>
      <w:r>
        <w:t xml:space="preserve"> </w:t>
      </w:r>
      <w:r>
        <w:t xml:space="preserve">The claim was marked</w:t>
      </w:r>
      <w:r>
        <w:t xml:space="preserve"> </w:t>
      </w:r>
      <w:r>
        <w:t xml:space="preserve">“</w:t>
      </w:r>
      <w:r>
        <w:t xml:space="preserve">low-risk</w:t>
      </w:r>
      <w:r>
        <w:t xml:space="preserve">”</w:t>
      </w:r>
      <w:r>
        <w:t xml:space="preserve"> </w:t>
      </w:r>
      <w:r>
        <w:t xml:space="preserve">by the system. Provisional refund of ₹[ ] (IGST ₹[ ]), being ninety per cent of the amount claimed, was sanctioned by RFD-04 No. [ ] dated [DD.MM.YYYY] and paid by RFD-05 dated [DD.MM.YYYY]. That amount is accounted for in the final sanction in para 11 under rule 92(1). [Option, where the amount finally admissible is less than the provisional refund paid: the excess of ₹[ ] was proposed for recovery in the RFD-08 notice, with its summary in FORM GST DRC-01 (rule 142(1)(a)), under section 54 read with section [73 / 74 / 74A] (para 3.4 of Instruction No. 06/2025-GST; paras 15 and 16 of Circular No. 125/44/2019-GST) and is decided in para 11.]</w:t>
      </w:r>
    </w:p>
    <w:p>
      <w:pPr>
        <w:pStyle w:val="BodyText"/>
        <w:spacing w:before="0" w:after="120" w:line="269" w:lineRule="auto"/>
        <w:jc w:val="both"/>
      </w:pPr>
      <w:r>
        <w:t xml:space="preserve">5.2</w:t>
      </w:r>
      <w:r>
        <w:t xml:space="preserve"> </w:t>
      </w:r>
      <w:r>
        <w:rPr>
          <w:bCs/>
          <w:b/>
        </w:rPr>
        <w:t xml:space="preserve">[Option B: claim not low-risk]</w:t>
      </w:r>
      <w:r>
        <w:t xml:space="preserve"> </w:t>
      </w:r>
      <w:r>
        <w:t xml:space="preserve">The claim was not marked</w:t>
      </w:r>
      <w:r>
        <w:t xml:space="preserve"> </w:t>
      </w:r>
      <w:r>
        <w:t xml:space="preserve">“</w:t>
      </w:r>
      <w:r>
        <w:t xml:space="preserve">low-risk</w:t>
      </w:r>
      <w:r>
        <w:t xml:space="preserve">”</w:t>
      </w:r>
      <w:r>
        <w:t xml:space="preserve"> </w:t>
      </w:r>
      <w:r>
        <w:t xml:space="preserve">by the system ([risk category as shown]). In terms of para 3.1 of Instruction 06/2025-GST, no provisional refund was sanctioned, and the claim has been examined in detail as set out below.</w:t>
      </w:r>
    </w:p>
    <w:p>
      <w:pPr>
        <w:pStyle w:val="BodyText"/>
        <w:spacing w:before="0" w:after="120" w:line="269" w:lineRule="auto"/>
        <w:jc w:val="both"/>
      </w:pPr>
      <w:r>
        <w:t xml:space="preserve">5.2</w:t>
      </w:r>
      <w:r>
        <w:t xml:space="preserve"> </w:t>
      </w:r>
      <w:r>
        <w:rPr>
          <w:bCs/>
          <w:b/>
        </w:rPr>
        <w:t xml:space="preserve">[Option C: low-risk, but provisional refund not granted under the first proviso to rule 91(2)]</w:t>
      </w:r>
      <w:r>
        <w:t xml:space="preserve"> </w:t>
      </w:r>
      <w:r>
        <w:t xml:space="preserve">Although the claim was categorised as</w:t>
      </w:r>
      <w:r>
        <w:t xml:space="preserve"> </w:t>
      </w:r>
      <w:r>
        <w:t xml:space="preserve">“</w:t>
      </w:r>
      <w:r>
        <w:t xml:space="preserve">low-risk</w:t>
      </w:r>
      <w:r>
        <w:t xml:space="preserve">”</w:t>
      </w:r>
      <w:r>
        <w:t xml:space="preserve">, provisional refund was not granted, for the reasons recorded in writing on [DD.MM.YYYY] under the first proviso to rule 91(2), namely [state the specific, case-related reason, for example: (i) on the earlier refund claim ARN [ ], show cause notice No. [ ] dated [ ] has been issued and has not attained finality (para 3.2 of Instruction 06/2025-GST); or (ii) the applicant owes ₹[ ] under [order], which cannot be adjusted against a provisional refund, so the claim was taken up for final decision at the earliest (para 3.2)]. The reason is not presumptive and does not rest merely on routine proceedings (para 3.3).</w:t>
      </w:r>
    </w:p>
    <w:p>
      <w:pPr>
        <w:pStyle w:val="BodyText"/>
        <w:spacing w:before="0" w:after="120" w:line="269" w:lineRule="auto"/>
        <w:jc w:val="both"/>
      </w:pPr>
      <w:r>
        <w:t xml:space="preserve">5.2</w:t>
      </w:r>
      <w:r>
        <w:t xml:space="preserve"> </w:t>
      </w:r>
      <w:r>
        <w:rPr>
          <w:bCs/>
          <w:b/>
        </w:rPr>
        <w:t xml:space="preserve">[Option D: provisional refund barred]</w:t>
      </w:r>
      <w:r>
        <w:t xml:space="preserve"> </w:t>
      </w:r>
      <w:r>
        <w:t xml:space="preserve">Provisional refund was not available because [the applicant has not undergone Aadhaar authentication under rule 10B] / [the applicant supplies [goods] covered by Notification No. 14/2025-Central Tax] (section 54(6)) / [the applicant was prosecuted in [case] within the period stated in rule 91(1)].</w:t>
      </w:r>
    </w:p>
    <w:p>
      <w:pPr>
        <w:pStyle w:val="BodyText"/>
        <w:keepNext/>
        <w:spacing w:before="240" w:after="80"/>
        <w:pBdr>
          <w:bottom w:val="single" w:sz="6" w:space="1" w:color="B4C6E7"/>
        </w:pBdr>
      </w:pPr>
      <w:r>
        <w:rPr>
          <w:bCs/>
          <w:b/>
          <w:color w:val="1F3864"/>
          <w:sz w:val="25"/>
        </w:rPr>
        <w:t xml:space="preserve">6. Verification</w:t>
      </w:r>
    </w:p>
    <w:p>
      <w:pPr>
        <w:pStyle w:val="BodyText"/>
        <w:spacing w:before="0" w:after="120" w:line="269" w:lineRule="auto"/>
        <w:jc w:val="both"/>
      </w:pPr>
      <w:r>
        <w:t xml:space="preserve">6.1</w:t>
      </w:r>
      <w:r>
        <w:t xml:space="preserve"> </w:t>
      </w:r>
      <w:r>
        <w:rPr>
          <w:bCs/>
          <w:b/>
        </w:rPr>
        <w:t xml:space="preserve">Export of services.</w:t>
      </w:r>
      <w:r>
        <w:t xml:space="preserve"> </w:t>
      </w:r>
      <w:r>
        <w:t xml:space="preserve">The [agreement(s)], invoices and FIRCs / e-BRCs were examined against each condition of section 2(6):</w:t>
      </w:r>
    </w:p>
    <w:p>
      <w:pPr>
        <w:pStyle w:val="BodyText"/>
        <w:spacing w:before="0" w:after="120" w:line="269" w:lineRule="auto"/>
      </w:pPr>
      <w:r>
        <w:rPr>
          <w:iCs/>
          <w:i/>
        </w:rPr>
        <w:t xml:space="preserve">Table A: Conditions of section 2(6) of the IGST Act</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3267"/>
        <w:gridCol w:w="4841"/>
        <w:gridCol w:w="1530"/>
      </w:tblGrid>
      <w:tr>
        <w:trPr>
          <w:tblHeader w:val="true"/>
          <w:tblHeader/>
        </w:trPr>
        <w:tc>
          <w:tcPr>
            <w:tcW w:type="dxa" w:w="3267"/>
            <w:shd w:val="clear" w:color="auto" w:fill="DCE6F1"/>
          </w:tcPr>
          <w:p>
            <w:pPr>
              <w:pStyle w:val="Compact"/>
              <w:spacing w:before="0" w:after="0" w:line="240" w:lineRule="auto"/>
              <w:jc w:val="left"/>
            </w:pPr>
            <w:r>
              <w:rPr>
                <w:b/>
                <w:color w:val="1F3864"/>
                <w:sz w:val="21"/>
              </w:rPr>
              <w:t xml:space="preserve">Condition</w:t>
            </w:r>
          </w:p>
        </w:tc>
        <w:tc>
          <w:tcPr>
            <w:tcW w:type="dxa" w:w="4841"/>
            <w:shd w:val="clear" w:color="auto" w:fill="DCE6F1"/>
          </w:tcPr>
          <w:p>
            <w:pPr>
              <w:pStyle w:val="Compact"/>
              <w:spacing w:before="0" w:after="0" w:line="240" w:lineRule="auto"/>
              <w:jc w:val="left"/>
            </w:pPr>
            <w:r>
              <w:rPr>
                <w:b/>
                <w:color w:val="1F3864"/>
                <w:sz w:val="21"/>
              </w:rPr>
              <w:t xml:space="preserve">Evidence examined</w:t>
            </w:r>
          </w:p>
        </w:tc>
        <w:tc>
          <w:tcPr>
            <w:tcW w:type="dxa" w:w="1530"/>
            <w:shd w:val="clear" w:color="auto" w:fill="DCE6F1"/>
          </w:tcPr>
          <w:p>
            <w:pPr>
              <w:pStyle w:val="Compact"/>
              <w:spacing w:before="0" w:after="0" w:line="240" w:lineRule="auto"/>
              <w:jc w:val="left"/>
            </w:pPr>
            <w:r>
              <w:rPr>
                <w:b/>
                <w:color w:val="1F3864"/>
                <w:sz w:val="21"/>
              </w:rPr>
              <w:t xml:space="preserve">Finding</w:t>
            </w:r>
          </w:p>
        </w:tc>
      </w:tr>
      <w:tr>
        <w:tc>
          <w:tcPr>
            <w:tcW w:type="dxa" w:w="3267"/>
          </w:tcPr>
          <w:p>
            <w:pPr>
              <w:pStyle w:val="Compact"/>
              <w:spacing w:before="0" w:after="0" w:line="240" w:lineRule="auto"/>
              <w:jc w:val="left"/>
            </w:pPr>
            <w:r>
              <w:rPr>
                <w:sz w:val="21"/>
              </w:rPr>
              <w:t xml:space="preserve">(i) Supplier located in India</w:t>
            </w:r>
          </w:p>
        </w:tc>
        <w:tc>
          <w:tcPr>
            <w:tcW w:type="dxa" w:w="4841"/>
          </w:tcPr>
          <w:p>
            <w:pPr>
              <w:pStyle w:val="Compact"/>
              <w:spacing w:before="0" w:after="0" w:line="240" w:lineRule="auto"/>
              <w:jc w:val="left"/>
            </w:pPr>
            <w:r>
              <w:rPr>
                <w:sz w:val="21"/>
              </w:rPr>
              <w:t xml:space="preserve">Registration certificate</w:t>
            </w:r>
          </w:p>
        </w:tc>
        <w:tc>
          <w:tcPr>
            <w:tcW w:type="dxa" w:w="1530"/>
          </w:tcPr>
          <w:p>
            <w:pPr>
              <w:pStyle w:val="Compact"/>
              <w:spacing w:before="0" w:after="0" w:line="240" w:lineRule="auto"/>
              <w:jc w:val="left"/>
            </w:pPr>
            <w:r>
              <w:rPr>
                <w:sz w:val="21"/>
              </w:rPr>
              <w:t xml:space="preserve">Satisfied</w:t>
            </w:r>
          </w:p>
        </w:tc>
      </w:tr>
      <w:tr>
        <w:tc>
          <w:tcPr>
            <w:tcW w:type="dxa" w:w="3267"/>
          </w:tcPr>
          <w:p>
            <w:pPr>
              <w:pStyle w:val="Compact"/>
              <w:spacing w:before="0" w:after="0" w:line="240" w:lineRule="auto"/>
              <w:jc w:val="left"/>
            </w:pPr>
            <w:r>
              <w:rPr>
                <w:sz w:val="21"/>
              </w:rPr>
              <w:t xml:space="preserve">(ii) Recipient located outside India</w:t>
            </w:r>
          </w:p>
        </w:tc>
        <w:tc>
          <w:tcPr>
            <w:tcW w:type="dxa" w:w="4841"/>
          </w:tcPr>
          <w:p>
            <w:pPr>
              <w:pStyle w:val="Compact"/>
              <w:spacing w:before="0" w:after="0" w:line="240" w:lineRule="auto"/>
              <w:jc w:val="left"/>
            </w:pPr>
            <w:r>
              <w:rPr>
                <w:sz w:val="21"/>
              </w:rPr>
              <w:t xml:space="preserve">Agreement; recipient’s address in [country]</w:t>
            </w:r>
          </w:p>
        </w:tc>
        <w:tc>
          <w:tcPr>
            <w:tcW w:type="dxa" w:w="1530"/>
          </w:tcPr>
          <w:p>
            <w:pPr>
              <w:pStyle w:val="Compact"/>
              <w:spacing w:before="0" w:after="0" w:line="240" w:lineRule="auto"/>
              <w:jc w:val="left"/>
            </w:pPr>
            <w:r>
              <w:rPr>
                <w:sz w:val="21"/>
              </w:rPr>
              <w:t xml:space="preserve">[Satisfied / …]</w:t>
            </w:r>
          </w:p>
        </w:tc>
      </w:tr>
      <w:tr>
        <w:tc>
          <w:tcPr>
            <w:tcW w:type="dxa" w:w="3267"/>
          </w:tcPr>
          <w:p>
            <w:pPr>
              <w:pStyle w:val="Compact"/>
              <w:spacing w:before="0" w:after="0" w:line="240" w:lineRule="auto"/>
              <w:jc w:val="left"/>
            </w:pPr>
            <w:r>
              <w:rPr>
                <w:sz w:val="21"/>
              </w:rPr>
              <w:t xml:space="preserve">(iii) Place of supply outside India</w:t>
            </w:r>
          </w:p>
        </w:tc>
        <w:tc>
          <w:tcPr>
            <w:tcW w:type="dxa" w:w="4841"/>
          </w:tcPr>
          <w:p>
            <w:pPr>
              <w:pStyle w:val="Compact"/>
              <w:spacing w:before="0" w:after="0" w:line="240" w:lineRule="auto"/>
              <w:jc w:val="left"/>
            </w:pPr>
            <w:r>
              <w:rPr>
                <w:sz w:val="21"/>
              </w:rPr>
              <w:t xml:space="preserve">Nature of service and section 13 analysis below</w:t>
            </w:r>
          </w:p>
        </w:tc>
        <w:tc>
          <w:tcPr>
            <w:tcW w:type="dxa" w:w="1530"/>
          </w:tcPr>
          <w:p>
            <w:pPr>
              <w:pStyle w:val="Compact"/>
              <w:spacing w:before="0" w:after="0" w:line="240" w:lineRule="auto"/>
              <w:jc w:val="left"/>
            </w:pPr>
            <w:r>
              <w:rPr>
                <w:sz w:val="21"/>
              </w:rPr>
              <w:t xml:space="preserve">[Satisfied / …]</w:t>
            </w:r>
          </w:p>
        </w:tc>
      </w:tr>
      <w:tr>
        <w:tc>
          <w:tcPr>
            <w:tcW w:type="dxa" w:w="3267"/>
          </w:tcPr>
          <w:p>
            <w:pPr>
              <w:pStyle w:val="Compact"/>
              <w:spacing w:before="0" w:after="0" w:line="240" w:lineRule="auto"/>
              <w:jc w:val="left"/>
            </w:pPr>
            <w:r>
              <w:rPr>
                <w:sz w:val="21"/>
              </w:rPr>
              <w:t xml:space="preserve">(iv) Payment in convertible foreign exchange or permitted INR</w:t>
            </w:r>
          </w:p>
        </w:tc>
        <w:tc>
          <w:tcPr>
            <w:tcW w:type="dxa" w:w="4841"/>
          </w:tcPr>
          <w:p>
            <w:pPr>
              <w:pStyle w:val="Compact"/>
              <w:spacing w:before="0" w:after="0" w:line="240" w:lineRule="auto"/>
              <w:jc w:val="left"/>
            </w:pPr>
            <w:r>
              <w:rPr>
                <w:sz w:val="21"/>
              </w:rPr>
              <w:t xml:space="preserve">FIRCs / e-BRCs Nos. [ ] [INR through a Special Rupee Vostro Account, accepted under Circular No. 202/14/2023-GST]</w:t>
            </w:r>
          </w:p>
        </w:tc>
        <w:tc>
          <w:tcPr>
            <w:tcW w:type="dxa" w:w="1530"/>
          </w:tcPr>
          <w:p>
            <w:pPr>
              <w:pStyle w:val="Compact"/>
              <w:spacing w:before="0" w:after="0" w:line="240" w:lineRule="auto"/>
              <w:jc w:val="left"/>
            </w:pPr>
            <w:r>
              <w:rPr>
                <w:sz w:val="21"/>
              </w:rPr>
              <w:t xml:space="preserve">[Satisfied / Satisfied except S. Nos. [ ]]</w:t>
            </w:r>
          </w:p>
        </w:tc>
      </w:tr>
      <w:tr>
        <w:tc>
          <w:tcPr>
            <w:tcW w:type="dxa" w:w="3267"/>
          </w:tcPr>
          <w:p>
            <w:pPr>
              <w:pStyle w:val="Compact"/>
              <w:spacing w:before="0" w:after="0" w:line="240" w:lineRule="auto"/>
              <w:jc w:val="left"/>
            </w:pPr>
            <w:r>
              <w:rPr>
                <w:sz w:val="21"/>
              </w:rPr>
              <w:t xml:space="preserve">(v) Not merely establishments of a distinct person</w:t>
            </w:r>
          </w:p>
        </w:tc>
        <w:tc>
          <w:tcPr>
            <w:tcW w:type="dxa" w:w="4841"/>
          </w:tcPr>
          <w:p>
            <w:pPr>
              <w:pStyle w:val="Compact"/>
              <w:spacing w:before="0" w:after="0" w:line="240" w:lineRule="auto"/>
              <w:jc w:val="left"/>
            </w:pPr>
            <w:r>
              <w:rPr>
                <w:sz w:val="21"/>
              </w:rPr>
              <w:t xml:space="preserve">[Unrelated entity / separately incorporated related entity (Circular 161/17/2021)]</w:t>
            </w:r>
          </w:p>
        </w:tc>
        <w:tc>
          <w:tcPr>
            <w:tcW w:type="dxa" w:w="1530"/>
          </w:tcPr>
          <w:p>
            <w:pPr>
              <w:pStyle w:val="Compact"/>
              <w:spacing w:before="0" w:after="0" w:line="240" w:lineRule="auto"/>
              <w:jc w:val="left"/>
            </w:pPr>
            <w:r>
              <w:rPr>
                <w:sz w:val="21"/>
              </w:rPr>
              <w:t xml:space="preserve">[Satisfied / …]</w:t>
            </w:r>
          </w:p>
        </w:tc>
      </w:tr>
    </w:tbl>
    <w:p>
      <w:pPr>
        <w:pStyle w:val="BodyText"/>
        <w:spacing w:before="0" w:after="120" w:line="269" w:lineRule="auto"/>
        <w:jc w:val="both"/>
      </w:pPr>
      <w:r>
        <w:t xml:space="preserve">6.2</w:t>
      </w:r>
      <w:r>
        <w:t xml:space="preserve"> </w:t>
      </w:r>
      <w:r>
        <w:rPr>
          <w:bCs/>
          <w:b/>
        </w:rPr>
        <w:t xml:space="preserve">Place of supply.</w:t>
      </w:r>
      <w:r>
        <w:t xml:space="preserve"> </w:t>
      </w:r>
      <w:r>
        <w:t xml:space="preserve">The service consists of [describe what the applicant actually does, for whom, and how it is delivered]. [Option A: It is not covered by sub-sections (3) to (13) of section 13, so under section 13(2) the place of supply is the location of the recipient, [country].] [Option B: For supplies before the omission of section 13(8)(b) (para 2.2), applying the tests in Circular 159/15/2021, the applicant [supplies the main service on its own account and is not an intermediary] / [is an intermediary, so the place of supply is its own location in India under section 13(8)(b), and the supply is not an export].] [Option C: Where the applicant charges a related recipient abroad for [services], the value declared has been examined under rule 28 of the CGST Rules and accepted / found to be [ ].]</w:t>
      </w:r>
    </w:p>
    <w:p>
      <w:pPr>
        <w:pStyle w:val="BodyText"/>
        <w:spacing w:before="0" w:after="120" w:line="269" w:lineRule="auto"/>
      </w:pPr>
      <w:r>
        <w:t xml:space="preserve">6.3</w:t>
      </w:r>
      <w:r>
        <w:t xml:space="preserve"> </w:t>
      </w:r>
      <w:r>
        <w:rPr>
          <w:bCs/>
          <w:b/>
        </w:rPr>
        <w:t xml:space="preserve">Tax actually paid.</w:t>
      </w:r>
      <w:r>
        <w:t xml:space="preserve"> </w:t>
      </w:r>
      <w:r>
        <w:t xml:space="preserve">Each invoice, the integrated tax on it and the remittance were matched:</w:t>
      </w:r>
    </w:p>
    <w:p>
      <w:pPr>
        <w:pStyle w:val="BodyText"/>
        <w:spacing w:before="0" w:after="120" w:line="269" w:lineRule="auto"/>
      </w:pPr>
      <w:r>
        <w:rPr>
          <w:iCs/>
          <w:i/>
        </w:rPr>
        <w:t xml:space="preserve">Table 1: Invoices, tax paid and remittances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918"/>
        <w:gridCol w:w="1101"/>
        <w:gridCol w:w="1101"/>
        <w:gridCol w:w="918"/>
        <w:gridCol w:w="1377"/>
        <w:gridCol w:w="918"/>
        <w:gridCol w:w="1193"/>
        <w:gridCol w:w="1010"/>
        <w:gridCol w:w="1101"/>
      </w:tblGrid>
      <w:tr>
        <w:trPr>
          <w:tblHeader w:val="true"/>
          <w:tblHeader/>
        </w:trPr>
        <w:tc>
          <w:tcPr>
            <w:tcW w:type="dxa" w:w="918"/>
            <w:shd w:val="clear" w:color="auto" w:fill="DCE6F1"/>
          </w:tcPr>
          <w:p>
            <w:pPr>
              <w:pStyle w:val="Compact"/>
              <w:spacing w:before="0" w:after="0" w:line="240" w:lineRule="auto"/>
              <w:jc w:val="left"/>
            </w:pPr>
            <w:r>
              <w:rPr>
                <w:b/>
                <w:color w:val="1F3864"/>
                <w:sz w:val="18"/>
              </w:rPr>
              <w:t xml:space="preserve">S. No.</w:t>
            </w:r>
          </w:p>
        </w:tc>
        <w:tc>
          <w:tcPr>
            <w:tcW w:type="dxa" w:w="1101"/>
            <w:shd w:val="clear" w:color="auto" w:fill="DCE6F1"/>
          </w:tcPr>
          <w:p>
            <w:pPr>
              <w:pStyle w:val="Compact"/>
              <w:spacing w:before="0" w:after="0" w:line="240" w:lineRule="auto"/>
              <w:jc w:val="left"/>
            </w:pPr>
            <w:r>
              <w:rPr>
                <w:b/>
                <w:color w:val="1F3864"/>
                <w:sz w:val="18"/>
              </w:rPr>
              <w:t xml:space="preserve">Invoice No. and date</w:t>
            </w:r>
          </w:p>
        </w:tc>
        <w:tc>
          <w:tcPr>
            <w:tcW w:type="dxa" w:w="1101"/>
            <w:shd w:val="clear" w:color="auto" w:fill="DCE6F1"/>
          </w:tcPr>
          <w:p>
            <w:pPr>
              <w:pStyle w:val="Compact"/>
              <w:spacing w:before="0" w:after="0" w:line="240" w:lineRule="auto"/>
              <w:jc w:val="left"/>
            </w:pPr>
            <w:r>
              <w:rPr>
                <w:b/>
                <w:color w:val="1F3864"/>
                <w:sz w:val="18"/>
              </w:rPr>
              <w:t xml:space="preserve">Taxable value (₹)</w:t>
            </w:r>
          </w:p>
        </w:tc>
        <w:tc>
          <w:tcPr>
            <w:tcW w:type="dxa" w:w="918"/>
            <w:shd w:val="clear" w:color="auto" w:fill="DCE6F1"/>
          </w:tcPr>
          <w:p>
            <w:pPr>
              <w:pStyle w:val="Compact"/>
              <w:spacing w:before="0" w:after="0" w:line="240" w:lineRule="auto"/>
              <w:jc w:val="left"/>
            </w:pPr>
            <w:r>
              <w:rPr>
                <w:b/>
                <w:color w:val="1F3864"/>
                <w:sz w:val="18"/>
              </w:rPr>
              <w:t xml:space="preserve">IGST paid (₹)</w:t>
            </w:r>
          </w:p>
        </w:tc>
        <w:tc>
          <w:tcPr>
            <w:tcW w:type="dxa" w:w="1377"/>
            <w:shd w:val="clear" w:color="auto" w:fill="DCE6F1"/>
          </w:tcPr>
          <w:p>
            <w:pPr>
              <w:pStyle w:val="Compact"/>
              <w:spacing w:before="0" w:after="0" w:line="240" w:lineRule="auto"/>
              <w:jc w:val="left"/>
            </w:pPr>
            <w:r>
              <w:rPr>
                <w:b/>
                <w:color w:val="1F3864"/>
                <w:sz w:val="18"/>
              </w:rPr>
              <w:t xml:space="preserve">Shown in GSTR-1 Table 6A of [month]</w:t>
            </w:r>
          </w:p>
        </w:tc>
        <w:tc>
          <w:tcPr>
            <w:tcW w:type="dxa" w:w="918"/>
            <w:shd w:val="clear" w:color="auto" w:fill="DCE6F1"/>
          </w:tcPr>
          <w:p>
            <w:pPr>
              <w:pStyle w:val="Compact"/>
              <w:spacing w:before="0" w:after="0" w:line="240" w:lineRule="auto"/>
              <w:jc w:val="left"/>
            </w:pPr>
            <w:r>
              <w:rPr>
                <w:b/>
                <w:color w:val="1F3864"/>
                <w:sz w:val="18"/>
              </w:rPr>
              <w:t xml:space="preserve">FIRC / e-BRC No. and date</w:t>
            </w:r>
          </w:p>
        </w:tc>
        <w:tc>
          <w:tcPr>
            <w:tcW w:type="dxa" w:w="1193"/>
            <w:shd w:val="clear" w:color="auto" w:fill="DCE6F1"/>
          </w:tcPr>
          <w:p>
            <w:pPr>
              <w:pStyle w:val="Compact"/>
              <w:spacing w:before="0" w:after="0" w:line="240" w:lineRule="auto"/>
              <w:jc w:val="left"/>
            </w:pPr>
            <w:r>
              <w:rPr>
                <w:b/>
                <w:color w:val="1F3864"/>
                <w:sz w:val="18"/>
              </w:rPr>
              <w:t xml:space="preserve">Relevant date</w:t>
            </w:r>
          </w:p>
        </w:tc>
        <w:tc>
          <w:tcPr>
            <w:tcW w:type="dxa" w:w="1010"/>
            <w:shd w:val="clear" w:color="auto" w:fill="DCE6F1"/>
          </w:tcPr>
          <w:p>
            <w:pPr>
              <w:pStyle w:val="Compact"/>
              <w:spacing w:before="0" w:after="0" w:line="240" w:lineRule="auto"/>
              <w:jc w:val="left"/>
            </w:pPr>
            <w:r>
              <w:rPr>
                <w:b/>
                <w:color w:val="1F3864"/>
                <w:sz w:val="18"/>
              </w:rPr>
              <w:t xml:space="preserve">Within two years?</w:t>
            </w:r>
          </w:p>
        </w:tc>
        <w:tc>
          <w:tcPr>
            <w:tcW w:type="dxa" w:w="1101"/>
            <w:shd w:val="clear" w:color="auto" w:fill="DCE6F1"/>
          </w:tcPr>
          <w:p>
            <w:pPr>
              <w:pStyle w:val="Compact"/>
              <w:spacing w:before="0" w:after="0" w:line="240" w:lineRule="auto"/>
              <w:jc w:val="left"/>
            </w:pPr>
            <w:r>
              <w:rPr>
                <w:b/>
                <w:color w:val="1F3864"/>
                <w:sz w:val="18"/>
              </w:rPr>
              <w:t xml:space="preserve">Remarks</w:t>
            </w:r>
          </w:p>
        </w:tc>
      </w:tr>
      <w:tr>
        <w:tc>
          <w:tcPr>
            <w:tcW w:type="dxa" w:w="918"/>
          </w:tcPr>
          <w:p>
            <w:pPr>
              <w:pStyle w:val="Compact"/>
              <w:spacing w:before="0" w:after="0" w:line="240" w:lineRule="auto"/>
              <w:jc w:val="left"/>
            </w:pPr>
            <w:r>
              <w:rPr>
                <w:sz w:val="18"/>
              </w:rPr>
              <w:t xml:space="preserve">1</w:t>
            </w:r>
          </w:p>
        </w:tc>
        <w:tc>
          <w:tcPr>
            <w:tcW w:type="dxa" w:w="1101"/>
          </w:tcPr>
          <w:p>
            <w:pPr>
              <w:pStyle w:val="Compact"/>
              <w:spacing w:before="0" w:after="0" w:line="240" w:lineRule="auto"/>
              <w:jc w:val="left"/>
            </w:pPr>
            <w:r>
              <w:rPr>
                <w:sz w:val="18"/>
              </w:rPr>
              <w:t xml:space="preserve">[ ]</w:t>
            </w:r>
          </w:p>
        </w:tc>
        <w:tc>
          <w:tcPr>
            <w:tcW w:type="dxa" w:w="1101"/>
          </w:tcPr>
          <w:p>
            <w:pPr>
              <w:pStyle w:val="Compact"/>
              <w:spacing w:before="0" w:after="0" w:line="240" w:lineRule="auto"/>
              <w:jc w:val="left"/>
            </w:pPr>
            <w:r>
              <w:rPr>
                <w:sz w:val="18"/>
              </w:rPr>
              <w:t xml:space="preserve">[ ]</w:t>
            </w:r>
          </w:p>
        </w:tc>
        <w:tc>
          <w:tcPr>
            <w:tcW w:type="dxa" w:w="918"/>
          </w:tcPr>
          <w:p>
            <w:pPr>
              <w:pStyle w:val="Compact"/>
              <w:spacing w:before="0" w:after="0" w:line="240" w:lineRule="auto"/>
              <w:jc w:val="left"/>
            </w:pPr>
            <w:r>
              <w:rPr>
                <w:sz w:val="18"/>
              </w:rPr>
              <w:t xml:space="preserve">[ ]</w:t>
            </w:r>
          </w:p>
        </w:tc>
        <w:tc>
          <w:tcPr>
            <w:tcW w:type="dxa" w:w="1377"/>
          </w:tcPr>
          <w:p>
            <w:pPr>
              <w:pStyle w:val="Compact"/>
              <w:spacing w:before="0" w:after="0" w:line="240" w:lineRule="auto"/>
              <w:jc w:val="left"/>
            </w:pPr>
            <w:r>
              <w:rPr>
                <w:sz w:val="18"/>
              </w:rPr>
              <w:t xml:space="preserve">[Yes / No]</w:t>
            </w:r>
          </w:p>
        </w:tc>
        <w:tc>
          <w:tcPr>
            <w:tcW w:type="dxa" w:w="918"/>
          </w:tcPr>
          <w:p>
            <w:pPr>
              <w:pStyle w:val="Compact"/>
              <w:spacing w:before="0" w:after="0" w:line="240" w:lineRule="auto"/>
              <w:jc w:val="left"/>
            </w:pPr>
            <w:r>
              <w:rPr>
                <w:sz w:val="18"/>
              </w:rPr>
              <w:t xml:space="preserve">[ ]</w:t>
            </w:r>
          </w:p>
        </w:tc>
        <w:tc>
          <w:tcPr>
            <w:tcW w:type="dxa" w:w="1193"/>
          </w:tcPr>
          <w:p>
            <w:pPr>
              <w:pStyle w:val="Compact"/>
              <w:spacing w:before="0" w:after="0" w:line="240" w:lineRule="auto"/>
              <w:jc w:val="left"/>
            </w:pPr>
            <w:r>
              <w:rPr>
                <w:sz w:val="18"/>
              </w:rPr>
              <w:t xml:space="preserve">[ ]</w:t>
            </w:r>
          </w:p>
        </w:tc>
        <w:tc>
          <w:tcPr>
            <w:tcW w:type="dxa" w:w="1010"/>
          </w:tcPr>
          <w:p>
            <w:pPr>
              <w:pStyle w:val="Compact"/>
              <w:spacing w:before="0" w:after="0" w:line="240" w:lineRule="auto"/>
              <w:jc w:val="left"/>
            </w:pPr>
            <w:r>
              <w:rPr>
                <w:sz w:val="18"/>
              </w:rPr>
              <w:t xml:space="preserve">[Yes / No]</w:t>
            </w:r>
          </w:p>
        </w:tc>
        <w:tc>
          <w:tcPr>
            <w:tcW w:type="dxa" w:w="1101"/>
          </w:tcPr>
          <w:p>
            <w:pPr>
              <w:pStyle w:val="Compact"/>
              <w:spacing w:before="0" w:after="0" w:line="240" w:lineRule="auto"/>
              <w:jc w:val="left"/>
            </w:pPr>
            <w:r>
              <w:rPr>
                <w:sz w:val="18"/>
              </w:rPr>
              <w:t xml:space="preserve">[ ]</w:t>
            </w:r>
          </w:p>
        </w:tc>
      </w:tr>
      <w:tr>
        <w:tc>
          <w:tcPr>
            <w:tcW w:type="dxa" w:w="918"/>
            <w:shd w:val="clear" w:color="auto" w:fill="F2F2F2"/>
          </w:tcPr>
          <w:p>
            <w:pPr>
              <w:pStyle w:val="Compact"/>
              <w:spacing w:before="0" w:after="0" w:line="240" w:lineRule="auto"/>
            </w:pPr>
          </w:p>
        </w:tc>
        <w:tc>
          <w:tcPr>
            <w:tcW w:type="dxa" w:w="1101"/>
            <w:shd w:val="clear" w:color="auto" w:fill="F2F2F2"/>
          </w:tcPr>
          <w:p>
            <w:pPr>
              <w:pStyle w:val="Compact"/>
              <w:spacing w:before="0" w:after="0" w:line="240" w:lineRule="auto"/>
              <w:jc w:val="left"/>
            </w:pPr>
            <w:r>
              <w:rPr>
                <w:bCs/>
                <w:b/>
                <w:sz w:val="18"/>
              </w:rPr>
              <w:t xml:space="preserve">Total</w:t>
            </w:r>
          </w:p>
        </w:tc>
        <w:tc>
          <w:tcPr>
            <w:tcW w:type="dxa" w:w="1101"/>
            <w:shd w:val="clear" w:color="auto" w:fill="F2F2F2"/>
          </w:tcPr>
          <w:p>
            <w:pPr>
              <w:pStyle w:val="Compact"/>
              <w:spacing w:before="0" w:after="0" w:line="240" w:lineRule="auto"/>
              <w:jc w:val="left"/>
            </w:pPr>
            <w:r>
              <w:rPr>
                <w:bCs/>
                <w:b/>
                <w:sz w:val="18"/>
              </w:rPr>
              <w:t xml:space="preserve">[ ]</w:t>
            </w:r>
          </w:p>
        </w:tc>
        <w:tc>
          <w:tcPr>
            <w:tcW w:type="dxa" w:w="918"/>
            <w:shd w:val="clear" w:color="auto" w:fill="F2F2F2"/>
          </w:tcPr>
          <w:p>
            <w:pPr>
              <w:pStyle w:val="Compact"/>
              <w:spacing w:before="0" w:after="0" w:line="240" w:lineRule="auto"/>
              <w:jc w:val="left"/>
            </w:pPr>
            <w:r>
              <w:rPr>
                <w:bCs/>
                <w:b/>
                <w:sz w:val="18"/>
              </w:rPr>
              <w:t xml:space="preserve">[ ]</w:t>
            </w:r>
          </w:p>
        </w:tc>
        <w:tc>
          <w:tcPr>
            <w:tcW w:type="dxa" w:w="1377"/>
            <w:shd w:val="clear" w:color="auto" w:fill="F2F2F2"/>
          </w:tcPr>
          <w:p>
            <w:pPr>
              <w:pStyle w:val="Compact"/>
              <w:spacing w:before="0" w:after="0" w:line="240" w:lineRule="auto"/>
            </w:pPr>
          </w:p>
        </w:tc>
        <w:tc>
          <w:tcPr>
            <w:tcW w:type="dxa" w:w="918"/>
            <w:shd w:val="clear" w:color="auto" w:fill="F2F2F2"/>
          </w:tcPr>
          <w:p>
            <w:pPr>
              <w:pStyle w:val="Compact"/>
              <w:spacing w:before="0" w:after="0" w:line="240" w:lineRule="auto"/>
            </w:pPr>
          </w:p>
        </w:tc>
        <w:tc>
          <w:tcPr>
            <w:tcW w:type="dxa" w:w="1193"/>
            <w:shd w:val="clear" w:color="auto" w:fill="F2F2F2"/>
          </w:tcPr>
          <w:p>
            <w:pPr>
              <w:pStyle w:val="Compact"/>
              <w:spacing w:before="0" w:after="0" w:line="240" w:lineRule="auto"/>
            </w:pPr>
          </w:p>
        </w:tc>
        <w:tc>
          <w:tcPr>
            <w:tcW w:type="dxa" w:w="1010"/>
            <w:shd w:val="clear" w:color="auto" w:fill="F2F2F2"/>
          </w:tcPr>
          <w:p>
            <w:pPr>
              <w:pStyle w:val="Compact"/>
              <w:spacing w:before="0" w:after="0" w:line="240" w:lineRule="auto"/>
            </w:pPr>
          </w:p>
        </w:tc>
        <w:tc>
          <w:tcPr>
            <w:tcW w:type="dxa" w:w="1101"/>
            <w:shd w:val="clear" w:color="auto" w:fill="F2F2F2"/>
          </w:tcPr>
          <w:p>
            <w:pPr>
              <w:pStyle w:val="Compact"/>
              <w:spacing w:before="0" w:after="0" w:line="240" w:lineRule="auto"/>
            </w:pPr>
          </w:p>
        </w:tc>
      </w:tr>
    </w:tbl>
    <w:p>
      <w:pPr>
        <w:pStyle w:val="BodyText"/>
        <w:spacing w:before="0" w:after="120" w:line="269" w:lineRule="auto"/>
        <w:jc w:val="both"/>
      </w:pPr>
      <w:r>
        <w:t xml:space="preserve">6.4 The integrated tax shown in GSTR-1 Table 6A for the period (₹[ ]) agrees with the tax on zero-rated supplies declared and paid in GSTR-3B Table 3.1(b) (₹[ ]), and with the amount claimed (₹[ ]). [Explain any difference, and confirm that no tax so shown was later reduced by a credit note or amendment.]</w:t>
      </w:r>
    </w:p>
    <w:p>
      <w:pPr>
        <w:pStyle w:val="BodyText"/>
        <w:keepNext/>
        <w:spacing w:before="240" w:after="80"/>
        <w:pBdr>
          <w:bottom w:val="single" w:sz="6" w:space="1" w:color="B4C6E7"/>
        </w:pBdr>
      </w:pPr>
      <w:r>
        <w:rPr>
          <w:bCs/>
          <w:b/>
          <w:color w:val="1F3864"/>
          <w:sz w:val="25"/>
        </w:rPr>
        <w:t xml:space="preserve">7. Amount admissible</w:t>
      </w:r>
    </w:p>
    <w:p>
      <w:pPr>
        <w:pStyle w:val="BodyText"/>
        <w:spacing w:before="0" w:after="120" w:line="269" w:lineRule="auto"/>
        <w:jc w:val="both"/>
      </w:pPr>
      <w:r>
        <w:t xml:space="preserve">7.1 The integrated tax shown in Table 1 is ₹[ ]. From it, ₹[ ] relating to [invoices beyond limitation (para 3)] and ₹[ ] relating to [the grounds decided in para 8] are excluded. The amount admissible is therefore IGST ₹[ ], rounded to the nearest rupee (section 170).</w:t>
      </w:r>
    </w:p>
    <w:p>
      <w:pPr>
        <w:pStyle w:val="BodyText"/>
        <w:keepNext/>
        <w:spacing w:before="240" w:after="80"/>
        <w:pBdr>
          <w:bottom w:val="single" w:sz="6" w:space="1" w:color="B4C6E7"/>
        </w:pBdr>
      </w:pPr>
      <w:r>
        <w:rPr>
          <w:bCs/>
          <w:b/>
          <w:color w:val="1F3864"/>
          <w:sz w:val="25"/>
        </w:rPr>
        <w:t xml:space="preserve">8. Notice, reply and personal hearing</w:t>
      </w:r>
    </w:p>
    <w:p>
      <w:pPr>
        <w:pStyle w:val="BlockText"/>
        <w:shd w:val="clear" w:color="auto" w:fill="E7E6E6"/>
      </w:pPr>
      <w:r>
        <w:rPr>
          <w:bCs/>
          <w:b/>
          <w:sz w:val="21"/>
        </w:rPr>
        <w:t xml:space="preserve">Drafting note:</w:t>
      </w:r>
      <w:r>
        <w:rPr>
          <w:sz w:val="21"/>
        </w:rPr>
        <w:t xml:space="preserve"> </w:t>
      </w:r>
      <w:r>
        <w:rPr>
          <w:sz w:val="21"/>
        </w:rPr>
        <w:t xml:space="preserve">if the claim is sanctioned in full, replace this whole para with:</w:t>
      </w:r>
      <w:r>
        <w:rPr>
          <w:sz w:val="21"/>
        </w:rPr>
        <w:t xml:space="preserve"> </w:t>
      </w:r>
      <w:r>
        <w:rPr>
          <w:sz w:val="21"/>
        </w:rPr>
        <w:t xml:space="preserve">“</w:t>
      </w:r>
      <w:r>
        <w:rPr>
          <w:sz w:val="21"/>
        </w:rPr>
        <w:t xml:space="preserve">8.1 As the claim is found admissible in full, no notice in FORM GST RFD-08 was required.</w:t>
      </w:r>
      <w:r>
        <w:rPr>
          <w:sz w:val="21"/>
        </w:rPr>
        <w:t xml:space="preserve">”</w:t>
      </w:r>
      <w:r>
        <w:rPr>
          <w:sz w:val="21"/>
        </w:rPr>
        <w:t xml:space="preserve"> </w:t>
      </w:r>
      <w:r>
        <w:rPr>
          <w:sz w:val="21"/>
        </w:rPr>
        <w:t xml:space="preserve">Otherwise, the notice must state each actual ground found, with figures, and not template wording (rule 92(3) needs</w:t>
      </w:r>
      <w:r>
        <w:rPr>
          <w:sz w:val="21"/>
        </w:rPr>
        <w:t xml:space="preserve"> </w:t>
      </w:r>
      <w:r>
        <w:rPr>
          <w:sz w:val="21"/>
        </w:rPr>
        <w:t xml:space="preserve">“</w:t>
      </w:r>
      <w:r>
        <w:rPr>
          <w:sz w:val="21"/>
        </w:rPr>
        <w:t xml:space="preserve">reasons to be recorded in writing</w:t>
      </w:r>
      <w:r>
        <w:rPr>
          <w:sz w:val="21"/>
        </w:rPr>
        <w:t xml:space="preserve">”</w:t>
      </w:r>
      <w:r>
        <w:rPr>
          <w:sz w:val="21"/>
        </w:rPr>
        <w:t xml:space="preserve">). The order can reject only on a ground put to the applicant in the notice. Under rule 92(3) the applicant gets fifteen days to reply, and no application can be rejected without an opportunity of being heard.</w:t>
      </w:r>
    </w:p>
    <w:p>
      <w:pPr>
        <w:pStyle w:val="FirstParagraph"/>
        <w:spacing w:before="0" w:after="120" w:line="269" w:lineRule="auto"/>
        <w:jc w:val="both"/>
      </w:pPr>
      <w:r>
        <w:t xml:space="preserve">8.1 On scrutiny, the following grounds were noticed, and a notice in FORM GST RFD-08 No. [ ] dated [DD.MM.YYYY] was issued proposing to reject ₹[ ] of the claim and asking the applicant to reply in FORM GST RFD-09 within fifteen days: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244"/>
        <w:gridCol w:w="4539"/>
        <w:gridCol w:w="2856"/>
      </w:tblGrid>
      <w:tr>
        <w:trPr>
          <w:tblHeader w:val="true"/>
          <w:tblHeader/>
        </w:trPr>
        <w:tc>
          <w:tcPr>
            <w:tcW w:type="dxa" w:w="2244"/>
            <w:shd w:val="clear" w:color="auto" w:fill="DCE6F1"/>
          </w:tcPr>
          <w:p>
            <w:pPr>
              <w:pStyle w:val="Compact"/>
              <w:spacing w:before="0" w:after="0" w:line="240" w:lineRule="auto"/>
              <w:jc w:val="left"/>
            </w:pPr>
            <w:r>
              <w:rPr>
                <w:b/>
                <w:color w:val="1F3864"/>
                <w:sz w:val="21"/>
              </w:rPr>
              <w:t xml:space="preserve">Ground No.</w:t>
            </w:r>
          </w:p>
        </w:tc>
        <w:tc>
          <w:tcPr>
            <w:tcW w:type="dxa" w:w="4539"/>
            <w:shd w:val="clear" w:color="auto" w:fill="DCE6F1"/>
          </w:tcPr>
          <w:p>
            <w:pPr>
              <w:pStyle w:val="Compact"/>
              <w:spacing w:before="0" w:after="0" w:line="240" w:lineRule="auto"/>
              <w:jc w:val="left"/>
            </w:pPr>
            <w:r>
              <w:rPr>
                <w:b/>
                <w:color w:val="1F3864"/>
                <w:sz w:val="21"/>
              </w:rPr>
              <w:t xml:space="preserve">Ground stated in the notice</w:t>
            </w:r>
          </w:p>
        </w:tc>
        <w:tc>
          <w:tcPr>
            <w:tcW w:type="dxa" w:w="2856"/>
            <w:shd w:val="clear" w:color="auto" w:fill="DCE6F1"/>
          </w:tcPr>
          <w:p>
            <w:pPr>
              <w:pStyle w:val="Compact"/>
              <w:spacing w:before="0" w:after="0" w:line="240" w:lineRule="auto"/>
              <w:jc w:val="left"/>
            </w:pPr>
            <w:r>
              <w:rPr>
                <w:b/>
                <w:color w:val="1F3864"/>
                <w:sz w:val="21"/>
              </w:rPr>
              <w:t xml:space="preserve">Amount proposed for rejection (₹)</w:t>
            </w:r>
          </w:p>
        </w:tc>
      </w:tr>
      <w:tr>
        <w:tc>
          <w:tcPr>
            <w:tcW w:type="dxa" w:w="2244"/>
          </w:tcPr>
          <w:p>
            <w:pPr>
              <w:pStyle w:val="Compact"/>
              <w:spacing w:before="0" w:after="0" w:line="240" w:lineRule="auto"/>
              <w:jc w:val="left"/>
            </w:pPr>
            <w:r>
              <w:rPr>
                <w:sz w:val="21"/>
              </w:rPr>
              <w:t xml:space="preserve">1</w:t>
            </w:r>
          </w:p>
        </w:tc>
        <w:tc>
          <w:tcPr>
            <w:tcW w:type="dxa" w:w="4539"/>
          </w:tcPr>
          <w:p>
            <w:pPr>
              <w:pStyle w:val="Compact"/>
              <w:spacing w:before="0" w:after="0" w:line="240" w:lineRule="auto"/>
              <w:jc w:val="left"/>
            </w:pPr>
            <w:r>
              <w:rPr>
                <w:sz w:val="21"/>
              </w:rPr>
              <w:t xml:space="preserve">[ground, with the figures and the provision relied on]</w:t>
            </w:r>
          </w:p>
        </w:tc>
        <w:tc>
          <w:tcPr>
            <w:tcW w:type="dxa" w:w="2856"/>
          </w:tcPr>
          <w:p>
            <w:pPr>
              <w:pStyle w:val="Compact"/>
              <w:spacing w:before="0" w:after="0" w:line="240" w:lineRule="auto"/>
              <w:jc w:val="left"/>
            </w:pPr>
            <w:r>
              <w:rPr>
                <w:sz w:val="21"/>
              </w:rPr>
              <w:t xml:space="preserve">[ ]</w:t>
            </w:r>
          </w:p>
        </w:tc>
      </w:tr>
      <w:tr>
        <w:tc>
          <w:tcPr>
            <w:tcW w:type="dxa" w:w="2244"/>
          </w:tcPr>
          <w:p>
            <w:pPr>
              <w:pStyle w:val="Compact"/>
              <w:spacing w:before="0" w:after="0" w:line="240" w:lineRule="auto"/>
              <w:jc w:val="left"/>
            </w:pPr>
            <w:r>
              <w:rPr>
                <w:sz w:val="21"/>
              </w:rPr>
              <w:t xml:space="preserve">2</w:t>
            </w:r>
          </w:p>
        </w:tc>
        <w:tc>
          <w:tcPr>
            <w:tcW w:type="dxa" w:w="4539"/>
          </w:tcPr>
          <w:p>
            <w:pPr>
              <w:pStyle w:val="Compact"/>
              <w:spacing w:before="0" w:after="0" w:line="240" w:lineRule="auto"/>
              <w:jc w:val="left"/>
            </w:pPr>
            <w:r>
              <w:rPr>
                <w:sz w:val="21"/>
              </w:rPr>
              <w:t xml:space="preserve">[ ]</w:t>
            </w:r>
          </w:p>
        </w:tc>
        <w:tc>
          <w:tcPr>
            <w:tcW w:type="dxa" w:w="2856"/>
          </w:tcPr>
          <w:p>
            <w:pPr>
              <w:pStyle w:val="Compact"/>
              <w:spacing w:before="0" w:after="0" w:line="240" w:lineRule="auto"/>
              <w:jc w:val="left"/>
            </w:pPr>
            <w:r>
              <w:rPr>
                <w:sz w:val="21"/>
              </w:rPr>
              <w:t xml:space="preserve">[ ]</w:t>
            </w:r>
          </w:p>
        </w:tc>
      </w:tr>
      <w:tr>
        <w:tc>
          <w:tcPr>
            <w:tcW w:type="dxa" w:w="2244"/>
            <w:shd w:val="clear" w:color="auto" w:fill="F2F2F2"/>
          </w:tcPr>
          <w:p>
            <w:pPr>
              <w:pStyle w:val="Compact"/>
              <w:spacing w:before="0" w:after="0" w:line="240" w:lineRule="auto"/>
            </w:pPr>
          </w:p>
        </w:tc>
        <w:tc>
          <w:tcPr>
            <w:tcW w:type="dxa" w:w="4539"/>
            <w:shd w:val="clear" w:color="auto" w:fill="F2F2F2"/>
          </w:tcPr>
          <w:p>
            <w:pPr>
              <w:pStyle w:val="Compact"/>
              <w:spacing w:before="0" w:after="0" w:line="240" w:lineRule="auto"/>
              <w:jc w:val="left"/>
            </w:pPr>
            <w:r>
              <w:rPr>
                <w:bCs/>
                <w:b/>
                <w:sz w:val="21"/>
              </w:rPr>
              <w:t xml:space="preserve">Total</w:t>
            </w:r>
          </w:p>
        </w:tc>
        <w:tc>
          <w:tcPr>
            <w:tcW w:type="dxa" w:w="2856"/>
            <w:shd w:val="clear" w:color="auto" w:fill="F2F2F2"/>
          </w:tcPr>
          <w:p>
            <w:pPr>
              <w:pStyle w:val="Compact"/>
              <w:spacing w:before="0" w:after="0" w:line="240" w:lineRule="auto"/>
              <w:jc w:val="left"/>
            </w:pPr>
            <w:r>
              <w:rPr>
                <w:bCs/>
                <w:b/>
                <w:sz w:val="21"/>
              </w:rPr>
              <w:t xml:space="preserve">[ ]</w:t>
            </w:r>
          </w:p>
        </w:tc>
      </w:tr>
    </w:tbl>
    <w:p>
      <w:pPr>
        <w:pStyle w:val="BodyText"/>
        <w:spacing w:before="0" w:after="120" w:line="269" w:lineRule="auto"/>
        <w:jc w:val="both"/>
      </w:pPr>
      <w:r>
        <w:t xml:space="preserve">8.2 The applicant replied in FORM GST RFD-09 on [DD.MM.YYYY] [Option: after the time extended on request dated [ ]] and submitted [list of documents]. A personal hearing was held on [DD.MM.YYYY], attended by [designation of the authorised representative, not the person’s name], who [reiterated the reply] / [made the following further submissions: …] and [filed additional documents on [DD.MM.YYYY]].</w:t>
      </w:r>
    </w:p>
    <w:p>
      <w:pPr>
        <w:pStyle w:val="BodyText"/>
        <w:spacing w:before="0" w:after="120" w:line="269" w:lineRule="auto"/>
        <w:jc w:val="both"/>
      </w:pPr>
      <w:r>
        <w:t xml:space="preserve">[Option, where the applicant did not respond] 8.2 No reply was received. Opportunities of personal hearing were given on [DD.MM.YYYY], [DD.MM.YYYY] and [DD.MM.YYYY] by letters served on the portal [and by e-mail], but no one appeared and no adjournment was sought. The matter is therefore decided on the records available, as each of the grounds below is examined on its merits.</w:t>
      </w:r>
    </w:p>
    <w:p>
      <w:pPr>
        <w:pStyle w:val="BodyText"/>
        <w:spacing w:before="0" w:after="120" w:line="269" w:lineRule="auto"/>
        <w:jc w:val="both"/>
      </w:pPr>
      <w:r>
        <w:t xml:space="preserve">8.3</w:t>
      </w:r>
      <w:r>
        <w:t xml:space="preserve"> </w:t>
      </w:r>
      <w:r>
        <w:rPr>
          <w:bCs/>
          <w:b/>
        </w:rPr>
        <w:t xml:space="preserve">Findings on each ground.</w:t>
      </w:r>
      <w:r>
        <w:t xml:space="preserve"> </w:t>
      </w:r>
      <w:r>
        <w:t xml:space="preserve">Each ground in the notice, each point in the reply and each submission made at the hearing is dealt with below.</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039"/>
        <w:gridCol w:w="1984"/>
        <w:gridCol w:w="1606"/>
        <w:gridCol w:w="2551"/>
        <w:gridCol w:w="1417"/>
        <w:gridCol w:w="1039"/>
      </w:tblGrid>
      <w:tr>
        <w:trPr>
          <w:tblHeader w:val="true"/>
          <w:tblHeader/>
        </w:trPr>
        <w:tc>
          <w:tcPr>
            <w:tcW w:type="dxa" w:w="1039"/>
            <w:shd w:val="clear" w:color="auto" w:fill="DCE6F1"/>
          </w:tcPr>
          <w:p>
            <w:pPr>
              <w:pStyle w:val="Compact"/>
              <w:spacing w:before="0" w:after="0" w:line="240" w:lineRule="auto"/>
              <w:jc w:val="left"/>
            </w:pPr>
            <w:r>
              <w:rPr>
                <w:b/>
                <w:color w:val="1F3864"/>
                <w:sz w:val="21"/>
              </w:rPr>
              <w:t xml:space="preserve">Ground</w:t>
            </w:r>
          </w:p>
        </w:tc>
        <w:tc>
          <w:tcPr>
            <w:tcW w:type="dxa" w:w="1984"/>
            <w:shd w:val="clear" w:color="auto" w:fill="DCE6F1"/>
          </w:tcPr>
          <w:p>
            <w:pPr>
              <w:pStyle w:val="Compact"/>
              <w:spacing w:before="0" w:after="0" w:line="240" w:lineRule="auto"/>
              <w:jc w:val="left"/>
            </w:pPr>
            <w:r>
              <w:rPr>
                <w:b/>
                <w:color w:val="1F3864"/>
                <w:sz w:val="21"/>
              </w:rPr>
              <w:t xml:space="preserve">Applicant’s reply / submission at hearing</w:t>
            </w:r>
          </w:p>
        </w:tc>
        <w:tc>
          <w:tcPr>
            <w:tcW w:type="dxa" w:w="1606"/>
            <w:shd w:val="clear" w:color="auto" w:fill="DCE6F1"/>
          </w:tcPr>
          <w:p>
            <w:pPr>
              <w:pStyle w:val="Compact"/>
              <w:spacing w:before="0" w:after="0" w:line="240" w:lineRule="auto"/>
              <w:jc w:val="left"/>
            </w:pPr>
            <w:r>
              <w:rPr>
                <w:b/>
                <w:color w:val="1F3864"/>
                <w:sz w:val="21"/>
              </w:rPr>
              <w:t xml:space="preserve">Verification done</w:t>
            </w:r>
          </w:p>
        </w:tc>
        <w:tc>
          <w:tcPr>
            <w:tcW w:type="dxa" w:w="2551"/>
            <w:shd w:val="clear" w:color="auto" w:fill="DCE6F1"/>
          </w:tcPr>
          <w:p>
            <w:pPr>
              <w:pStyle w:val="Compact"/>
              <w:spacing w:before="0" w:after="0" w:line="240" w:lineRule="auto"/>
              <w:jc w:val="left"/>
            </w:pPr>
            <w:r>
              <w:rPr>
                <w:b/>
                <w:color w:val="1F3864"/>
                <w:sz w:val="21"/>
              </w:rPr>
              <w:t xml:space="preserve">Finding and provision relied on</w:t>
            </w:r>
          </w:p>
        </w:tc>
        <w:tc>
          <w:tcPr>
            <w:tcW w:type="dxa" w:w="1417"/>
            <w:shd w:val="clear" w:color="auto" w:fill="DCE6F1"/>
          </w:tcPr>
          <w:p>
            <w:pPr>
              <w:pStyle w:val="Compact"/>
              <w:spacing w:before="0" w:after="0" w:line="240" w:lineRule="auto"/>
              <w:jc w:val="left"/>
            </w:pPr>
            <w:r>
              <w:rPr>
                <w:b/>
                <w:color w:val="1F3864"/>
                <w:sz w:val="21"/>
              </w:rPr>
              <w:t xml:space="preserve">Amount found not admissible on this ground (₹)</w:t>
            </w:r>
          </w:p>
        </w:tc>
        <w:tc>
          <w:tcPr>
            <w:tcW w:type="dxa" w:w="1039"/>
            <w:shd w:val="clear" w:color="auto" w:fill="DCE6F1"/>
          </w:tcPr>
          <w:p>
            <w:pPr>
              <w:pStyle w:val="Compact"/>
              <w:spacing w:before="0" w:after="0" w:line="240" w:lineRule="auto"/>
              <w:jc w:val="left"/>
            </w:pPr>
            <w:r>
              <w:rPr>
                <w:b/>
                <w:color w:val="1F3864"/>
                <w:sz w:val="21"/>
              </w:rPr>
              <w:t xml:space="preserve">Effect on refund (₹)</w:t>
            </w:r>
          </w:p>
        </w:tc>
      </w:tr>
      <w:tr>
        <w:tc>
          <w:tcPr>
            <w:tcW w:type="dxa" w:w="1039"/>
          </w:tcPr>
          <w:p>
            <w:pPr>
              <w:pStyle w:val="Compact"/>
              <w:spacing w:before="0" w:after="0" w:line="240" w:lineRule="auto"/>
              <w:jc w:val="left"/>
            </w:pPr>
            <w:r>
              <w:rPr>
                <w:sz w:val="21"/>
              </w:rPr>
              <w:t xml:space="preserve">1</w:t>
            </w:r>
          </w:p>
        </w:tc>
        <w:tc>
          <w:tcPr>
            <w:tcW w:type="dxa" w:w="1984"/>
          </w:tcPr>
          <w:p>
            <w:pPr>
              <w:pStyle w:val="Compact"/>
              <w:spacing w:before="0" w:after="0" w:line="240" w:lineRule="auto"/>
              <w:jc w:val="left"/>
            </w:pPr>
            <w:r>
              <w:rPr>
                <w:sz w:val="21"/>
              </w:rPr>
              <w:t xml:space="preserve">[summary of the reply on this ground]</w:t>
            </w:r>
          </w:p>
        </w:tc>
        <w:tc>
          <w:tcPr>
            <w:tcW w:type="dxa" w:w="1606"/>
          </w:tcPr>
          <w:p>
            <w:pPr>
              <w:pStyle w:val="Compact"/>
              <w:spacing w:before="0" w:after="0" w:line="240" w:lineRule="auto"/>
              <w:jc w:val="left"/>
            </w:pPr>
            <w:r>
              <w:rPr>
                <w:sz w:val="21"/>
              </w:rPr>
              <w:t xml:space="preserve">[what was checked, against which record]</w:t>
            </w:r>
          </w:p>
        </w:tc>
        <w:tc>
          <w:tcPr>
            <w:tcW w:type="dxa" w:w="2551"/>
          </w:tcPr>
          <w:p>
            <w:pPr>
              <w:pStyle w:val="Compact"/>
              <w:spacing w:before="0" w:after="0" w:line="240" w:lineRule="auto"/>
              <w:jc w:val="left"/>
            </w:pPr>
            <w:r>
              <w:rPr>
                <w:sz w:val="21"/>
              </w:rPr>
              <w:t xml:space="preserve">[Accepted / Partly accepted / Not accepted, because …; section or rule]</w:t>
            </w:r>
          </w:p>
        </w:tc>
        <w:tc>
          <w:tcPr>
            <w:tcW w:type="dxa" w:w="1417"/>
          </w:tcPr>
          <w:p>
            <w:pPr>
              <w:pStyle w:val="Compact"/>
              <w:spacing w:before="0" w:after="0" w:line="240" w:lineRule="auto"/>
              <w:jc w:val="left"/>
            </w:pPr>
            <w:r>
              <w:rPr>
                <w:sz w:val="21"/>
              </w:rPr>
              <w:t xml:space="preserve">[ ]</w:t>
            </w:r>
          </w:p>
        </w:tc>
        <w:tc>
          <w:tcPr>
            <w:tcW w:type="dxa" w:w="1039"/>
          </w:tcPr>
          <w:p>
            <w:pPr>
              <w:pStyle w:val="Compact"/>
              <w:spacing w:before="0" w:after="0" w:line="240" w:lineRule="auto"/>
              <w:jc w:val="left"/>
            </w:pPr>
            <w:r>
              <w:rPr>
                <w:sz w:val="21"/>
              </w:rPr>
              <w:t xml:space="preserve">[ ]</w:t>
            </w:r>
          </w:p>
        </w:tc>
      </w:tr>
      <w:tr>
        <w:tc>
          <w:tcPr>
            <w:tcW w:type="dxa" w:w="1039"/>
          </w:tcPr>
          <w:p>
            <w:pPr>
              <w:pStyle w:val="Compact"/>
              <w:spacing w:before="0" w:after="0" w:line="240" w:lineRule="auto"/>
              <w:jc w:val="left"/>
            </w:pPr>
            <w:r>
              <w:rPr>
                <w:sz w:val="21"/>
              </w:rPr>
              <w:t xml:space="preserve">2</w:t>
            </w:r>
          </w:p>
        </w:tc>
        <w:tc>
          <w:tcPr>
            <w:tcW w:type="dxa" w:w="1984"/>
          </w:tcPr>
          <w:p>
            <w:pPr>
              <w:pStyle w:val="Compact"/>
              <w:spacing w:before="0" w:after="0" w:line="240" w:lineRule="auto"/>
              <w:jc w:val="left"/>
            </w:pPr>
            <w:r>
              <w:rPr>
                <w:sz w:val="21"/>
              </w:rPr>
              <w:t xml:space="preserve">[ ]</w:t>
            </w:r>
          </w:p>
        </w:tc>
        <w:tc>
          <w:tcPr>
            <w:tcW w:type="dxa" w:w="1606"/>
          </w:tcPr>
          <w:p>
            <w:pPr>
              <w:pStyle w:val="Compact"/>
              <w:spacing w:before="0" w:after="0" w:line="240" w:lineRule="auto"/>
              <w:jc w:val="left"/>
            </w:pPr>
            <w:r>
              <w:rPr>
                <w:sz w:val="21"/>
              </w:rPr>
              <w:t xml:space="preserve">[ ]</w:t>
            </w:r>
          </w:p>
        </w:tc>
        <w:tc>
          <w:tcPr>
            <w:tcW w:type="dxa" w:w="2551"/>
          </w:tcPr>
          <w:p>
            <w:pPr>
              <w:pStyle w:val="Compact"/>
              <w:spacing w:before="0" w:after="0" w:line="240" w:lineRule="auto"/>
              <w:jc w:val="left"/>
            </w:pPr>
            <w:r>
              <w:rPr>
                <w:sz w:val="21"/>
              </w:rPr>
              <w:t xml:space="preserve">[ ]</w:t>
            </w:r>
          </w:p>
        </w:tc>
        <w:tc>
          <w:tcPr>
            <w:tcW w:type="dxa" w:w="1417"/>
          </w:tcPr>
          <w:p>
            <w:pPr>
              <w:pStyle w:val="Compact"/>
              <w:spacing w:before="0" w:after="0" w:line="240" w:lineRule="auto"/>
              <w:jc w:val="left"/>
            </w:pPr>
            <w:r>
              <w:rPr>
                <w:sz w:val="21"/>
              </w:rPr>
              <w:t xml:space="preserve">[ ]</w:t>
            </w:r>
          </w:p>
        </w:tc>
        <w:tc>
          <w:tcPr>
            <w:tcW w:type="dxa" w:w="1039"/>
          </w:tcPr>
          <w:p>
            <w:pPr>
              <w:pStyle w:val="Compact"/>
              <w:spacing w:before="0" w:after="0" w:line="240" w:lineRule="auto"/>
              <w:jc w:val="left"/>
            </w:pPr>
            <w:r>
              <w:rPr>
                <w:sz w:val="21"/>
              </w:rPr>
              <w:t xml:space="preserve">[ ]</w:t>
            </w:r>
          </w:p>
        </w:tc>
      </w:tr>
      <w:tr>
        <w:tc>
          <w:tcPr>
            <w:tcW w:type="dxa" w:w="1039"/>
          </w:tcPr>
          <w:p>
            <w:pPr>
              <w:pStyle w:val="Compact"/>
              <w:spacing w:before="0" w:after="0" w:line="240" w:lineRule="auto"/>
              <w:jc w:val="left"/>
            </w:pPr>
            <w:r>
              <w:rPr>
                <w:sz w:val="21"/>
              </w:rPr>
              <w:t xml:space="preserve">Further submission at hearing</w:t>
            </w:r>
          </w:p>
        </w:tc>
        <w:tc>
          <w:tcPr>
            <w:tcW w:type="dxa" w:w="1984"/>
          </w:tcPr>
          <w:p>
            <w:pPr>
              <w:pStyle w:val="Compact"/>
              <w:spacing w:before="0" w:after="0" w:line="240" w:lineRule="auto"/>
              <w:jc w:val="left"/>
            </w:pPr>
            <w:r>
              <w:rPr>
                <w:sz w:val="21"/>
              </w:rPr>
              <w:t xml:space="preserve">[ ]</w:t>
            </w:r>
          </w:p>
        </w:tc>
        <w:tc>
          <w:tcPr>
            <w:tcW w:type="dxa" w:w="1606"/>
          </w:tcPr>
          <w:p>
            <w:pPr>
              <w:pStyle w:val="Compact"/>
              <w:spacing w:before="0" w:after="0" w:line="240" w:lineRule="auto"/>
              <w:jc w:val="left"/>
            </w:pPr>
            <w:r>
              <w:rPr>
                <w:sz w:val="21"/>
              </w:rPr>
              <w:t xml:space="preserve">[ ]</w:t>
            </w:r>
          </w:p>
        </w:tc>
        <w:tc>
          <w:tcPr>
            <w:tcW w:type="dxa" w:w="2551"/>
          </w:tcPr>
          <w:p>
            <w:pPr>
              <w:pStyle w:val="Compact"/>
              <w:spacing w:before="0" w:after="0" w:line="240" w:lineRule="auto"/>
              <w:jc w:val="left"/>
            </w:pPr>
            <w:r>
              <w:rPr>
                <w:sz w:val="21"/>
              </w:rPr>
              <w:t xml:space="preserve">[ ]</w:t>
            </w:r>
          </w:p>
        </w:tc>
        <w:tc>
          <w:tcPr>
            <w:tcW w:type="dxa" w:w="1417"/>
          </w:tcPr>
          <w:p>
            <w:pPr>
              <w:pStyle w:val="Compact"/>
              <w:spacing w:before="0" w:after="0" w:line="240" w:lineRule="auto"/>
              <w:jc w:val="left"/>
            </w:pPr>
            <w:r>
              <w:rPr>
                <w:sz w:val="21"/>
              </w:rPr>
              <w:t xml:space="preserve">[ ]</w:t>
            </w:r>
          </w:p>
        </w:tc>
        <w:tc>
          <w:tcPr>
            <w:tcW w:type="dxa" w:w="1039"/>
          </w:tcPr>
          <w:p>
            <w:pPr>
              <w:pStyle w:val="Compact"/>
              <w:spacing w:before="0" w:after="0" w:line="240" w:lineRule="auto"/>
              <w:jc w:val="left"/>
            </w:pPr>
            <w:r>
              <w:rPr>
                <w:sz w:val="21"/>
              </w:rPr>
              <w:t xml:space="preserve">[ ]</w:t>
            </w:r>
          </w:p>
        </w:tc>
      </w:tr>
    </w:tbl>
    <w:p>
      <w:pPr>
        <w:pStyle w:val="BlockText"/>
        <w:shd w:val="clear" w:color="auto" w:fill="E7E6E6"/>
      </w:pPr>
      <w:r>
        <w:rPr>
          <w:bCs/>
          <w:b/>
          <w:sz w:val="21"/>
        </w:rPr>
        <w:t xml:space="preserve">Drafting note:</w:t>
      </w:r>
      <w:r>
        <w:rPr>
          <w:sz w:val="21"/>
        </w:rPr>
        <w:t xml:space="preserve"> </w:t>
      </w:r>
      <w:r>
        <w:rPr>
          <w:sz w:val="21"/>
        </w:rPr>
        <w:t xml:space="preserve">write a separate paragraph under the table for any ground that needs more than three lines of reasoning. Keep the amount found not admissible on each ground separate from its effect on the head-wise refund, and do not count an amount twice where two grounds overlap. Decide every ground, including one that becomes moot because of the finding on another ground (say</w:t>
      </w:r>
      <w:r>
        <w:rPr>
          <w:sz w:val="21"/>
        </w:rPr>
        <w:t xml:space="preserve"> </w:t>
      </w:r>
      <w:r>
        <w:rPr>
          <w:sz w:val="21"/>
        </w:rPr>
        <w:t xml:space="preserve">“</w:t>
      </w:r>
      <w:r>
        <w:rPr>
          <w:sz w:val="21"/>
        </w:rPr>
        <w:t xml:space="preserve">This ground does not survive, in view of the finding on ground [ ]</w:t>
      </w:r>
      <w:r>
        <w:rPr>
          <w:sz w:val="21"/>
        </w:rPr>
        <w:t xml:space="preserve">”</w:t>
      </w:r>
      <w:r>
        <w:rPr>
          <w:sz w:val="21"/>
        </w:rPr>
        <w:t xml:space="preserve">). If a ground is dropped, say so and why.</w:t>
      </w:r>
    </w:p>
    <w:p>
      <w:pPr>
        <w:pStyle w:val="FirstParagraph"/>
        <w:spacing w:before="0" w:after="120" w:line="269" w:lineRule="auto"/>
        <w:jc w:val="both"/>
      </w:pPr>
      <w:r>
        <w:t xml:space="preserve">8.4</w:t>
      </w:r>
      <w:r>
        <w:t xml:space="preserve"> </w:t>
      </w:r>
      <w:r>
        <w:rPr>
          <w:bCs/>
          <w:b/>
        </w:rPr>
        <w:t xml:space="preserve">[Option: consequence where any supply is held not to be an export]</w:t>
      </w:r>
      <w:r>
        <w:t xml:space="preserve"> </w:t>
      </w:r>
      <w:r>
        <w:t xml:space="preserve">As the supplies at S. Nos. [ ] are held not to be exports of services, the integrated tax of ₹[ ] paid on them is not refundable under section 54(1) read with section 16(4) of the IGST Act. [Being an intra-State supply, central tax and State tax of ₹[ ] appear payable, and the matter is referred to [the Range / Adjudication] for action under section [73 / 74 / 74A]. The applicant’s remedy for the integrated tax paid under the wrong head lies under section 19 of the IGST Act (Circular No. 162/18/2021-GST), and is not decided in this order.] / [Being an inter-State supply in India, the integrated tax paid was correctly payable.]</w:t>
      </w:r>
    </w:p>
    <w:p>
      <w:pPr>
        <w:pStyle w:val="BodyText"/>
        <w:keepNext/>
        <w:spacing w:before="240" w:after="80"/>
        <w:pBdr>
          <w:bottom w:val="single" w:sz="6" w:space="1" w:color="B4C6E7"/>
        </w:pBdr>
      </w:pPr>
      <w:r>
        <w:rPr>
          <w:bCs/>
          <w:b/>
          <w:color w:val="1F3864"/>
          <w:sz w:val="25"/>
        </w:rPr>
        <w:t xml:space="preserve">9. Other conditions for payment of the refund</w:t>
      </w:r>
    </w:p>
    <w:p>
      <w:pPr>
        <w:pStyle w:val="BodyText"/>
        <w:spacing w:before="0" w:after="120" w:line="269" w:lineRule="auto"/>
        <w:jc w:val="both"/>
      </w:pPr>
      <w:r>
        <w:t xml:space="preserve">9.1</w:t>
      </w:r>
      <w:r>
        <w:t xml:space="preserve"> </w:t>
      </w:r>
      <w:r>
        <w:rPr>
          <w:bCs/>
          <w:b/>
        </w:rPr>
        <w:t xml:space="preserve">Unjust enrichment.</w:t>
      </w:r>
      <w:r>
        <w:t xml:space="preserve"> </w:t>
      </w:r>
      <w:r>
        <w:t xml:space="preserve">The refund is of tax paid on zero-rated supplies, payable to the applicant under clause (a) of section 54(8). The question of unjust enrichment does not arise, and no certificate or declaration under rule 89(2)(l) or (m) is required (provisos to rule 89(2)(l) and (m)).</w:t>
      </w:r>
    </w:p>
    <w:p>
      <w:pPr>
        <w:pStyle w:val="BodyText"/>
        <w:spacing w:before="0" w:after="120" w:line="269" w:lineRule="auto"/>
        <w:jc w:val="both"/>
      </w:pPr>
      <w:r>
        <w:t xml:space="preserve">9.2</w:t>
      </w:r>
      <w:r>
        <w:t xml:space="preserve"> </w:t>
      </w:r>
      <w:r>
        <w:rPr>
          <w:bCs/>
          <w:b/>
        </w:rPr>
        <w:t xml:space="preserve">Dues and withholding (section 54(10) and 54(11)).</w:t>
      </w:r>
      <w:r>
        <w:t xml:space="preserve"> </w:t>
      </w:r>
      <w:r>
        <w:t xml:space="preserve">The [range report dated [DD.MM.YYYY]], the arrears and liability register of the Division, the back-office demand and recovery ledger and the portal (Electronic Liability Register Part II) were checked on [DD.MM.YYYY].</w:t>
      </w:r>
    </w:p>
    <w:p>
      <w:pPr>
        <w:pStyle w:val="BodyText"/>
        <w:spacing w:before="0" w:after="120" w:line="269" w:lineRule="auto"/>
        <w:jc w:val="both"/>
      </w:pPr>
      <w:r>
        <w:t xml:space="preserve">[Option A] No return was pending and no tax, interest, penalty or other amount was payable by the applicant under the CGST Act or the existing law that had not been stayed by the specified date. No amount is withheld or deducted.</w:t>
      </w:r>
    </w:p>
    <w:p>
      <w:pPr>
        <w:pStyle w:val="BodyText"/>
        <w:spacing w:before="0" w:after="120" w:line="269" w:lineRule="auto"/>
        <w:jc w:val="both"/>
      </w:pPr>
      <w:r>
        <w:t xml:space="preserve">[Option B] The applicant owes ₹[ ] under [Order No. [ ] dated [ ] / demand ID [ ]]. That amount was not stayed by any court, Tribunal or Appellate Authority by the specified date (the last date for filing an appeal), [and no appeal with the pre-deposit under section 107(6) is on record]. Under section 54(10)(b), ₹[ ] is deducted from the refund and</w:t>
      </w:r>
      <w:r>
        <w:t xml:space="preserve"> </w:t>
      </w:r>
      <w:r>
        <w:rPr>
          <w:bCs/>
          <w:b/>
        </w:rPr>
        <w:t xml:space="preserve">adjusted in this order</w:t>
      </w:r>
      <w:r>
        <w:t xml:space="preserve"> </w:t>
      </w:r>
      <w:r>
        <w:t xml:space="preserve">against that demand (rule 92(1); para 35 of Circular No. 125/44/2019-GST). [Under section 54(10)(a), ₹[ ] is withheld until the return for [period] is filed, by order in Part A of FORM GST RFD-07 dated [DD.MM.YYYY] (rule 92(2)).]</w:t>
      </w:r>
    </w:p>
    <w:p>
      <w:pPr>
        <w:pStyle w:val="BodyText"/>
        <w:spacing w:before="0" w:after="120" w:line="269" w:lineRule="auto"/>
        <w:jc w:val="both"/>
      </w:pPr>
      <w:r>
        <w:t xml:space="preserve">[Option C] By order dated [DD.MM.YYYY], the Commissioner, being of the opinion that the grant of this refund is likely to adversely affect the revenue in [the appeal / proceedings [No.] pending under section [ ]] on account of [malfeasance / fraud], namely [ ], has, after giving the applicant an opportunity of being heard, withheld ₹[ ] until [ ] under section 54(11). The withholding is recorded in Part A of FORM GST RFD-07 dated [DD.MM.YYYY] (rule 92(2)). If the applicant becomes entitled to the amount as a result of those proceedings, interest is payable under section 54(12).</w:t>
      </w:r>
    </w:p>
    <w:p>
      <w:pPr>
        <w:pStyle w:val="BlockText"/>
        <w:shd w:val="clear" w:color="auto" w:fill="E7E6E6"/>
      </w:pPr>
      <w:r>
        <w:rPr>
          <w:bCs/>
          <w:b/>
          <w:sz w:val="21"/>
        </w:rPr>
        <w:t xml:space="preserve">Drafting note:</w:t>
      </w:r>
      <w:r>
        <w:rPr>
          <w:sz w:val="21"/>
        </w:rPr>
        <w:t xml:space="preserve"> </w:t>
      </w:r>
      <w:r>
        <w:rPr>
          <w:sz w:val="21"/>
        </w:rPr>
        <w:t xml:space="preserve">only a confirmed amount not stayed by the specified date can be deducted or withheld under section 54(10). A demand set aside in appeal, a demand under appeal with the pre-deposit paid (deemed stayed under section 107(7)), or a mere show cause notice cannot be. Nothing is to be adjusted against a provisional refund (Instruction 06/2025-GST para 3.2). An adjustment under section 54(10)(b) is made in this RFD-06 itself; RFD-07 Part A is only for withholding (section 54(10)(a) or 54(11)), and Part B for its release. Never reject a refund in place of adjusting or withholding it.</w:t>
      </w:r>
    </w:p>
    <w:p>
      <w:pPr>
        <w:pStyle w:val="FirstParagraph"/>
        <w:spacing w:before="0" w:after="120" w:line="269" w:lineRule="auto"/>
        <w:jc w:val="both"/>
      </w:pPr>
      <w:r>
        <w:t xml:space="preserve">9.3</w:t>
      </w:r>
      <w:r>
        <w:t xml:space="preserve"> </w:t>
      </w:r>
      <w:r>
        <w:rPr>
          <w:bCs/>
          <w:b/>
        </w:rPr>
        <w:t xml:space="preserve">Minimum amount (section 54(14)).</w:t>
      </w:r>
      <w:r>
        <w:t xml:space="preserve"> </w:t>
      </w:r>
      <w:r>
        <w:t xml:space="preserve">The amount sanctioned under each tax head is not less than one thousand rupees. [Option: The amount found admissible under [head] is ₹[ ], which is less than one thousand rupees, and is therefore not paid (section 54(14); para 60 of Circular No. 125/44/2019-GST, which applies the limit to each tax head separately).]</w:t>
      </w:r>
    </w:p>
    <w:p>
      <w:pPr>
        <w:pStyle w:val="BlockText"/>
        <w:shd w:val="clear" w:color="auto" w:fill="E7E6E6"/>
      </w:pPr>
      <w:r>
        <w:rPr>
          <w:bCs/>
          <w:b/>
          <w:sz w:val="21"/>
        </w:rPr>
        <w:t xml:space="preserve">Drafting note (amount below ₹1,000 under a head):</w:t>
      </w:r>
      <w:r>
        <w:rPr>
          <w:sz w:val="21"/>
        </w:rPr>
        <w:t xml:space="preserve"> </w:t>
      </w:r>
      <w:r>
        <w:rPr>
          <w:sz w:val="21"/>
        </w:rPr>
        <w:t xml:space="preserve">say in para 11 what becomes of it. Show it in the</w:t>
      </w:r>
      <w:r>
        <w:rPr>
          <w:sz w:val="21"/>
        </w:rPr>
        <w:t xml:space="preserve"> </w:t>
      </w:r>
      <w:r>
        <w:rPr>
          <w:sz w:val="21"/>
        </w:rPr>
        <w:t xml:space="preserve">“</w:t>
      </w:r>
      <w:r>
        <w:rPr>
          <w:sz w:val="21"/>
        </w:rPr>
        <w:t xml:space="preserve">Rejected</w:t>
      </w:r>
      <w:r>
        <w:rPr>
          <w:sz w:val="21"/>
        </w:rPr>
        <w:t xml:space="preserve">”</w:t>
      </w:r>
      <w:r>
        <w:rPr>
          <w:sz w:val="21"/>
        </w:rPr>
        <w:t xml:space="preserve"> </w:t>
      </w:r>
      <w:r>
        <w:rPr>
          <w:sz w:val="21"/>
        </w:rPr>
        <w:t xml:space="preserve">column of the 11.1 table with the words</w:t>
      </w:r>
      <w:r>
        <w:rPr>
          <w:sz w:val="21"/>
        </w:rPr>
        <w:t xml:space="preserve"> </w:t>
      </w:r>
      <w:r>
        <w:rPr>
          <w:sz w:val="21"/>
        </w:rPr>
        <w:t xml:space="preserve">“</w:t>
      </w:r>
      <w:r>
        <w:rPr>
          <w:sz w:val="21"/>
        </w:rPr>
        <w:t xml:space="preserve">not paid under section 54(14)</w:t>
      </w:r>
      <w:r>
        <w:rPr>
          <w:sz w:val="21"/>
        </w:rPr>
        <w:t xml:space="preserve">”</w:t>
      </w:r>
      <w:r>
        <w:rPr>
          <w:sz w:val="21"/>
        </w:rPr>
        <w:t xml:space="preserve">, so the table balances. Where it was debited from the electronic credit or cash ledger on filing, direct its re-credit by PMT-03 with the rest of the rejected amount [confirm the Commissionerate’s practice].</w:t>
      </w:r>
    </w:p>
    <w:p>
      <w:pPr>
        <w:pStyle w:val="FirstParagraph"/>
        <w:spacing w:before="0" w:after="120" w:line="269" w:lineRule="auto"/>
        <w:jc w:val="both"/>
      </w:pPr>
      <w:r>
        <w:t xml:space="preserve">9.4</w:t>
      </w:r>
      <w:r>
        <w:t xml:space="preserve"> </w:t>
      </w:r>
      <w:r>
        <w:rPr>
          <w:bCs/>
          <w:b/>
        </w:rPr>
        <w:t xml:space="preserve">Bank account.</w:t>
      </w:r>
      <w:r>
        <w:t xml:space="preserve"> </w:t>
      </w:r>
      <w:r>
        <w:t xml:space="preserve">The refund will be credited to the bank account [ending [XXXX]] declared in the application, which is one of the accounts in the applicant’s registration particulars and has been validated on the portal (rule 92(4)).</w:t>
      </w:r>
    </w:p>
    <w:p>
      <w:pPr>
        <w:pStyle w:val="BodyText"/>
        <w:spacing w:before="0" w:after="120" w:line="269" w:lineRule="auto"/>
        <w:jc w:val="both"/>
      </w:pPr>
      <w:r>
        <w:t xml:space="preserve">9.5</w:t>
      </w:r>
      <w:r>
        <w:t xml:space="preserve"> </w:t>
      </w:r>
      <w:r>
        <w:rPr>
          <w:bCs/>
          <w:b/>
        </w:rPr>
        <w:t xml:space="preserve">Time limit and interest on delay (section 54(7), section 56 and rule 94).</w:t>
      </w:r>
      <w:r>
        <w:t xml:space="preserve"> </w:t>
      </w:r>
      <w:r>
        <w:t xml:space="preserve">The application was filed on [DD.MM.YYYY] (the ARN date, as indicated in RFD-02 under rule 90(2)); the period under section 54(7) and section 56 counts from that date and ends on [DD.MM.YYYY].</w:t>
      </w:r>
    </w:p>
    <w:p>
      <w:pPr>
        <w:pStyle w:val="BodyText"/>
        <w:spacing w:before="0" w:after="120" w:line="269" w:lineRule="auto"/>
        <w:jc w:val="both"/>
      </w:pPr>
      <w:r>
        <w:t xml:space="preserve">[Option A] This order and the payment order in FORM GST RFD-05 are issued on [DD.MM.YYYY], within the sixty days. A refund is made only when the amount is credited to the applicant’s bank account (para 34 of Circular No. 125/44/2019-GST); if the credit takes place after [the date on which the sixty days end], interest under section 56 is payable for the days of delay up to the date of credit, and will be sanctioned by a separate order under rule 94.</w:t>
      </w:r>
    </w:p>
    <w:p>
      <w:pPr>
        <w:pStyle w:val="BodyText"/>
        <w:spacing w:before="0" w:after="120" w:line="269" w:lineRule="auto"/>
        <w:jc w:val="both"/>
      </w:pPr>
      <w:r>
        <w:t xml:space="preserve">[Option B] The sixty days ended on [DD.MM.YYYY], before this order. Under section 56 and rule 94, interest at six per cent per annum (Notification No. 13/2017-Central Tax dated 28.06.2017) is payable on the refund sanctioned from [the day after the sixty days end] until the date on which the amount is credited to the applicant’s bank account (para 34 of Circular No. 125/44/2019-GST). Under rule 94(2), the period beyond fifteen days of receipt of the RFD-08 notice taken by the applicant to reply or to submit documents, i.e. from [DD.MM.YYYY] to [DD.MM.YYYY] ([ ] days), and any period taken to correct or validate the bank account, are excluded. A separate order under rule 94(1), with FORM GST RFD-05, will specify the amount of delayed refund, the period of delay and the interest payable.</w:t>
      </w:r>
    </w:p>
    <w:p>
      <w:pPr>
        <w:pStyle w:val="BodyText"/>
        <w:keepNext/>
        <w:spacing w:before="240" w:after="80"/>
        <w:pBdr>
          <w:bottom w:val="single" w:sz="6" w:space="1" w:color="B4C6E7"/>
        </w:pBdr>
      </w:pPr>
      <w:r>
        <w:rPr>
          <w:bCs/>
          <w:b/>
          <w:color w:val="1F3864"/>
          <w:sz w:val="25"/>
        </w:rPr>
        <w:t xml:space="preserve">10. Conclusion</w:t>
      </w:r>
    </w:p>
    <w:p>
      <w:pPr>
        <w:pStyle w:val="BodyText"/>
        <w:spacing w:before="0" w:after="120" w:line="269" w:lineRule="auto"/>
        <w:jc w:val="both"/>
      </w:pPr>
      <w:r>
        <w:t xml:space="preserve">10.1 In view of the above, I find that the applicant is entitled to refund of ₹[ ] of integrated tax paid on export of services under section 54(1) of the CGST Act read with section 16(4) of the IGST Act and Notification No. 01/2023-Integrated Tax, and that ₹[ ] is not admissible for the reasons in paras [3, 6, 7 and 8]. Accordingly, I pass the following order.</w:t>
      </w:r>
    </w:p>
    <w:p>
      <w:pPr>
        <w:pStyle w:val="BodyText"/>
        <w:keepNext/>
        <w:spacing w:before="240" w:after="80"/>
        <w:pBdr>
          <w:bottom w:val="single" w:sz="6" w:space="1" w:color="B4C6E7"/>
        </w:pBdr>
        <w:jc w:val="center"/>
      </w:pPr>
      <w:r>
        <w:rPr>
          <w:bCs/>
          <w:b/>
          <w:color w:val="1F3864"/>
          <w:sz w:val="25"/>
        </w:rPr>
        <w:t xml:space="preserve">11. ORDER</w:t>
      </w:r>
    </w:p>
    <w:p>
      <w:pPr>
        <w:pStyle w:val="BodyText"/>
        <w:spacing w:before="0" w:after="120" w:line="269" w:lineRule="auto"/>
        <w:jc w:val="both"/>
      </w:pPr>
      <w:r>
        <w:t xml:space="preserve">11.1 Under section 54(5) of the CGST Act read with rules 92(1) and 92(4), I sanction refund of</w:t>
      </w:r>
      <w:r>
        <w:t xml:space="preserve"> </w:t>
      </w:r>
      <w:r>
        <w:rPr>
          <w:bCs/>
          <w:b/>
        </w:rPr>
        <w:t xml:space="preserve">₹[ ] (Rupees [amount in words] only)</w:t>
      </w:r>
      <w:r>
        <w:t xml:space="preserve"> </w:t>
      </w:r>
      <w:r>
        <w:t xml:space="preserve">to the applicant, payable under section 54(8)(a), as follows: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736"/>
        <w:gridCol w:w="883"/>
        <w:gridCol w:w="1104"/>
        <w:gridCol w:w="1717"/>
        <w:gridCol w:w="1888"/>
        <w:gridCol w:w="883"/>
        <w:gridCol w:w="1471"/>
        <w:gridCol w:w="956"/>
      </w:tblGrid>
      <w:tr>
        <w:trPr>
          <w:tblHeader w:val="true"/>
          <w:tblHeader/>
        </w:trPr>
        <w:tc>
          <w:tcPr>
            <w:tcW w:type="dxa" w:w="736"/>
            <w:shd w:val="clear" w:color="auto" w:fill="DCE6F1"/>
          </w:tcPr>
          <w:p>
            <w:pPr>
              <w:pStyle w:val="Compact"/>
              <w:spacing w:before="0" w:after="0" w:line="240" w:lineRule="auto"/>
              <w:jc w:val="left"/>
            </w:pPr>
            <w:r>
              <w:rPr>
                <w:b/>
                <w:color w:val="1F3864"/>
                <w:sz w:val="18"/>
              </w:rPr>
              <w:t xml:space="preserve">Head</w:t>
            </w:r>
          </w:p>
        </w:tc>
        <w:tc>
          <w:tcPr>
            <w:tcW w:type="dxa" w:w="883"/>
            <w:shd w:val="clear" w:color="auto" w:fill="DCE6F1"/>
          </w:tcPr>
          <w:p>
            <w:pPr>
              <w:pStyle w:val="Compact"/>
              <w:spacing w:before="0" w:after="0" w:line="240" w:lineRule="auto"/>
              <w:jc w:val="left"/>
            </w:pPr>
            <w:r>
              <w:rPr>
                <w:b/>
                <w:color w:val="1F3864"/>
                <w:sz w:val="18"/>
              </w:rPr>
              <w:t xml:space="preserve">Claimed (₹)</w:t>
            </w:r>
          </w:p>
        </w:tc>
        <w:tc>
          <w:tcPr>
            <w:tcW w:type="dxa" w:w="1104"/>
            <w:shd w:val="clear" w:color="auto" w:fill="DCE6F1"/>
          </w:tcPr>
          <w:p>
            <w:pPr>
              <w:pStyle w:val="Compact"/>
              <w:spacing w:before="0" w:after="0" w:line="240" w:lineRule="auto"/>
              <w:jc w:val="left"/>
            </w:pPr>
            <w:r>
              <w:rPr>
                <w:b/>
                <w:color w:val="1F3864"/>
                <w:sz w:val="18"/>
              </w:rPr>
              <w:t xml:space="preserve">Admissible (₹)</w:t>
            </w:r>
          </w:p>
        </w:tc>
        <w:tc>
          <w:tcPr>
            <w:tcW w:type="dxa" w:w="1717"/>
            <w:shd w:val="clear" w:color="auto" w:fill="DCE6F1"/>
          </w:tcPr>
          <w:p>
            <w:pPr>
              <w:pStyle w:val="Compact"/>
              <w:spacing w:before="0" w:after="0" w:line="240" w:lineRule="auto"/>
              <w:jc w:val="left"/>
            </w:pPr>
            <w:r>
              <w:rPr>
                <w:b/>
                <w:color w:val="1F3864"/>
                <w:sz w:val="18"/>
              </w:rPr>
              <w:t xml:space="preserve">Provisional refund paid (RFD-04 dated [ ], RFD-05 dated [ ]) (₹)</w:t>
            </w:r>
          </w:p>
        </w:tc>
        <w:tc>
          <w:tcPr>
            <w:tcW w:type="dxa" w:w="1888"/>
            <w:shd w:val="clear" w:color="auto" w:fill="DCE6F1"/>
          </w:tcPr>
          <w:p>
            <w:pPr>
              <w:pStyle w:val="Compact"/>
              <w:spacing w:before="0" w:after="0" w:line="240" w:lineRule="auto"/>
              <w:jc w:val="left"/>
            </w:pPr>
            <w:r>
              <w:rPr>
                <w:b/>
                <w:color w:val="1F3864"/>
                <w:sz w:val="18"/>
              </w:rPr>
              <w:t xml:space="preserve">Adjusted under section 54(10)(b) in this order / withheld by RFD-07 (₹)</w:t>
            </w:r>
          </w:p>
        </w:tc>
        <w:tc>
          <w:tcPr>
            <w:tcW w:type="dxa" w:w="883"/>
            <w:shd w:val="clear" w:color="auto" w:fill="DCE6F1"/>
          </w:tcPr>
          <w:p>
            <w:pPr>
              <w:pStyle w:val="Compact"/>
              <w:spacing w:before="0" w:after="0" w:line="240" w:lineRule="auto"/>
              <w:jc w:val="left"/>
            </w:pPr>
            <w:r>
              <w:rPr>
                <w:b/>
                <w:color w:val="1F3864"/>
                <w:sz w:val="18"/>
              </w:rPr>
              <w:t xml:space="preserve">Net payable now by RFD-05 (₹)</w:t>
            </w:r>
          </w:p>
        </w:tc>
        <w:tc>
          <w:tcPr>
            <w:tcW w:type="dxa" w:w="1471"/>
            <w:shd w:val="clear" w:color="auto" w:fill="DCE6F1"/>
          </w:tcPr>
          <w:p>
            <w:pPr>
              <w:pStyle w:val="Compact"/>
              <w:spacing w:before="0" w:after="0" w:line="240" w:lineRule="auto"/>
              <w:jc w:val="left"/>
            </w:pPr>
            <w:r>
              <w:rPr>
                <w:b/>
                <w:color w:val="1F3864"/>
                <w:sz w:val="18"/>
              </w:rPr>
              <w:t xml:space="preserve">Excess provisional refund recoverable (para 11.3A) (₹)</w:t>
            </w:r>
          </w:p>
        </w:tc>
        <w:tc>
          <w:tcPr>
            <w:tcW w:type="dxa" w:w="956"/>
            <w:shd w:val="clear" w:color="auto" w:fill="DCE6F1"/>
          </w:tcPr>
          <w:p>
            <w:pPr>
              <w:pStyle w:val="Compact"/>
              <w:spacing w:before="0" w:after="0" w:line="240" w:lineRule="auto"/>
              <w:jc w:val="left"/>
            </w:pPr>
            <w:r>
              <w:rPr>
                <w:b/>
                <w:color w:val="1F3864"/>
                <w:sz w:val="18"/>
              </w:rPr>
              <w:t xml:space="preserve">Rejected (₹)</w:t>
            </w:r>
          </w:p>
        </w:tc>
      </w:tr>
      <w:tr>
        <w:tc>
          <w:tcPr>
            <w:tcW w:type="dxa" w:w="736"/>
          </w:tcPr>
          <w:p>
            <w:pPr>
              <w:pStyle w:val="Compact"/>
              <w:spacing w:before="0" w:after="0" w:line="240" w:lineRule="auto"/>
              <w:jc w:val="left"/>
            </w:pPr>
            <w:r>
              <w:rPr>
                <w:sz w:val="18"/>
              </w:rPr>
              <w:t xml:space="preserve">IGST</w:t>
            </w:r>
          </w:p>
        </w:tc>
        <w:tc>
          <w:tcPr>
            <w:tcW w:type="dxa" w:w="883"/>
          </w:tcPr>
          <w:p>
            <w:pPr>
              <w:pStyle w:val="Compact"/>
              <w:spacing w:before="0" w:after="0" w:line="240" w:lineRule="auto"/>
              <w:jc w:val="left"/>
            </w:pPr>
            <w:r>
              <w:rPr>
                <w:sz w:val="18"/>
              </w:rPr>
              <w:t xml:space="preserve">[ ]</w:t>
            </w:r>
          </w:p>
        </w:tc>
        <w:tc>
          <w:tcPr>
            <w:tcW w:type="dxa" w:w="1104"/>
          </w:tcPr>
          <w:p>
            <w:pPr>
              <w:pStyle w:val="Compact"/>
              <w:spacing w:before="0" w:after="0" w:line="240" w:lineRule="auto"/>
              <w:jc w:val="left"/>
            </w:pPr>
            <w:r>
              <w:rPr>
                <w:sz w:val="18"/>
              </w:rPr>
              <w:t xml:space="preserve">[ ]</w:t>
            </w:r>
          </w:p>
        </w:tc>
        <w:tc>
          <w:tcPr>
            <w:tcW w:type="dxa" w:w="1717"/>
          </w:tcPr>
          <w:p>
            <w:pPr>
              <w:pStyle w:val="Compact"/>
              <w:spacing w:before="0" w:after="0" w:line="240" w:lineRule="auto"/>
              <w:jc w:val="left"/>
            </w:pPr>
            <w:r>
              <w:rPr>
                <w:sz w:val="18"/>
              </w:rPr>
              <w:t xml:space="preserve">[ ]</w:t>
            </w:r>
          </w:p>
        </w:tc>
        <w:tc>
          <w:tcPr>
            <w:tcW w:type="dxa" w:w="1888"/>
          </w:tcPr>
          <w:p>
            <w:pPr>
              <w:pStyle w:val="Compact"/>
              <w:spacing w:before="0" w:after="0" w:line="240" w:lineRule="auto"/>
              <w:jc w:val="left"/>
            </w:pPr>
            <w:r>
              <w:rPr>
                <w:sz w:val="18"/>
              </w:rPr>
              <w:t xml:space="preserve">[ ]</w:t>
            </w:r>
          </w:p>
        </w:tc>
        <w:tc>
          <w:tcPr>
            <w:tcW w:type="dxa" w:w="883"/>
          </w:tcPr>
          <w:p>
            <w:pPr>
              <w:pStyle w:val="Compact"/>
              <w:spacing w:before="0" w:after="0" w:line="240" w:lineRule="auto"/>
              <w:jc w:val="left"/>
            </w:pPr>
            <w:r>
              <w:rPr>
                <w:sz w:val="18"/>
              </w:rPr>
              <w:t xml:space="preserve">[ ]</w:t>
            </w:r>
          </w:p>
        </w:tc>
        <w:tc>
          <w:tcPr>
            <w:tcW w:type="dxa" w:w="1471"/>
          </w:tcPr>
          <w:p>
            <w:pPr>
              <w:pStyle w:val="Compact"/>
              <w:spacing w:before="0" w:after="0" w:line="240" w:lineRule="auto"/>
              <w:jc w:val="left"/>
            </w:pPr>
            <w:r>
              <w:rPr>
                <w:sz w:val="18"/>
              </w:rPr>
              <w:t xml:space="preserve">[ ]</w:t>
            </w:r>
          </w:p>
        </w:tc>
        <w:tc>
          <w:tcPr>
            <w:tcW w:type="dxa" w:w="956"/>
          </w:tcPr>
          <w:p>
            <w:pPr>
              <w:pStyle w:val="Compact"/>
              <w:spacing w:before="0" w:after="0" w:line="240" w:lineRule="auto"/>
              <w:jc w:val="left"/>
            </w:pPr>
            <w:r>
              <w:rPr>
                <w:sz w:val="18"/>
              </w:rPr>
              <w:t xml:space="preserve">[ ]</w:t>
            </w:r>
          </w:p>
        </w:tc>
      </w:tr>
      <w:tr>
        <w:tc>
          <w:tcPr>
            <w:tcW w:type="dxa" w:w="736"/>
            <w:shd w:val="clear" w:color="auto" w:fill="F2F2F2"/>
          </w:tcPr>
          <w:p>
            <w:pPr>
              <w:pStyle w:val="Compact"/>
              <w:spacing w:before="0" w:after="0" w:line="240" w:lineRule="auto"/>
              <w:jc w:val="left"/>
            </w:pPr>
            <w:r>
              <w:rPr>
                <w:bCs/>
                <w:b/>
                <w:sz w:val="18"/>
              </w:rPr>
              <w:t xml:space="preserve">Total</w:t>
            </w:r>
          </w:p>
        </w:tc>
        <w:tc>
          <w:tcPr>
            <w:tcW w:type="dxa" w:w="883"/>
            <w:shd w:val="clear" w:color="auto" w:fill="F2F2F2"/>
          </w:tcPr>
          <w:p>
            <w:pPr>
              <w:pStyle w:val="Compact"/>
              <w:spacing w:before="0" w:after="0" w:line="240" w:lineRule="auto"/>
              <w:jc w:val="left"/>
            </w:pPr>
            <w:r>
              <w:rPr>
                <w:bCs/>
                <w:b/>
                <w:sz w:val="18"/>
              </w:rPr>
              <w:t xml:space="preserve">[ ]</w:t>
            </w:r>
          </w:p>
        </w:tc>
        <w:tc>
          <w:tcPr>
            <w:tcW w:type="dxa" w:w="1104"/>
            <w:shd w:val="clear" w:color="auto" w:fill="F2F2F2"/>
          </w:tcPr>
          <w:p>
            <w:pPr>
              <w:pStyle w:val="Compact"/>
              <w:spacing w:before="0" w:after="0" w:line="240" w:lineRule="auto"/>
              <w:jc w:val="left"/>
            </w:pPr>
            <w:r>
              <w:rPr>
                <w:bCs/>
                <w:b/>
                <w:sz w:val="18"/>
              </w:rPr>
              <w:t xml:space="preserve">[ ]</w:t>
            </w:r>
          </w:p>
        </w:tc>
        <w:tc>
          <w:tcPr>
            <w:tcW w:type="dxa" w:w="1717"/>
            <w:shd w:val="clear" w:color="auto" w:fill="F2F2F2"/>
          </w:tcPr>
          <w:p>
            <w:pPr>
              <w:pStyle w:val="Compact"/>
              <w:spacing w:before="0" w:after="0" w:line="240" w:lineRule="auto"/>
              <w:jc w:val="left"/>
            </w:pPr>
            <w:r>
              <w:rPr>
                <w:bCs/>
                <w:b/>
                <w:sz w:val="18"/>
              </w:rPr>
              <w:t xml:space="preserve">[ ]</w:t>
            </w:r>
          </w:p>
        </w:tc>
        <w:tc>
          <w:tcPr>
            <w:tcW w:type="dxa" w:w="1888"/>
            <w:shd w:val="clear" w:color="auto" w:fill="F2F2F2"/>
          </w:tcPr>
          <w:p>
            <w:pPr>
              <w:pStyle w:val="Compact"/>
              <w:spacing w:before="0" w:after="0" w:line="240" w:lineRule="auto"/>
              <w:jc w:val="left"/>
            </w:pPr>
            <w:r>
              <w:rPr>
                <w:bCs/>
                <w:b/>
                <w:sz w:val="18"/>
              </w:rPr>
              <w:t xml:space="preserve">[ ]</w:t>
            </w:r>
          </w:p>
        </w:tc>
        <w:tc>
          <w:tcPr>
            <w:tcW w:type="dxa" w:w="883"/>
            <w:shd w:val="clear" w:color="auto" w:fill="F2F2F2"/>
          </w:tcPr>
          <w:p>
            <w:pPr>
              <w:pStyle w:val="Compact"/>
              <w:spacing w:before="0" w:after="0" w:line="240" w:lineRule="auto"/>
              <w:jc w:val="left"/>
            </w:pPr>
            <w:r>
              <w:rPr>
                <w:bCs/>
                <w:b/>
                <w:sz w:val="18"/>
              </w:rPr>
              <w:t xml:space="preserve">[ ]</w:t>
            </w:r>
          </w:p>
        </w:tc>
        <w:tc>
          <w:tcPr>
            <w:tcW w:type="dxa" w:w="1471"/>
            <w:shd w:val="clear" w:color="auto" w:fill="F2F2F2"/>
          </w:tcPr>
          <w:p>
            <w:pPr>
              <w:pStyle w:val="Compact"/>
              <w:spacing w:before="0" w:after="0" w:line="240" w:lineRule="auto"/>
              <w:jc w:val="left"/>
            </w:pPr>
            <w:r>
              <w:rPr>
                <w:bCs/>
                <w:b/>
                <w:sz w:val="18"/>
              </w:rPr>
              <w:t xml:space="preserve">[ ]</w:t>
            </w:r>
          </w:p>
        </w:tc>
        <w:tc>
          <w:tcPr>
            <w:tcW w:type="dxa" w:w="956"/>
            <w:shd w:val="clear" w:color="auto" w:fill="F2F2F2"/>
          </w:tcPr>
          <w:p>
            <w:pPr>
              <w:pStyle w:val="Compact"/>
              <w:spacing w:before="0" w:after="0" w:line="240" w:lineRule="auto"/>
              <w:jc w:val="left"/>
            </w:pPr>
            <w:r>
              <w:rPr>
                <w:bCs/>
                <w:b/>
                <w:sz w:val="18"/>
              </w:rPr>
              <w:t xml:space="preserve">[ ]</w:t>
            </w:r>
          </w:p>
        </w:tc>
      </w:tr>
    </w:tbl>
    <w:p>
      <w:pPr>
        <w:pStyle w:val="BodyText"/>
        <w:spacing w:before="0" w:after="120" w:line="269" w:lineRule="auto"/>
        <w:jc w:val="both"/>
      </w:pPr>
      <w:r>
        <w:t xml:space="preserve">11.2 The net amount of ₹[ ] shall be credited to the applicant’s bank account by payment order in FORM GST RFD-05 (rule 92(4)). [Option: ₹[ ] adjusted under section 54(10)(b) shall be appropriated against [demand ID / order]; ₹[ ] is withheld by RFD-07 Part A as stated in para 9.2.]</w:t>
      </w:r>
    </w:p>
    <w:p>
      <w:pPr>
        <w:pStyle w:val="BodyText"/>
        <w:spacing w:before="0" w:after="120" w:line="269" w:lineRule="auto"/>
        <w:jc w:val="both"/>
      </w:pPr>
      <w:r>
        <w:t xml:space="preserve">11.3 Under rule 92(3), I reject refund of</w:t>
      </w:r>
      <w:r>
        <w:t xml:space="preserve"> </w:t>
      </w:r>
      <w:r>
        <w:rPr>
          <w:bCs/>
          <w:b/>
        </w:rPr>
        <w:t xml:space="preserve">₹[ ] (Rupees [amount in words] only)</w:t>
      </w:r>
      <w:r>
        <w:t xml:space="preserve"> </w:t>
      </w:r>
      <w:r>
        <w:t xml:space="preserve">(IGST ₹[ ]) for the reasons in paras [3, 6, 7 and 8].</w:t>
      </w:r>
    </w:p>
    <w:p>
      <w:pPr>
        <w:pStyle w:val="BodyText"/>
        <w:spacing w:before="0" w:after="120" w:line="269" w:lineRule="auto"/>
        <w:jc w:val="both"/>
      </w:pPr>
      <w:r>
        <w:t xml:space="preserve">11.3A</w:t>
      </w:r>
      <w:r>
        <w:t xml:space="preserve"> </w:t>
      </w:r>
      <w:r>
        <w:rPr>
          <w:bCs/>
          <w:b/>
        </w:rPr>
        <w:t xml:space="preserve">[Option: only where the provisional refund paid exceeds the amount found admissible, and the RFD-08 notice proposed its recovery]</w:t>
      </w:r>
      <w:r>
        <w:t xml:space="preserve"> </w:t>
      </w:r>
      <w:r>
        <w:t xml:space="preserve">The provisional refund of ₹[ ] sanctioned by RFD-04 dated [ ] and paid by RFD-05 dated [ ] exceeds the amount found admissible, ₹[ ], by ₹[ ]. As proposed in the notice in FORM GST RFD-08 dated [ ], with its summary in FORM GST DRC-01 under rule 142(1)(a), issued under section 54 read with section [73 / 74 / 74A] (para 3.4 of Instruction No. 06/2025-GST), I confirm ₹[ ] (IGST ₹[ ]) as refund erroneously paid, recoverable from the applicant with interest under section 50 [and penalty of ₹[ ] under section [73(9) / 74(9) / 74A(5)]]. A summary shall be issued in FORM GST DRC-07. No amount is payable to the applicant under this order.</w:t>
      </w:r>
    </w:p>
    <w:p>
      <w:pPr>
        <w:pStyle w:val="BlockText"/>
        <w:shd w:val="clear" w:color="auto" w:fill="E7E6E6"/>
      </w:pPr>
      <w:r>
        <w:rPr>
          <w:bCs/>
          <w:b/>
          <w:sz w:val="21"/>
        </w:rPr>
        <w:t xml:space="preserve">Drafting note (recovery):</w:t>
      </w:r>
      <w:r>
        <w:rPr>
          <w:sz w:val="21"/>
        </w:rPr>
        <w:t xml:space="preserve"> </w:t>
      </w:r>
      <w:r>
        <w:rPr>
          <w:sz w:val="21"/>
        </w:rPr>
        <w:t xml:space="preserve">provisional refunds under Instruction 06/2025-GST are paid only on applications filed on or after 01.10.2025, so section 74A will ordinarily apply (section 74A(12): tax pertaining to financial year 2024-25 onwards). Its notice limit for an erroneous refund is forty-two months from the date of the refund (section 74A(2)). If the applicant paid the excess with interest within sixty days of the notice, no penalty is imposed and the proceedings are concluded (section 74A(8)(ii)): record the DRC-03 and delete the penalty.</w:t>
      </w:r>
    </w:p>
    <w:p>
      <w:pPr>
        <w:pStyle w:val="FirstParagraph"/>
        <w:spacing w:before="0" w:after="120" w:line="269" w:lineRule="auto"/>
        <w:jc w:val="both"/>
      </w:pPr>
      <w:r>
        <w:t xml:space="preserve">11.4 [Option: Interest under section 56 on the delayed refund shall be paid by a separate order under rule 94, as stated in para 9.5.]</w:t>
      </w:r>
    </w:p>
    <w:p>
      <w:pPr>
        <w:pStyle w:val="BlockText"/>
        <w:shd w:val="clear" w:color="auto" w:fill="E7E6E6"/>
      </w:pPr>
      <w:r>
        <w:rPr>
          <w:bCs/>
          <w:b/>
          <w:sz w:val="21"/>
        </w:rPr>
        <w:t xml:space="preserve">Drafting note:</w:t>
      </w:r>
      <w:r>
        <w:rPr>
          <w:sz w:val="21"/>
        </w:rPr>
        <w:t xml:space="preserve"> </w:t>
      </w:r>
      <w:r>
        <w:rPr>
          <w:sz w:val="21"/>
        </w:rPr>
        <w:t xml:space="preserve">the tax claimed in this category was paid through the return and was not debited from any ledger when the application was filed, so there is nothing to re-credit by PMT-03 on rejection. The refund of tax paid on a zero-rated supply is paid to the bank account in full, whether the tax was originally paid in cash or through input tax credit (rule 92(1A) does not apply to zero-rated supplies). If the supply is held not to be an export, the operative consequence must be stated in para 8.4, not only in this note.</w:t>
      </w:r>
    </w:p>
    <w:p>
      <w:pPr>
        <w:pStyle w:val="BlockText"/>
        <w:shd w:val="clear" w:color="auto" w:fill="E7E6E6"/>
      </w:pPr>
      <w:r>
        <w:rPr>
          <w:bCs/>
          <w:b/>
          <w:sz w:val="21"/>
        </w:rPr>
        <w:t xml:space="preserve">Drafting note: final check before signing.</w:t>
      </w:r>
      <w:r>
        <w:rPr>
          <w:sz w:val="21"/>
        </w:rPr>
        <w:t xml:space="preserve"> </w:t>
      </w:r>
      <w:r>
        <w:rPr>
          <w:sz w:val="21"/>
        </w:rPr>
        <w:t xml:space="preserve">(1) The admissible amount in the computation, the head-wise table in para 11, the figures in the ORDER and the amount in words all agree. (2) Under every tax head, admissible + rejected = amount claimed, and admissible = provisional refund paid (if any) + amount adjusted or withheld + net amount now payable − excess provisional refund recoverable; where there is an excess, the adjusted and net payable columns are nil. (3) No PMT-03 re-credit arises, as the tax was not debited from a ledger on filing. (4) Every ground in the RFD-08 notice has a finding. (5) No bracket, blank date, drafting note or another case’s figures remain. (6) Figures are rounded to the nearest rupee (section 170). (7) Paragraph numbers run in order.</w:t>
      </w:r>
    </w:p>
    <w:p>
      <w:pPr>
        <w:pStyle w:val="FirstParagraph"/>
        <w:keepLines/>
        <w:spacing w:before="480" w:after="120" w:line="269" w:lineRule="auto"/>
        <w:jc w:val="right"/>
      </w:pPr>
      <w:r>
        <w:rPr>
          <w:bCs/>
          <w:b/>
        </w:rPr>
        <w:t xml:space="preserve">(Signature)</w:t>
      </w:r>
      <w:r>
        <w:br/>
      </w:r>
      <w:r>
        <w:rPr>
          <w:bCs/>
          <w:b/>
        </w:rPr>
        <w:t xml:space="preserve">(Dr. B. Santosh Kumar)</w:t>
      </w:r>
      <w:r>
        <w:br/>
      </w:r>
      <w:r>
        <w:t xml:space="preserve">Assistant Commissioner of Central Tax</w:t>
      </w:r>
      <w:r>
        <w:br/>
      </w:r>
      <w:r>
        <w:t xml:space="preserve">Sangareddy CGST Division, Medchal CGST Commissionerate</w:t>
      </w:r>
    </w:p>
    <w:p>
      <w:pPr>
        <w:pStyle w:val="BodyText"/>
        <w:spacing w:before="0" w:after="120" w:line="269" w:lineRule="auto"/>
        <w:jc w:val="both"/>
      </w:pPr>
      <w:r>
        <w:t xml:space="preserve">To,</w:t>
      </w:r>
      <w:r>
        <w:br/>
      </w:r>
      <w:r>
        <w:t xml:space="preserve">[Legal name of the applicant] (GSTIN [ ]), [address] (through the common portal and by e-mail to the registered e-mail address)</w:t>
      </w:r>
    </w:p>
    <w:p>
      <w:pPr>
        <w:pStyle w:val="BodyText"/>
        <w:spacing w:before="0" w:after="120" w:line="269" w:lineRule="auto"/>
      </w:pPr>
      <w:r>
        <w:t xml:space="preserve">Copy to:</w:t>
      </w:r>
    </w:p>
    <w:p>
      <w:pPr>
        <w:numPr>
          <w:ilvl w:val="0"/>
          <w:numId w:val="1002"/>
        </w:numPr>
        <w:pStyle w:val="Compact"/>
        <w:spacing w:before="0" w:after="120" w:line="269" w:lineRule="auto"/>
      </w:pPr>
      <w:r>
        <w:t xml:space="preserve">The Commissioner of Central Tax, Medchal CGST Commissionerate (by name to the Assistant Commissioner (Review – Refunds), Headquarters), for review under section 107(2).</w:t>
      </w:r>
    </w:p>
    <w:p>
      <w:pPr>
        <w:numPr>
          <w:ilvl w:val="0"/>
          <w:numId w:val="1002"/>
        </w:numPr>
        <w:pStyle w:val="Compact"/>
        <w:spacing w:before="0" w:after="120" w:line="269" w:lineRule="auto"/>
      </w:pPr>
      <w:r>
        <w:t xml:space="preserve">The Assistant / Deputy Commissioner (Post-Audit), Medchal CGST Commissionerate, for post-audit of refund orders.</w:t>
      </w:r>
    </w:p>
    <w:p>
      <w:pPr>
        <w:numPr>
          <w:ilvl w:val="0"/>
          <w:numId w:val="1002"/>
        </w:numPr>
        <w:pStyle w:val="Compact"/>
        <w:spacing w:before="0" w:after="120" w:line="269" w:lineRule="auto"/>
      </w:pPr>
      <w:r>
        <w:t xml:space="preserve">The Superintendent, [Range], Sangareddy CGST Division, for information and for updating the refund register.</w:t>
      </w:r>
    </w:p>
    <w:p>
      <w:pPr>
        <w:numPr>
          <w:ilvl w:val="0"/>
          <w:numId w:val="1002"/>
        </w:numPr>
        <w:pStyle w:val="Compact"/>
        <w:spacing w:before="0" w:after="120" w:line="269" w:lineRule="auto"/>
      </w:pPr>
      <w:r>
        <w:t xml:space="preserve">Guard file / Office copy.</w:t>
      </w:r>
    </w:p>
    <w:p>
      <w:pPr>
        <w:pStyle w:val="FirstParagraph"/>
        <w:keepNext/>
        <w:spacing w:before="240" w:after="80"/>
        <w:pBdr>
          <w:bottom w:val="single" w:sz="6" w:space="1" w:color="B4C6E7"/>
        </w:pBdr>
      </w:pPr>
      <w:r>
        <w:rPr>
          <w:bCs/>
          <w:b/>
          <w:color w:val="1F3864"/>
          <w:sz w:val="25"/>
        </w:rPr>
        <w:t xml:space="preserve">Annexure for the drafting officer (delete before signing): worked example with hypothetical figures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354"/>
        <w:gridCol w:w="7043"/>
        <w:gridCol w:w="1241"/>
      </w:tblGrid>
      <w:tr>
        <w:trPr>
          <w:tblHeader w:val="true"/>
          <w:tblHeader/>
        </w:trPr>
        <w:tc>
          <w:tcPr>
            <w:tcW w:type="dxa" w:w="1354"/>
            <w:shd w:val="clear" w:color="auto" w:fill="DCE6F1"/>
          </w:tcPr>
          <w:p>
            <w:pPr>
              <w:pStyle w:val="Compact"/>
              <w:spacing w:before="0" w:after="0" w:line="240" w:lineRule="auto"/>
              <w:jc w:val="left"/>
            </w:pPr>
            <w:r>
              <w:rPr>
                <w:b/>
                <w:color w:val="1F3864"/>
                <w:sz w:val="21"/>
              </w:rPr>
              <w:t xml:space="preserve">Step</w:t>
            </w:r>
          </w:p>
        </w:tc>
        <w:tc>
          <w:tcPr>
            <w:tcW w:type="dxa" w:w="7043"/>
            <w:shd w:val="clear" w:color="auto" w:fill="DCE6F1"/>
          </w:tcPr>
          <w:p>
            <w:pPr>
              <w:pStyle w:val="Compact"/>
              <w:spacing w:before="0" w:after="0" w:line="240" w:lineRule="auto"/>
              <w:jc w:val="left"/>
            </w:pPr>
            <w:r>
              <w:rPr>
                <w:b/>
                <w:color w:val="1F3864"/>
                <w:sz w:val="21"/>
              </w:rPr>
              <w:t xml:space="preserve">Working</w:t>
            </w:r>
          </w:p>
        </w:tc>
        <w:tc>
          <w:tcPr>
            <w:tcW w:type="dxa" w:w="1241"/>
            <w:shd w:val="clear" w:color="auto" w:fill="DCE6F1"/>
          </w:tcPr>
          <w:p>
            <w:pPr>
              <w:pStyle w:val="Compact"/>
              <w:spacing w:before="0" w:after="0" w:line="240" w:lineRule="auto"/>
              <w:jc w:val="left"/>
            </w:pPr>
            <w:r>
              <w:rPr>
                <w:b/>
                <w:color w:val="1F3864"/>
                <w:sz w:val="21"/>
              </w:rPr>
              <w:t xml:space="preserve">Amount (₹)</w:t>
            </w:r>
          </w:p>
        </w:tc>
      </w:tr>
      <w:tr>
        <w:tc>
          <w:tcPr>
            <w:tcW w:type="dxa" w:w="1354"/>
          </w:tcPr>
          <w:p>
            <w:pPr>
              <w:pStyle w:val="Compact"/>
              <w:spacing w:before="0" w:after="0" w:line="240" w:lineRule="auto"/>
              <w:jc w:val="left"/>
            </w:pPr>
            <w:r>
              <w:rPr>
                <w:sz w:val="21"/>
              </w:rPr>
              <w:t xml:space="preserve">Invoices</w:t>
            </w:r>
          </w:p>
        </w:tc>
        <w:tc>
          <w:tcPr>
            <w:tcW w:type="dxa" w:w="7043"/>
          </w:tcPr>
          <w:p>
            <w:pPr>
              <w:pStyle w:val="Compact"/>
              <w:spacing w:before="0" w:after="0" w:line="240" w:lineRule="auto"/>
              <w:jc w:val="left"/>
            </w:pPr>
            <w:r>
              <w:rPr>
                <w:sz w:val="21"/>
              </w:rPr>
              <w:t xml:space="preserve">A: 5,00,000 → IGST 90,000; B: 3,00,000 → 54,000; C: 2,00,000 → 36,000</w:t>
            </w:r>
          </w:p>
        </w:tc>
        <w:tc>
          <w:tcPr>
            <w:tcW w:type="dxa" w:w="1241"/>
          </w:tcPr>
          <w:p>
            <w:pPr>
              <w:pStyle w:val="Compact"/>
              <w:spacing w:before="0" w:after="0" w:line="240" w:lineRule="auto"/>
              <w:jc w:val="left"/>
            </w:pPr>
            <w:r>
              <w:rPr>
                <w:sz w:val="21"/>
              </w:rPr>
              <w:t xml:space="preserve">1,80,000</w:t>
            </w:r>
          </w:p>
        </w:tc>
      </w:tr>
      <w:tr>
        <w:tc>
          <w:tcPr>
            <w:tcW w:type="dxa" w:w="1354"/>
          </w:tcPr>
          <w:p>
            <w:pPr>
              <w:pStyle w:val="Compact"/>
              <w:spacing w:before="0" w:after="0" w:line="240" w:lineRule="auto"/>
              <w:jc w:val="left"/>
            </w:pPr>
            <w:r>
              <w:rPr>
                <w:sz w:val="21"/>
              </w:rPr>
              <w:t xml:space="preserve">Provisional refund</w:t>
            </w:r>
          </w:p>
        </w:tc>
        <w:tc>
          <w:tcPr>
            <w:tcW w:type="dxa" w:w="7043"/>
          </w:tcPr>
          <w:p>
            <w:pPr>
              <w:pStyle w:val="Compact"/>
              <w:spacing w:before="0" w:after="0" w:line="240" w:lineRule="auto"/>
              <w:jc w:val="left"/>
            </w:pPr>
            <w:r>
              <w:rPr>
                <w:sz w:val="21"/>
              </w:rPr>
              <w:t xml:space="preserve">System low-risk: 90% sanctioned by RFD-04 and paid by RFD-05</w:t>
            </w:r>
          </w:p>
        </w:tc>
        <w:tc>
          <w:tcPr>
            <w:tcW w:type="dxa" w:w="1241"/>
          </w:tcPr>
          <w:p>
            <w:pPr>
              <w:pStyle w:val="Compact"/>
              <w:spacing w:before="0" w:after="0" w:line="240" w:lineRule="auto"/>
              <w:jc w:val="left"/>
            </w:pPr>
            <w:r>
              <w:rPr>
                <w:sz w:val="21"/>
              </w:rPr>
              <w:t xml:space="preserve">1,62,000</w:t>
            </w:r>
          </w:p>
        </w:tc>
      </w:tr>
      <w:tr>
        <w:tc>
          <w:tcPr>
            <w:tcW w:type="dxa" w:w="1354"/>
          </w:tcPr>
          <w:p>
            <w:pPr>
              <w:pStyle w:val="Compact"/>
              <w:spacing w:before="0" w:after="0" w:line="240" w:lineRule="auto"/>
              <w:jc w:val="left"/>
            </w:pPr>
            <w:r>
              <w:rPr>
                <w:sz w:val="21"/>
              </w:rPr>
              <w:t xml:space="preserve">Rejected</w:t>
            </w:r>
          </w:p>
        </w:tc>
        <w:tc>
          <w:tcPr>
            <w:tcW w:type="dxa" w:w="7043"/>
          </w:tcPr>
          <w:p>
            <w:pPr>
              <w:pStyle w:val="Compact"/>
              <w:spacing w:before="0" w:after="0" w:line="240" w:lineRule="auto"/>
              <w:jc w:val="left"/>
            </w:pPr>
            <w:r>
              <w:rPr>
                <w:sz w:val="21"/>
              </w:rPr>
              <w:t xml:space="preserve">Invoice C: relevant date (Explanation 2(c)) more than two years before filing</w:t>
            </w:r>
          </w:p>
        </w:tc>
        <w:tc>
          <w:tcPr>
            <w:tcW w:type="dxa" w:w="1241"/>
          </w:tcPr>
          <w:p>
            <w:pPr>
              <w:pStyle w:val="Compact"/>
              <w:spacing w:before="0" w:after="0" w:line="240" w:lineRule="auto"/>
              <w:jc w:val="left"/>
            </w:pPr>
            <w:r>
              <w:rPr>
                <w:sz w:val="21"/>
              </w:rPr>
              <w:t xml:space="preserve">36,000</w:t>
            </w:r>
          </w:p>
        </w:tc>
      </w:tr>
      <w:tr>
        <w:tc>
          <w:tcPr>
            <w:tcW w:type="dxa" w:w="1354"/>
          </w:tcPr>
          <w:p>
            <w:pPr>
              <w:pStyle w:val="Compact"/>
              <w:spacing w:before="0" w:after="0" w:line="240" w:lineRule="auto"/>
              <w:jc w:val="left"/>
            </w:pPr>
            <w:r>
              <w:rPr>
                <w:sz w:val="21"/>
              </w:rPr>
              <w:t xml:space="preserve">Admissible</w:t>
            </w:r>
          </w:p>
        </w:tc>
        <w:tc>
          <w:tcPr>
            <w:tcW w:type="dxa" w:w="7043"/>
          </w:tcPr>
          <w:p>
            <w:pPr>
              <w:pStyle w:val="Compact"/>
              <w:spacing w:before="0" w:after="0" w:line="240" w:lineRule="auto"/>
              <w:jc w:val="left"/>
            </w:pPr>
            <w:r>
              <w:rPr>
                <w:sz w:val="21"/>
              </w:rPr>
              <w:t xml:space="preserve">1,80,000 − 36,000</w:t>
            </w:r>
          </w:p>
        </w:tc>
        <w:tc>
          <w:tcPr>
            <w:tcW w:type="dxa" w:w="1241"/>
          </w:tcPr>
          <w:p>
            <w:pPr>
              <w:pStyle w:val="Compact"/>
              <w:spacing w:before="0" w:after="0" w:line="240" w:lineRule="auto"/>
              <w:jc w:val="left"/>
            </w:pPr>
            <w:r>
              <w:rPr>
                <w:sz w:val="21"/>
              </w:rPr>
              <w:t xml:space="preserve">1,44,000</w:t>
            </w:r>
          </w:p>
        </w:tc>
      </w:tr>
      <w:tr>
        <w:tc>
          <w:tcPr>
            <w:tcW w:type="dxa" w:w="1354"/>
          </w:tcPr>
          <w:p>
            <w:pPr>
              <w:pStyle w:val="Compact"/>
              <w:spacing w:before="0" w:after="0" w:line="240" w:lineRule="auto"/>
              <w:jc w:val="left"/>
            </w:pPr>
            <w:r>
              <w:rPr>
                <w:sz w:val="21"/>
              </w:rPr>
              <w:t xml:space="preserve">Excess provisional refund</w:t>
            </w:r>
          </w:p>
        </w:tc>
        <w:tc>
          <w:tcPr>
            <w:tcW w:type="dxa" w:w="7043"/>
          </w:tcPr>
          <w:p>
            <w:pPr>
              <w:pStyle w:val="Compact"/>
              <w:spacing w:before="0" w:after="0" w:line="240" w:lineRule="auto"/>
              <w:jc w:val="left"/>
            </w:pPr>
            <w:r>
              <w:rPr>
                <w:sz w:val="21"/>
              </w:rPr>
              <w:t xml:space="preserve">1,62,000 − 1,44,000, recoverable under para 11.3A (RFD-08 with DRC-01, interest under section 50, DRC-07); net payable nil</w:t>
            </w:r>
          </w:p>
        </w:tc>
        <w:tc>
          <w:tcPr>
            <w:tcW w:type="dxa" w:w="1241"/>
          </w:tcPr>
          <w:p>
            <w:pPr>
              <w:pStyle w:val="Compact"/>
              <w:spacing w:before="0" w:after="0" w:line="240" w:lineRule="auto"/>
              <w:jc w:val="left"/>
            </w:pPr>
            <w:r>
              <w:rPr>
                <w:sz w:val="21"/>
              </w:rPr>
              <w:t xml:space="preserve">18,000</w:t>
            </w:r>
          </w:p>
        </w:tc>
      </w:tr>
      <w:tr>
        <w:tc>
          <w:tcPr>
            <w:tcW w:type="dxa" w:w="1354"/>
          </w:tcPr>
          <w:p>
            <w:pPr>
              <w:pStyle w:val="Compact"/>
              <w:spacing w:before="0" w:after="0" w:line="240" w:lineRule="auto"/>
              <w:jc w:val="left"/>
            </w:pPr>
            <w:r>
              <w:rPr>
                <w:sz w:val="21"/>
              </w:rPr>
              <w:t xml:space="preserve">Check</w:t>
            </w:r>
          </w:p>
        </w:tc>
        <w:tc>
          <w:tcPr>
            <w:tcW w:type="dxa" w:w="7043"/>
          </w:tcPr>
          <w:p>
            <w:pPr>
              <w:pStyle w:val="Compact"/>
              <w:spacing w:before="0" w:after="0" w:line="240" w:lineRule="auto"/>
              <w:jc w:val="left"/>
            </w:pPr>
            <w:r>
              <w:rPr>
                <w:sz w:val="21"/>
              </w:rPr>
              <w:t xml:space="preserve">1,62,000 + 0 + 0 − 18,000 = 1,44,000 admissible; 1,44,000 + 36,000 = 1,80,000 claimed</w:t>
            </w:r>
          </w:p>
        </w:tc>
        <w:tc>
          <w:tcPr>
            <w:tcW w:type="dxa" w:w="1241"/>
          </w:tcPr>
          <w:p>
            <w:pPr>
              <w:pStyle w:val="Compact"/>
              <w:spacing w:before="0" w:after="0" w:line="240" w:lineRule="auto"/>
            </w:pPr>
          </w:p>
        </w:tc>
      </w:tr>
    </w:tbl>
    <w:p>
      <w:pPr>
        <w:pStyle w:val="BlockText"/>
        <w:shd w:val="clear" w:color="auto" w:fill="E7E6E6"/>
        <w:spacing w:before="360"/>
      </w:pPr>
      <w:r>
        <w:rPr>
          <w:bCs/>
          <w:b/>
          <w:sz w:val="21"/>
        </w:rPr>
        <w:t xml:space="preserve">How to use this template.</w:t>
      </w:r>
      <w:r>
        <w:rPr>
          <w:sz w:val="21"/>
        </w:rPr>
        <w:t xml:space="preserve"> </w:t>
      </w:r>
      <w:r>
        <w:rPr>
          <w:sz w:val="21"/>
        </w:rPr>
        <w:t xml:space="preserve">Text in [square brackets] is to be filled in or chosen. Paragraphs marked</w:t>
      </w:r>
      <w:r>
        <w:rPr>
          <w:sz w:val="21"/>
        </w:rPr>
        <w:t xml:space="preserve"> </w:t>
      </w:r>
      <w:r>
        <w:rPr>
          <w:bCs/>
          <w:b/>
          <w:sz w:val="21"/>
        </w:rPr>
        <w:t xml:space="preserve">[Option A]</w:t>
      </w:r>
      <w:r>
        <w:rPr>
          <w:sz w:val="21"/>
        </w:rPr>
        <w:t xml:space="preserve">,</w:t>
      </w:r>
      <w:r>
        <w:rPr>
          <w:sz w:val="21"/>
        </w:rPr>
        <w:t xml:space="preserve"> </w:t>
      </w:r>
      <w:r>
        <w:rPr>
          <w:bCs/>
          <w:b/>
          <w:sz w:val="21"/>
        </w:rPr>
        <w:t xml:space="preserve">[Option B]</w:t>
      </w:r>
      <w:r>
        <w:rPr>
          <w:sz w:val="21"/>
        </w:rPr>
        <w:t xml:space="preserve"> </w:t>
      </w:r>
      <w:r>
        <w:rPr>
          <w:sz w:val="21"/>
        </w:rPr>
        <w:t xml:space="preserve">are alternatives: keep the one that fits and delete the rest. Every</w:t>
      </w:r>
      <w:r>
        <w:rPr>
          <w:sz w:val="21"/>
        </w:rPr>
        <w:t xml:space="preserve"> </w:t>
      </w:r>
      <w:r>
        <w:rPr>
          <w:sz w:val="21"/>
        </w:rPr>
        <w:t xml:space="preserve">“</w:t>
      </w:r>
      <w:r>
        <w:rPr>
          <w:sz w:val="21"/>
        </w:rPr>
        <w:t xml:space="preserve">Drafting note</w:t>
      </w:r>
      <w:r>
        <w:rPr>
          <w:sz w:val="21"/>
        </w:rPr>
        <w:t xml:space="preserve">”</w:t>
      </w:r>
      <w:r>
        <w:rPr>
          <w:sz w:val="21"/>
        </w:rPr>
        <w:t xml:space="preserve"> </w:t>
      </w:r>
      <w:r>
        <w:rPr>
          <w:sz w:val="21"/>
        </w:rPr>
        <w:t xml:space="preserve">box is guidance for the officer and must be deleted before the order is signed. Do not leave any bracket, blank date or drafting note in the issued order.</w:t>
      </w:r>
    </w:p>
    <w:sectPr>
      <w:headerReference w:type="default" r:id="rId9"/>
      <w:footerReference w:type="default" r:id="rId10"/>
      <w:footerReference w:type="first" r:id="rId11"/>
      <w:pgSz w:w="11906" w:h="16838"/>
      <w:pgMar w:bottom="1134" w:left="1134" w:right="1134" w:top="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Order No. [ ] dated [DD.MM.YYYY]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T5: Refund of IGST paid on export of services</dc:title>
  <dc:creator>Sangareddy CGST Division</dc:creator>
  <cp:keywords/>
  <dcterms:created xsi:type="dcterms:W3CDTF">2026-10-12T14:52:41Z</dcterms:created>
  <dcterms:modified xsi:type="dcterms:W3CDTF">2026-10-12T14:52:41Z</dcterms:modified>
</cp:coreProperties>
</file>

<file path=docProps/custom.xml><?xml version="1.0" encoding="utf-8"?>
<Properties xmlns="http://schemas.openxmlformats.org/officeDocument/2006/custom-properties" xmlns:vt="http://schemas.openxmlformats.org/officeDocument/2006/docPropsVTypes"/>
</file>