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INTEGRATED TAX PAID ON SUPPLIES MADE TO A SPECIAL ECONOMIC ZONE UNIT / DEVELOPER [SECTION 54(1) OF THE CGST ACT READ WITH SECTIONS 16(1)(b) AND 16(4)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On account of supplies made to SEZ unit / SEZ developer (with payment of tax)</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supplied [description of goods / services] under [HSN / SAC] [ ] to [number] SEZ unit(s) / developer(s) in [name of the SEZ] during [period], on payment of integrated tax of ₹[ ], declared in GSTR-1 Table 6B and paid through GSTR-3B Table 3.1(b).</w:t>
      </w:r>
    </w:p>
    <w:p>
      <w:pPr>
        <w:pStyle w:val="BodyText"/>
        <w:spacing w:before="0" w:after="120" w:line="269" w:lineRule="auto"/>
        <w:jc w:val="both"/>
      </w:pPr>
      <w:r>
        <w:t xml:space="preserve">1.2 The applicant filed FORM GST RFD-01 under ARN [ ] dated [DD.MM.YYYY] for refund of ₹[ ] (IGST ₹[ ], Cess ₹[ ]) of the integrated tax so paid, with Statement 4 listing [ ] invoices endorsed by the specified officer of the SEZ, and the declaration under rule 89(2)(f).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16(1)(b) of the IGST Act, as amended with effect from 01.10.2023, a supply of goods or services or both</w:t>
      </w:r>
      <w:r>
        <w:t xml:space="preserve"> </w:t>
      </w:r>
      <w:r>
        <w:rPr>
          <w:bCs/>
          <w:b/>
        </w:rPr>
        <w:t xml:space="preserve">for authorised operations</w:t>
      </w:r>
      <w:r>
        <w:t xml:space="preserve"> </w:t>
      </w:r>
      <w:r>
        <w:t xml:space="preserve">to an SEZ developer or SEZ unit is a zero-rated supply. Under section 16(4) and Notification No. 01/2023-Integrated Tax dated 31.07.2023, as amended by Notification No. 05/2023-Integrated Tax dated 26.10.2023 (deemed to have effect from 01.10.2023), all suppliers to an SEZ developer or unit undertaking authorised operations may supply goods or services (other than the goods in the Table to that notification, namely pan masala, the listed tobacco products and the listed mint essential oils of heading 3301) for authorised operations on payment of integrated tax, and claim refund of the tax so paid.</w:t>
      </w:r>
    </w:p>
    <w:p>
      <w:pPr>
        <w:pStyle w:val="BodyText"/>
        <w:spacing w:before="0" w:after="120" w:line="269" w:lineRule="auto"/>
        <w:jc w:val="both"/>
      </w:pPr>
      <w:r>
        <w:t xml:space="preserve">2.2 Under the proviso to rule 89(1) relating to supplies to a Special Economic Zone (which rule 89(2)(d) and (e) still describe as the second proviso), the supplier of goods files the application after the goods have been admitted in full in the SEZ for authorised operations, as endorsed by the specified officer; and the supplier of services files it with evidence of receipt of the services for authorised operations, as endorsed by the specified officer. Rule 89(2)(d) and (e) require the corresponding statements of invoices with that endorsement, and</w:t>
      </w:r>
      <w:r>
        <w:t xml:space="preserve"> </w:t>
      </w:r>
      <w:r>
        <w:rPr>
          <w:bCs/>
          <w:b/>
        </w:rPr>
        <w:t xml:space="preserve">rule 89(2)(f)</w:t>
      </w:r>
      <w:r>
        <w:t xml:space="preserve"> </w:t>
      </w:r>
      <w:r>
        <w:t xml:space="preserve">requires a declaration that tax has not been collected from the SEZ unit or developer.</w:t>
      </w:r>
    </w:p>
    <w:p>
      <w:pPr>
        <w:pStyle w:val="BodyText"/>
        <w:spacing w:before="0" w:after="120" w:line="269" w:lineRule="auto"/>
        <w:jc w:val="both"/>
      </w:pPr>
      <w:r>
        <w:t xml:space="preserve">2.3 Under clause (ba) of Explanation 2 to section 54, the relevant date is the due date for furnishing the return under section 39 in respect of such supplies.</w:t>
      </w:r>
    </w:p>
    <w:p>
      <w:pPr>
        <w:pStyle w:val="BodyText"/>
        <w:spacing w:before="0" w:after="120" w:line="269" w:lineRule="auto"/>
        <w:jc w:val="both"/>
      </w:pPr>
      <w:r>
        <w:t xml:space="preserve">2.4 This is a refund of tax paid, not of input tax credit. The formula in rule 89(4) does not apply, and the eligibility of the applicant’s input tax credit is not an issue in this claim.</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invoices in this claim are of [months]. The due date for the GSTR-3B of [earliest month] was [DD.MM.YYYY], which is the earliest relevant date under clause (ba); two years from it end on [DD.MM.YYYY]. The application, filed on [DD.MM.YYYY], is within time. [Option: The tax of ₹[ ] on invoices of [month] is beyond two years and is not refundable.]</w:t>
      </w:r>
    </w:p>
    <w:p>
      <w:pPr>
        <w:pStyle w:val="BodyText"/>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due up to the date of the application (para 6 of Circular 125). The back-office refund history shows no other claim on these invoices, whether in this category or as unutilised ITC under LUT.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read with rule 91 of the CGST Rules, provides for refund on a provisional basis of ninety per cent of the amount claimed on account of zero-rated supply of goods or services.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Cess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w:t>
      </w:r>
    </w:p>
    <w:p>
      <w:pPr>
        <w:pStyle w:val="BodyText"/>
        <w:spacing w:before="0" w:after="120" w:line="269" w:lineRule="auto"/>
      </w:pPr>
      <w:r>
        <w:t xml:space="preserve">6.1</w:t>
      </w:r>
      <w:r>
        <w:t xml:space="preserve"> </w:t>
      </w:r>
      <w:r>
        <w:rPr>
          <w:bCs/>
          <w:b/>
        </w:rPr>
        <w:t xml:space="preserve">Endorsement, authorised operations and tax paid.</w:t>
      </w:r>
    </w:p>
    <w:p>
      <w:pPr>
        <w:pStyle w:val="BodyText"/>
        <w:spacing w:before="0" w:after="120" w:line="269" w:lineRule="auto"/>
      </w:pPr>
      <w:r>
        <w:rPr>
          <w:iCs/>
          <w:i/>
        </w:rPr>
        <w:t xml:space="preserve">Table 1: Invoices to the SEZ</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730"/>
        <w:gridCol w:w="876"/>
        <w:gridCol w:w="1022"/>
        <w:gridCol w:w="949"/>
        <w:gridCol w:w="876"/>
        <w:gridCol w:w="730"/>
        <w:gridCol w:w="1558"/>
        <w:gridCol w:w="1168"/>
        <w:gridCol w:w="852"/>
        <w:gridCol w:w="876"/>
      </w:tblGrid>
      <w:tr>
        <w:trPr>
          <w:tblHeader w:val="true"/>
          <w:tblHeader/>
        </w:trPr>
        <w:tc>
          <w:tcPr>
            <w:tcW w:type="dxa" w:w="730"/>
            <w:shd w:val="clear" w:color="auto" w:fill="DCE6F1"/>
          </w:tcPr>
          <w:p>
            <w:pPr>
              <w:pStyle w:val="Compact"/>
              <w:spacing w:before="0" w:after="0" w:line="240" w:lineRule="auto"/>
              <w:jc w:val="left"/>
            </w:pPr>
            <w:r>
              <w:rPr>
                <w:b/>
                <w:color w:val="1F3864"/>
                <w:sz w:val="18"/>
              </w:rPr>
              <w:t xml:space="preserve">S. No.</w:t>
            </w:r>
          </w:p>
        </w:tc>
        <w:tc>
          <w:tcPr>
            <w:tcW w:type="dxa" w:w="876"/>
            <w:shd w:val="clear" w:color="auto" w:fill="DCE6F1"/>
          </w:tcPr>
          <w:p>
            <w:pPr>
              <w:pStyle w:val="Compact"/>
              <w:spacing w:before="0" w:after="0" w:line="240" w:lineRule="auto"/>
              <w:jc w:val="left"/>
            </w:pPr>
            <w:r>
              <w:rPr>
                <w:b/>
                <w:color w:val="1F3864"/>
                <w:sz w:val="18"/>
              </w:rPr>
              <w:t xml:space="preserve">Invoice No. and date</w:t>
            </w:r>
          </w:p>
        </w:tc>
        <w:tc>
          <w:tcPr>
            <w:tcW w:type="dxa" w:w="1022"/>
            <w:shd w:val="clear" w:color="auto" w:fill="DCE6F1"/>
          </w:tcPr>
          <w:p>
            <w:pPr>
              <w:pStyle w:val="Compact"/>
              <w:spacing w:before="0" w:after="0" w:line="240" w:lineRule="auto"/>
              <w:jc w:val="left"/>
            </w:pPr>
            <w:r>
              <w:rPr>
                <w:b/>
                <w:color w:val="1F3864"/>
                <w:sz w:val="18"/>
              </w:rPr>
              <w:t xml:space="preserve">SEZ unit / developer (GSTIN)</w:t>
            </w:r>
          </w:p>
        </w:tc>
        <w:tc>
          <w:tcPr>
            <w:tcW w:type="dxa" w:w="949"/>
            <w:shd w:val="clear" w:color="auto" w:fill="DCE6F1"/>
          </w:tcPr>
          <w:p>
            <w:pPr>
              <w:pStyle w:val="Compact"/>
              <w:spacing w:before="0" w:after="0" w:line="240" w:lineRule="auto"/>
              <w:jc w:val="left"/>
            </w:pPr>
            <w:r>
              <w:rPr>
                <w:b/>
                <w:color w:val="1F3864"/>
                <w:sz w:val="18"/>
              </w:rPr>
              <w:t xml:space="preserve">Goods / services</w:t>
            </w:r>
          </w:p>
        </w:tc>
        <w:tc>
          <w:tcPr>
            <w:tcW w:type="dxa" w:w="876"/>
            <w:shd w:val="clear" w:color="auto" w:fill="DCE6F1"/>
          </w:tcPr>
          <w:p>
            <w:pPr>
              <w:pStyle w:val="Compact"/>
              <w:spacing w:before="0" w:after="0" w:line="240" w:lineRule="auto"/>
              <w:jc w:val="left"/>
            </w:pPr>
            <w:r>
              <w:rPr>
                <w:b/>
                <w:color w:val="1F3864"/>
                <w:sz w:val="18"/>
              </w:rPr>
              <w:t xml:space="preserve">Taxable value (₹)</w:t>
            </w:r>
          </w:p>
        </w:tc>
        <w:tc>
          <w:tcPr>
            <w:tcW w:type="dxa" w:w="730"/>
            <w:shd w:val="clear" w:color="auto" w:fill="DCE6F1"/>
          </w:tcPr>
          <w:p>
            <w:pPr>
              <w:pStyle w:val="Compact"/>
              <w:spacing w:before="0" w:after="0" w:line="240" w:lineRule="auto"/>
              <w:jc w:val="left"/>
            </w:pPr>
            <w:r>
              <w:rPr>
                <w:b/>
                <w:color w:val="1F3864"/>
                <w:sz w:val="18"/>
              </w:rPr>
              <w:t xml:space="preserve">IGST paid (₹)</w:t>
            </w:r>
          </w:p>
        </w:tc>
        <w:tc>
          <w:tcPr>
            <w:tcW w:type="dxa" w:w="1558"/>
            <w:shd w:val="clear" w:color="auto" w:fill="DCE6F1"/>
          </w:tcPr>
          <w:p>
            <w:pPr>
              <w:pStyle w:val="Compact"/>
              <w:spacing w:before="0" w:after="0" w:line="240" w:lineRule="auto"/>
              <w:jc w:val="left"/>
            </w:pPr>
            <w:r>
              <w:rPr>
                <w:b/>
                <w:color w:val="1F3864"/>
                <w:sz w:val="18"/>
              </w:rPr>
              <w:t xml:space="preserve">Endorsement (bill of entry / SEZ Online request No. and date)</w:t>
            </w:r>
          </w:p>
        </w:tc>
        <w:tc>
          <w:tcPr>
            <w:tcW w:type="dxa" w:w="1168"/>
            <w:shd w:val="clear" w:color="auto" w:fill="DCE6F1"/>
          </w:tcPr>
          <w:p>
            <w:pPr>
              <w:pStyle w:val="Compact"/>
              <w:spacing w:before="0" w:after="0" w:line="240" w:lineRule="auto"/>
              <w:jc w:val="left"/>
            </w:pPr>
            <w:r>
              <w:rPr>
                <w:b/>
                <w:color w:val="1F3864"/>
                <w:sz w:val="18"/>
              </w:rPr>
              <w:t xml:space="preserve">Within authorised operations?</w:t>
            </w:r>
          </w:p>
        </w:tc>
        <w:tc>
          <w:tcPr>
            <w:tcW w:type="dxa" w:w="852"/>
            <w:shd w:val="clear" w:color="auto" w:fill="DCE6F1"/>
          </w:tcPr>
          <w:p>
            <w:pPr>
              <w:pStyle w:val="Compact"/>
              <w:spacing w:before="0" w:after="0" w:line="240" w:lineRule="auto"/>
              <w:jc w:val="left"/>
            </w:pPr>
            <w:r>
              <w:rPr>
                <w:b/>
                <w:color w:val="1F3864"/>
                <w:sz w:val="18"/>
              </w:rPr>
              <w:t xml:space="preserve">Shown in GSTR-1 Table 6B?</w:t>
            </w:r>
          </w:p>
        </w:tc>
        <w:tc>
          <w:tcPr>
            <w:tcW w:type="dxa" w:w="876"/>
            <w:shd w:val="clear" w:color="auto" w:fill="DCE6F1"/>
          </w:tcPr>
          <w:p>
            <w:pPr>
              <w:pStyle w:val="Compact"/>
              <w:spacing w:before="0" w:after="0" w:line="240" w:lineRule="auto"/>
              <w:jc w:val="left"/>
            </w:pPr>
            <w:r>
              <w:rPr>
                <w:b/>
                <w:color w:val="1F3864"/>
                <w:sz w:val="18"/>
              </w:rPr>
              <w:t xml:space="preserve">Remarks</w:t>
            </w:r>
          </w:p>
        </w:tc>
      </w:tr>
      <w:tr>
        <w:tc>
          <w:tcPr>
            <w:tcW w:type="dxa" w:w="730"/>
          </w:tcPr>
          <w:p>
            <w:pPr>
              <w:pStyle w:val="Compact"/>
              <w:spacing w:before="0" w:after="0" w:line="240" w:lineRule="auto"/>
              <w:jc w:val="left"/>
            </w:pPr>
            <w:r>
              <w:rPr>
                <w:sz w:val="18"/>
              </w:rPr>
              <w:t xml:space="preserve">1</w:t>
            </w:r>
          </w:p>
        </w:tc>
        <w:tc>
          <w:tcPr>
            <w:tcW w:type="dxa" w:w="876"/>
          </w:tcPr>
          <w:p>
            <w:pPr>
              <w:pStyle w:val="Compact"/>
              <w:spacing w:before="0" w:after="0" w:line="240" w:lineRule="auto"/>
              <w:jc w:val="left"/>
            </w:pPr>
            <w:r>
              <w:rPr>
                <w:sz w:val="18"/>
              </w:rPr>
              <w:t xml:space="preserve">[ ]</w:t>
            </w:r>
          </w:p>
        </w:tc>
        <w:tc>
          <w:tcPr>
            <w:tcW w:type="dxa" w:w="1022"/>
          </w:tcPr>
          <w:p>
            <w:pPr>
              <w:pStyle w:val="Compact"/>
              <w:spacing w:before="0" w:after="0" w:line="240" w:lineRule="auto"/>
              <w:jc w:val="left"/>
            </w:pPr>
            <w:r>
              <w:rPr>
                <w:sz w:val="18"/>
              </w:rPr>
              <w:t xml:space="preserve">[ ]</w:t>
            </w:r>
          </w:p>
        </w:tc>
        <w:tc>
          <w:tcPr>
            <w:tcW w:type="dxa" w:w="949"/>
          </w:tcPr>
          <w:p>
            <w:pPr>
              <w:pStyle w:val="Compact"/>
              <w:spacing w:before="0" w:after="0" w:line="240" w:lineRule="auto"/>
              <w:jc w:val="left"/>
            </w:pPr>
            <w:r>
              <w:rPr>
                <w:sz w:val="18"/>
              </w:rPr>
              <w:t xml:space="preserve">[ ]</w:t>
            </w:r>
          </w:p>
        </w:tc>
        <w:tc>
          <w:tcPr>
            <w:tcW w:type="dxa" w:w="876"/>
          </w:tcPr>
          <w:p>
            <w:pPr>
              <w:pStyle w:val="Compact"/>
              <w:spacing w:before="0" w:after="0" w:line="240" w:lineRule="auto"/>
              <w:jc w:val="left"/>
            </w:pPr>
            <w:r>
              <w:rPr>
                <w:sz w:val="18"/>
              </w:rPr>
              <w:t xml:space="preserve">[ ]</w:t>
            </w:r>
          </w:p>
        </w:tc>
        <w:tc>
          <w:tcPr>
            <w:tcW w:type="dxa" w:w="730"/>
          </w:tcPr>
          <w:p>
            <w:pPr>
              <w:pStyle w:val="Compact"/>
              <w:spacing w:before="0" w:after="0" w:line="240" w:lineRule="auto"/>
              <w:jc w:val="left"/>
            </w:pPr>
            <w:r>
              <w:rPr>
                <w:sz w:val="18"/>
              </w:rPr>
              <w:t xml:space="preserve">[ ]</w:t>
            </w:r>
          </w:p>
        </w:tc>
        <w:tc>
          <w:tcPr>
            <w:tcW w:type="dxa" w:w="1558"/>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[Yes / No]</w:t>
            </w:r>
          </w:p>
        </w:tc>
        <w:tc>
          <w:tcPr>
            <w:tcW w:type="dxa" w:w="852"/>
          </w:tcPr>
          <w:p>
            <w:pPr>
              <w:pStyle w:val="Compact"/>
              <w:spacing w:before="0" w:after="0" w:line="240" w:lineRule="auto"/>
              <w:jc w:val="left"/>
            </w:pPr>
            <w:r>
              <w:rPr>
                <w:sz w:val="18"/>
              </w:rPr>
              <w:t xml:space="preserve">[Yes / No]</w:t>
            </w:r>
          </w:p>
        </w:tc>
        <w:tc>
          <w:tcPr>
            <w:tcW w:type="dxa" w:w="876"/>
          </w:tcPr>
          <w:p>
            <w:pPr>
              <w:pStyle w:val="Compact"/>
              <w:spacing w:before="0" w:after="0" w:line="240" w:lineRule="auto"/>
              <w:jc w:val="left"/>
            </w:pPr>
            <w:r>
              <w:rPr>
                <w:sz w:val="18"/>
              </w:rPr>
              <w:t xml:space="preserve">[ ]</w:t>
            </w:r>
          </w:p>
        </w:tc>
      </w:tr>
      <w:tr>
        <w:tc>
          <w:tcPr>
            <w:tcW w:type="dxa" w:w="730"/>
            <w:shd w:val="clear" w:color="auto" w:fill="F2F2F2"/>
          </w:tcPr>
          <w:p>
            <w:pPr>
              <w:pStyle w:val="Compact"/>
              <w:spacing w:before="0" w:after="0" w:line="240" w:lineRule="auto"/>
            </w:pPr>
          </w:p>
        </w:tc>
        <w:tc>
          <w:tcPr>
            <w:tcW w:type="dxa" w:w="876"/>
            <w:shd w:val="clear" w:color="auto" w:fill="F2F2F2"/>
          </w:tcPr>
          <w:p>
            <w:pPr>
              <w:pStyle w:val="Compact"/>
              <w:spacing w:before="0" w:after="0" w:line="240" w:lineRule="auto"/>
              <w:jc w:val="left"/>
            </w:pPr>
            <w:r>
              <w:rPr>
                <w:bCs/>
                <w:b/>
                <w:sz w:val="18"/>
              </w:rPr>
              <w:t xml:space="preserve">Total</w:t>
            </w:r>
          </w:p>
        </w:tc>
        <w:tc>
          <w:tcPr>
            <w:tcW w:type="dxa" w:w="1022"/>
            <w:shd w:val="clear" w:color="auto" w:fill="F2F2F2"/>
          </w:tcPr>
          <w:p>
            <w:pPr>
              <w:pStyle w:val="Compact"/>
              <w:spacing w:before="0" w:after="0" w:line="240" w:lineRule="auto"/>
            </w:pPr>
          </w:p>
        </w:tc>
        <w:tc>
          <w:tcPr>
            <w:tcW w:type="dxa" w:w="949"/>
            <w:shd w:val="clear" w:color="auto" w:fill="F2F2F2"/>
          </w:tcPr>
          <w:p>
            <w:pPr>
              <w:pStyle w:val="Compact"/>
              <w:spacing w:before="0" w:after="0" w:line="240" w:lineRule="auto"/>
            </w:pPr>
          </w:p>
        </w:tc>
        <w:tc>
          <w:tcPr>
            <w:tcW w:type="dxa" w:w="876"/>
            <w:shd w:val="clear" w:color="auto" w:fill="F2F2F2"/>
          </w:tcPr>
          <w:p>
            <w:pPr>
              <w:pStyle w:val="Compact"/>
              <w:spacing w:before="0" w:after="0" w:line="240" w:lineRule="auto"/>
              <w:jc w:val="left"/>
            </w:pPr>
            <w:r>
              <w:rPr>
                <w:bCs/>
                <w:b/>
                <w:sz w:val="18"/>
              </w:rPr>
              <w:t xml:space="preserve">[ ]</w:t>
            </w:r>
          </w:p>
        </w:tc>
        <w:tc>
          <w:tcPr>
            <w:tcW w:type="dxa" w:w="730"/>
            <w:shd w:val="clear" w:color="auto" w:fill="F2F2F2"/>
          </w:tcPr>
          <w:p>
            <w:pPr>
              <w:pStyle w:val="Compact"/>
              <w:spacing w:before="0" w:after="0" w:line="240" w:lineRule="auto"/>
              <w:jc w:val="left"/>
            </w:pPr>
            <w:r>
              <w:rPr>
                <w:bCs/>
                <w:b/>
                <w:sz w:val="18"/>
              </w:rPr>
              <w:t xml:space="preserve">[ ]</w:t>
            </w:r>
          </w:p>
        </w:tc>
        <w:tc>
          <w:tcPr>
            <w:tcW w:type="dxa" w:w="1558"/>
            <w:shd w:val="clear" w:color="auto" w:fill="F2F2F2"/>
          </w:tcPr>
          <w:p>
            <w:pPr>
              <w:pStyle w:val="Compact"/>
              <w:spacing w:before="0" w:after="0" w:line="240" w:lineRule="auto"/>
            </w:pPr>
          </w:p>
        </w:tc>
        <w:tc>
          <w:tcPr>
            <w:tcW w:type="dxa" w:w="1168"/>
            <w:shd w:val="clear" w:color="auto" w:fill="F2F2F2"/>
          </w:tcPr>
          <w:p>
            <w:pPr>
              <w:pStyle w:val="Compact"/>
              <w:spacing w:before="0" w:after="0" w:line="240" w:lineRule="auto"/>
            </w:pPr>
          </w:p>
        </w:tc>
        <w:tc>
          <w:tcPr>
            <w:tcW w:type="dxa" w:w="852"/>
            <w:shd w:val="clear" w:color="auto" w:fill="F2F2F2"/>
          </w:tcPr>
          <w:p>
            <w:pPr>
              <w:pStyle w:val="Compact"/>
              <w:spacing w:before="0" w:after="0" w:line="240" w:lineRule="auto"/>
            </w:pPr>
          </w:p>
        </w:tc>
        <w:tc>
          <w:tcPr>
            <w:tcW w:type="dxa" w:w="876"/>
            <w:shd w:val="clear" w:color="auto" w:fill="F2F2F2"/>
          </w:tcPr>
          <w:p>
            <w:pPr>
              <w:pStyle w:val="Compact"/>
              <w:spacing w:before="0" w:after="0" w:line="240" w:lineRule="auto"/>
            </w:pPr>
          </w:p>
        </w:tc>
      </w:tr>
    </w:tbl>
    <w:p>
      <w:pPr>
        <w:pStyle w:val="BlockText"/>
        <w:shd w:val="clear" w:color="auto" w:fill="E7E6E6"/>
      </w:pPr>
      <w:r>
        <w:rPr>
          <w:bCs/>
          <w:b/>
          <w:sz w:val="21"/>
        </w:rPr>
        <w:t xml:space="preserve">Drafting note:</w:t>
      </w:r>
      <w:r>
        <w:rPr>
          <w:sz w:val="21"/>
        </w:rPr>
        <w:t xml:space="preserve"> </w:t>
      </w:r>
      <w:r>
        <w:rPr>
          <w:sz w:val="21"/>
        </w:rPr>
        <w:t xml:space="preserve">the endorsement is a condition for filing the claim. If it is missing when the application is scrutinised, issue RFD-03 within fifteen days (rule 90(3)); use Option B only for a defect found after acknowledgement, and only after RFD-08. Also check that the Letter of Approval was valid on the invoice date.</w:t>
      </w:r>
    </w:p>
    <w:p>
      <w:pPr>
        <w:pStyle w:val="FirstParagraph"/>
        <w:spacing w:before="0" w:after="120" w:line="269" w:lineRule="auto"/>
        <w:jc w:val="both"/>
      </w:pPr>
      <w:r>
        <w:t xml:space="preserve">6.2 [Option A: All invoices bear the specified officer’s endorsement that the goods were admitted in full in the Zone / the services were received, for authorised operations, as verified on [SEZ Online / the endorsed copies].] [Option B: Invoices at S. Nos. [ ] lack the endorsement, or are outside the authorised operations in Letter of Approval No. [ ] dated [ ]; the tax of ₹[ ] on them is not refundable as tax on a zero-rated supply, for the reasons in para 8.]</w:t>
      </w:r>
    </w:p>
    <w:p>
      <w:pPr>
        <w:pStyle w:val="BodyText"/>
        <w:spacing w:before="0" w:after="120" w:line="269" w:lineRule="auto"/>
        <w:jc w:val="both"/>
      </w:pPr>
      <w:r>
        <w:t xml:space="preserve">6.3</w:t>
      </w:r>
      <w:r>
        <w:t xml:space="preserve"> </w:t>
      </w:r>
      <w:r>
        <w:rPr>
          <w:bCs/>
          <w:b/>
        </w:rPr>
        <w:t xml:space="preserve">Tax not collected from the SEZ (rule 89(2)(f)).</w:t>
      </w:r>
      <w:r>
        <w:t xml:space="preserve"> </w:t>
      </w:r>
      <w:r>
        <w:t xml:space="preserve">The applicant has declared that the integrated tax was not collected from the SEZ unit / developer. This was checked against [the invoices, which show the tax as</w:t>
      </w:r>
      <w:r>
        <w:t xml:space="preserve"> </w:t>
      </w:r>
      <w:r>
        <w:t xml:space="preserve">“</w:t>
      </w:r>
      <w:r>
        <w:t xml:space="preserve">not charged to the recipient</w:t>
      </w:r>
      <w:r>
        <w:t xml:space="preserve">”</w:t>
      </w:r>
      <w:r>
        <w:t xml:space="preserve"> </w:t>
      </w:r>
      <w:r>
        <w:t xml:space="preserve">/ the payment received from the SEZ unit, which equals the taxable value without tax / the SEZ unit’s confirmation dated [ ]]. [Option: The invoices at S. Nos. [ ] show tax charged to and paid by the SEZ unit; for them the declaration is not correct. Under Explanation (ii) to rule 89, the incidence of that tax is deemed to have been passed on, and the condition in rule 89(2)(f) is not met, so refund of ₹[ ] to the applicant is rejected under rule 92(3). Any claim of the SEZ unit itself is not barred by this order.]</w:t>
      </w:r>
    </w:p>
    <w:p>
      <w:pPr>
        <w:pStyle w:val="BodyText"/>
        <w:spacing w:before="0" w:after="120" w:line="269" w:lineRule="auto"/>
        <w:jc w:val="both"/>
      </w:pPr>
      <w:r>
        <w:t xml:space="preserve">6.4</w:t>
      </w:r>
      <w:r>
        <w:t xml:space="preserve"> </w:t>
      </w:r>
      <w:r>
        <w:rPr>
          <w:bCs/>
          <w:b/>
        </w:rPr>
        <w:t xml:space="preserve">Tax actually paid.</w:t>
      </w:r>
      <w:r>
        <w:t xml:space="preserve"> </w:t>
      </w:r>
      <w:r>
        <w:t xml:space="preserve">The integrated tax shown in GSTR-1 Table 6B for the period (₹[ ]) agrees with the tax on zero-rated supplies declared and paid in GSTR-3B Table 3.1(b) (₹[ ]) and with the amount claimed (₹[ ]). [Explain any difference, and confirm that no tax so shown was later reduced by a credit note or amendment.]</w:t>
      </w:r>
    </w:p>
    <w:p>
      <w:pPr>
        <w:pStyle w:val="BodyText"/>
        <w:spacing w:before="0" w:after="120" w:line="269" w:lineRule="auto"/>
        <w:jc w:val="both"/>
      </w:pPr>
      <w:r>
        <w:t xml:space="preserve">6.5 [For goods only] The goods are not subject to export duty [section 16(5) of the IGST Act, if in force on the date of this order].</w:t>
      </w:r>
    </w:p>
    <w:p>
      <w:pPr>
        <w:pStyle w:val="BlockText"/>
        <w:shd w:val="clear" w:color="auto" w:fill="E7E6E6"/>
      </w:pPr>
      <w:r>
        <w:rPr>
          <w:bCs/>
          <w:b/>
          <w:sz w:val="21"/>
        </w:rPr>
        <w:t xml:space="preserve">Drafting note:</w:t>
      </w:r>
      <w:r>
        <w:rPr>
          <w:sz w:val="21"/>
        </w:rPr>
        <w:t xml:space="preserve"> </w:t>
      </w:r>
      <w:r>
        <w:rPr>
          <w:sz w:val="21"/>
        </w:rPr>
        <w:t xml:space="preserve">do not examine the eligibility of the applicant’s input tax credit, and do not ask for Annexure-B or an indemnity bond in this category. Any concern about the applicant’s credit is for separate proceedings. The rule 89(2)(l) declaration or (m) certificate</w:t>
      </w:r>
      <w:r>
        <w:rPr>
          <w:sz w:val="21"/>
        </w:rPr>
        <w:t xml:space="preserve"> </w:t>
      </w:r>
      <w:r>
        <w:rPr>
          <w:bCs/>
          <w:b/>
          <w:sz w:val="21"/>
        </w:rPr>
        <w:t xml:space="preserve">is</w:t>
      </w:r>
      <w:r>
        <w:rPr>
          <w:sz w:val="21"/>
        </w:rPr>
        <w:t xml:space="preserve"> </w:t>
      </w:r>
      <w:r>
        <w:rPr>
          <w:sz w:val="21"/>
        </w:rPr>
        <w:t xml:space="preserve">required, because the refund is payable under section 54(8)(e).</w:t>
      </w:r>
    </w:p>
    <w:p>
      <w:pPr>
        <w:pStyle w:val="FirstParagraph"/>
        <w:keepNext/>
        <w:spacing w:before="240" w:after="80"/>
        <w:pBdr>
          <w:bottom w:val="single" w:sz="6" w:space="1" w:color="B4C6E7"/>
        </w:pBdr>
      </w:pPr>
      <w:r>
        <w:rPr>
          <w:bCs/>
          <w:b/>
          <w:color w:val="1F3864"/>
          <w:sz w:val="25"/>
        </w:rPr>
        <w:t xml:space="preserve">7. Amount admissible</w:t>
      </w:r>
    </w:p>
    <w:p>
      <w:pPr>
        <w:pStyle w:val="BodyText"/>
        <w:spacing w:before="0" w:after="120" w:line="269" w:lineRule="auto"/>
        <w:jc w:val="both"/>
      </w:pPr>
      <w:r>
        <w:t xml:space="preserve">7.1 The integrated tax shown in Table 1 is ₹[ ]. From it, ₹[ ] relating to [invoices beyond limitation (para 3)] and ₹[ ] relating to [the grounds decided in para 8] are excluded. The amount admissible is therefore ₹[ ] (IGST ₹[ ], Cess ₹[ ]), rounded to the nearest rupee (section 170).</w:t>
      </w:r>
    </w:p>
    <w:p>
      <w:pPr>
        <w:pStyle w:val="BodyText"/>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39"/>
        <w:gridCol w:w="1984"/>
        <w:gridCol w:w="1606"/>
        <w:gridCol w:w="2551"/>
        <w:gridCol w:w="1417"/>
        <w:gridCol w:w="1039"/>
      </w:tblGrid>
      <w:tr>
        <w:trPr>
          <w:tblHeader w:val="true"/>
          <w:tblHeader/>
        </w:trPr>
        <w:tc>
          <w:tcPr>
            <w:tcW w:type="dxa" w:w="1039"/>
            <w:shd w:val="clear" w:color="auto" w:fill="DCE6F1"/>
          </w:tcPr>
          <w:p>
            <w:pPr>
              <w:pStyle w:val="Compact"/>
              <w:spacing w:before="0" w:after="0" w:line="240" w:lineRule="auto"/>
              <w:jc w:val="left"/>
            </w:pPr>
            <w:r>
              <w:rPr>
                <w:b/>
                <w:color w:val="1F3864"/>
                <w:sz w:val="21"/>
              </w:rPr>
              <w:t xml:space="preserve">Ground</w:t>
            </w:r>
          </w:p>
        </w:tc>
        <w:tc>
          <w:tcPr>
            <w:tcW w:type="dxa" w:w="198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06"/>
            <w:shd w:val="clear" w:color="auto" w:fill="DCE6F1"/>
          </w:tcPr>
          <w:p>
            <w:pPr>
              <w:pStyle w:val="Compact"/>
              <w:spacing w:before="0" w:after="0" w:line="240" w:lineRule="auto"/>
              <w:jc w:val="left"/>
            </w:pPr>
            <w:r>
              <w:rPr>
                <w:b/>
                <w:color w:val="1F3864"/>
                <w:sz w:val="21"/>
              </w:rPr>
              <w:t xml:space="preserve">Verification done</w:t>
            </w:r>
          </w:p>
        </w:tc>
        <w:tc>
          <w:tcPr>
            <w:tcW w:type="dxa" w:w="2551"/>
            <w:shd w:val="clear" w:color="auto" w:fill="DCE6F1"/>
          </w:tcPr>
          <w:p>
            <w:pPr>
              <w:pStyle w:val="Compact"/>
              <w:spacing w:before="0" w:after="0" w:line="240" w:lineRule="auto"/>
              <w:jc w:val="left"/>
            </w:pPr>
            <w:r>
              <w:rPr>
                <w:b/>
                <w:color w:val="1F3864"/>
                <w:sz w:val="21"/>
              </w:rPr>
              <w:t xml:space="preserve">Finding and provision relied on</w:t>
            </w:r>
          </w:p>
        </w:tc>
        <w:tc>
          <w:tcPr>
            <w:tcW w:type="dxa" w:w="1417"/>
            <w:shd w:val="clear" w:color="auto" w:fill="DCE6F1"/>
          </w:tcPr>
          <w:p>
            <w:pPr>
              <w:pStyle w:val="Compact"/>
              <w:spacing w:before="0" w:after="0" w:line="240" w:lineRule="auto"/>
              <w:jc w:val="left"/>
            </w:pPr>
            <w:r>
              <w:rPr>
                <w:b/>
                <w:color w:val="1F3864"/>
                <w:sz w:val="21"/>
              </w:rPr>
              <w:t xml:space="preserve">Amount found not admissible on this ground (₹)</w:t>
            </w:r>
          </w:p>
        </w:tc>
        <w:tc>
          <w:tcPr>
            <w:tcW w:type="dxa" w:w="1039"/>
            <w:shd w:val="clear" w:color="auto" w:fill="DCE6F1"/>
          </w:tcPr>
          <w:p>
            <w:pPr>
              <w:pStyle w:val="Compact"/>
              <w:spacing w:before="0" w:after="0" w:line="240" w:lineRule="auto"/>
              <w:jc w:val="left"/>
            </w:pPr>
            <w:r>
              <w:rPr>
                <w:b/>
                <w:color w:val="1F3864"/>
                <w:sz w:val="21"/>
              </w:rPr>
              <w:t xml:space="preserve">Effect on refund (₹)</w:t>
            </w:r>
          </w:p>
        </w:tc>
      </w:tr>
      <w:tr>
        <w:tc>
          <w:tcPr>
            <w:tcW w:type="dxa" w:w="1039"/>
          </w:tcPr>
          <w:p>
            <w:pPr>
              <w:pStyle w:val="Compact"/>
              <w:spacing w:before="0" w:after="0" w:line="240" w:lineRule="auto"/>
              <w:jc w:val="left"/>
            </w:pPr>
            <w:r>
              <w:rPr>
                <w:sz w:val="21"/>
              </w:rPr>
              <w:t xml:space="preserve">1</w:t>
            </w:r>
          </w:p>
        </w:tc>
        <w:tc>
          <w:tcPr>
            <w:tcW w:type="dxa" w:w="1984"/>
          </w:tcPr>
          <w:p>
            <w:pPr>
              <w:pStyle w:val="Compact"/>
              <w:spacing w:before="0" w:after="0" w:line="240" w:lineRule="auto"/>
              <w:jc w:val="left"/>
            </w:pPr>
            <w:r>
              <w:rPr>
                <w:sz w:val="21"/>
              </w:rPr>
              <w:t xml:space="preserve">[summary of the reply on this ground]</w:t>
            </w:r>
          </w:p>
        </w:tc>
        <w:tc>
          <w:tcPr>
            <w:tcW w:type="dxa" w:w="1606"/>
          </w:tcPr>
          <w:p>
            <w:pPr>
              <w:pStyle w:val="Compact"/>
              <w:spacing w:before="0" w:after="0" w:line="240" w:lineRule="auto"/>
              <w:jc w:val="left"/>
            </w:pPr>
            <w:r>
              <w:rPr>
                <w:sz w:val="21"/>
              </w:rPr>
              <w:t xml:space="preserve">[what was checked, against which record]</w:t>
            </w:r>
          </w:p>
        </w:tc>
        <w:tc>
          <w:tcPr>
            <w:tcW w:type="dxa" w:w="2551"/>
          </w:tcPr>
          <w:p>
            <w:pPr>
              <w:pStyle w:val="Compact"/>
              <w:spacing w:before="0" w:after="0" w:line="240" w:lineRule="auto"/>
              <w:jc w:val="left"/>
            </w:pPr>
            <w:r>
              <w:rPr>
                <w:sz w:val="21"/>
              </w:rPr>
              <w:t xml:space="preserve">[Accepted / Partly accepted / Not accepted, because …; section or rule]</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2</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Further submission at hearing</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 amount found not admissible on each ground separate from its effect on the head-wise refund, and do not count an amount twice where two grounds overlap.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spacing w:before="0" w:after="120" w:line="269" w:lineRule="auto"/>
        <w:jc w:val="both"/>
      </w:pPr>
      <w:r>
        <w:t xml:space="preserve">8.4</w:t>
      </w:r>
      <w:r>
        <w:t xml:space="preserve"> </w:t>
      </w:r>
      <w:r>
        <w:rPr>
          <w:bCs/>
          <w:b/>
        </w:rPr>
        <w:t xml:space="preserve">[Option: supplies held not to be for authorised operations]</w:t>
      </w:r>
      <w:r>
        <w:t xml:space="preserve"> </w:t>
      </w:r>
      <w:r>
        <w:t xml:space="preserve">The supplies at S. Nos. [ ] of Table 1 are not for the authorised operations in Letter of Approval No. [ ] dated [DD.MM.YYYY] and so are not zero-rated supplies under section 16(1)(b) of the IGST Act. Being supplies to an SEZ, they remain inter-State supplies (section 7(5)(b) of the IGST Act), and the integrated tax of ₹[ ] paid on them was correctly payable. It is not refundable.</w:t>
      </w:r>
    </w:p>
    <w:p>
      <w:pPr>
        <w:pStyle w:val="BodyText"/>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tax paid on a zero-rated supply to an SEZ, which is not an export, so clause (a) of section 54(8) does not apply; the amount is payable to the applicant under clause (e) only if the incidence of the tax has not been passed on. The applicant has filed [the declaration under rule 89(2)(l) (claim up to two lakh rupees)] / [the certificate of a Chartered Accountant / Cost Accountant under rule 89(2)(m) (claim above two lakh rupees)], and the declaration under rule 89(2)(f) that the tax was not collected from the SEZ unit / developer, verified as stated in para 6.3. Where tax has been recovered from the recipient, the incidence is deemed to have been passed on (Explanation (ii) to rule 89); no such recovery was found [except as stated in para 6.3].</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of integrated tax paid on supplies to the SEZ under section 54(1) of the CGST Act read with sections 16(1)(b) and 16(4) of the IGST Act and Notification No. 01/2023-Integrated Tax, as amended, and that ₹[ ] is not admissible for the reasons in paras [3, 6, 7 and 8].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54(8)(e),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29"/>
        <w:gridCol w:w="995"/>
        <w:gridCol w:w="1244"/>
        <w:gridCol w:w="1513"/>
        <w:gridCol w:w="1658"/>
        <w:gridCol w:w="995"/>
        <w:gridCol w:w="1327"/>
        <w:gridCol w:w="1078"/>
      </w:tblGrid>
      <w:tr>
        <w:trPr>
          <w:tblHeader w:val="true"/>
          <w:tblHeader/>
        </w:trPr>
        <w:tc>
          <w:tcPr>
            <w:tcW w:type="dxa" w:w="829"/>
            <w:shd w:val="clear" w:color="auto" w:fill="DCE6F1"/>
          </w:tcPr>
          <w:p>
            <w:pPr>
              <w:pStyle w:val="Compact"/>
              <w:spacing w:before="0" w:after="0" w:line="240" w:lineRule="auto"/>
              <w:jc w:val="left"/>
            </w:pPr>
            <w:r>
              <w:rPr>
                <w:b/>
                <w:color w:val="1F3864"/>
                <w:sz w:val="18"/>
              </w:rPr>
              <w:t xml:space="preserve">Head</w:t>
            </w:r>
          </w:p>
        </w:tc>
        <w:tc>
          <w:tcPr>
            <w:tcW w:type="dxa" w:w="995"/>
            <w:shd w:val="clear" w:color="auto" w:fill="DCE6F1"/>
          </w:tcPr>
          <w:p>
            <w:pPr>
              <w:pStyle w:val="Compact"/>
              <w:spacing w:before="0" w:after="0" w:line="240" w:lineRule="auto"/>
              <w:jc w:val="left"/>
            </w:pPr>
            <w:r>
              <w:rPr>
                <w:b/>
                <w:color w:val="1F3864"/>
                <w:sz w:val="18"/>
              </w:rPr>
              <w:t xml:space="preserve">Claimed (₹)</w:t>
            </w:r>
          </w:p>
        </w:tc>
        <w:tc>
          <w:tcPr>
            <w:tcW w:type="dxa" w:w="1244"/>
            <w:shd w:val="clear" w:color="auto" w:fill="DCE6F1"/>
          </w:tcPr>
          <w:p>
            <w:pPr>
              <w:pStyle w:val="Compact"/>
              <w:spacing w:before="0" w:after="0" w:line="240" w:lineRule="auto"/>
              <w:jc w:val="left"/>
            </w:pPr>
            <w:r>
              <w:rPr>
                <w:b/>
                <w:color w:val="1F3864"/>
                <w:sz w:val="18"/>
              </w:rPr>
              <w:t xml:space="preserve">Admissible (₹)</w:t>
            </w:r>
          </w:p>
        </w:tc>
        <w:tc>
          <w:tcPr>
            <w:tcW w:type="dxa" w:w="1513"/>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658"/>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995"/>
            <w:shd w:val="clear" w:color="auto" w:fill="DCE6F1"/>
          </w:tcPr>
          <w:p>
            <w:pPr>
              <w:pStyle w:val="Compact"/>
              <w:spacing w:before="0" w:after="0" w:line="240" w:lineRule="auto"/>
              <w:jc w:val="left"/>
            </w:pPr>
            <w:r>
              <w:rPr>
                <w:b/>
                <w:color w:val="1F3864"/>
                <w:sz w:val="18"/>
              </w:rPr>
              <w:t xml:space="preserve">Net payable now by RFD-05 (₹)</w:t>
            </w:r>
          </w:p>
        </w:tc>
        <w:tc>
          <w:tcPr>
            <w:tcW w:type="dxa" w:w="1327"/>
            <w:shd w:val="clear" w:color="auto" w:fill="DCE6F1"/>
          </w:tcPr>
          <w:p>
            <w:pPr>
              <w:pStyle w:val="Compact"/>
              <w:spacing w:before="0" w:after="0" w:line="240" w:lineRule="auto"/>
              <w:jc w:val="left"/>
            </w:pPr>
            <w:r>
              <w:rPr>
                <w:b/>
                <w:color w:val="1F3864"/>
                <w:sz w:val="18"/>
              </w:rPr>
              <w:t xml:space="preserve">Excess provisional refund recoverable (para 11.3A) (₹)</w:t>
            </w:r>
          </w:p>
        </w:tc>
        <w:tc>
          <w:tcPr>
            <w:tcW w:type="dxa" w:w="1078"/>
            <w:shd w:val="clear" w:color="auto" w:fill="DCE6F1"/>
          </w:tcPr>
          <w:p>
            <w:pPr>
              <w:pStyle w:val="Compact"/>
              <w:spacing w:before="0" w:after="0" w:line="240" w:lineRule="auto"/>
              <w:jc w:val="left"/>
            </w:pPr>
            <w:r>
              <w:rPr>
                <w:b/>
                <w:color w:val="1F3864"/>
                <w:sz w:val="18"/>
              </w:rPr>
              <w:t xml:space="preserve">Rejected (₹)</w:t>
            </w:r>
          </w:p>
        </w:tc>
      </w:tr>
      <w:tr>
        <w:tc>
          <w:tcPr>
            <w:tcW w:type="dxa" w:w="829"/>
          </w:tcPr>
          <w:p>
            <w:pPr>
              <w:pStyle w:val="Compact"/>
              <w:spacing w:before="0" w:after="0" w:line="240" w:lineRule="auto"/>
              <w:jc w:val="left"/>
            </w:pPr>
            <w:r>
              <w:rPr>
                <w:sz w:val="18"/>
              </w:rPr>
              <w:t xml:space="preserve">IGST</w:t>
            </w:r>
          </w:p>
        </w:tc>
        <w:tc>
          <w:tcPr>
            <w:tcW w:type="dxa" w:w="995"/>
          </w:tcPr>
          <w:p>
            <w:pPr>
              <w:pStyle w:val="Compact"/>
              <w:spacing w:before="0" w:after="0" w:line="240" w:lineRule="auto"/>
              <w:jc w:val="left"/>
            </w:pPr>
            <w:r>
              <w:rPr>
                <w:sz w:val="18"/>
              </w:rPr>
              <w:t xml:space="preserve">[ ]</w:t>
            </w:r>
          </w:p>
        </w:tc>
        <w:tc>
          <w:tcPr>
            <w:tcW w:type="dxa" w:w="1244"/>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658"/>
          </w:tcPr>
          <w:p>
            <w:pPr>
              <w:pStyle w:val="Compact"/>
              <w:spacing w:before="0" w:after="0" w:line="240" w:lineRule="auto"/>
              <w:jc w:val="left"/>
            </w:pPr>
            <w:r>
              <w:rPr>
                <w:sz w:val="18"/>
              </w:rPr>
              <w:t xml:space="preserve">[ ]</w:t>
            </w:r>
          </w:p>
        </w:tc>
        <w:tc>
          <w:tcPr>
            <w:tcW w:type="dxa" w:w="995"/>
          </w:tcPr>
          <w:p>
            <w:pPr>
              <w:pStyle w:val="Compact"/>
              <w:spacing w:before="0" w:after="0" w:line="240" w:lineRule="auto"/>
              <w:jc w:val="left"/>
            </w:pPr>
            <w:r>
              <w:rPr>
                <w:sz w:val="18"/>
              </w:rPr>
              <w:t xml:space="preserve">[ ]</w:t>
            </w:r>
          </w:p>
        </w:tc>
        <w:tc>
          <w:tcPr>
            <w:tcW w:type="dxa" w:w="1327"/>
          </w:tcPr>
          <w:p>
            <w:pPr>
              <w:pStyle w:val="Compact"/>
              <w:spacing w:before="0" w:after="0" w:line="240" w:lineRule="auto"/>
              <w:jc w:val="left"/>
            </w:pPr>
            <w:r>
              <w:rPr>
                <w:sz w:val="18"/>
              </w:rPr>
              <w:t xml:space="preserve">[ ]</w:t>
            </w:r>
          </w:p>
        </w:tc>
        <w:tc>
          <w:tcPr>
            <w:tcW w:type="dxa" w:w="1078"/>
          </w:tcPr>
          <w:p>
            <w:pPr>
              <w:pStyle w:val="Compact"/>
              <w:spacing w:before="0" w:after="0" w:line="240" w:lineRule="auto"/>
              <w:jc w:val="left"/>
            </w:pPr>
            <w:r>
              <w:rPr>
                <w:sz w:val="18"/>
              </w:rPr>
              <w:t xml:space="preserve">[ ]</w:t>
            </w:r>
          </w:p>
        </w:tc>
      </w:tr>
      <w:tr>
        <w:tc>
          <w:tcPr>
            <w:tcW w:type="dxa" w:w="829"/>
          </w:tcPr>
          <w:p>
            <w:pPr>
              <w:pStyle w:val="Compact"/>
              <w:spacing w:before="0" w:after="0" w:line="240" w:lineRule="auto"/>
              <w:jc w:val="left"/>
            </w:pPr>
            <w:r>
              <w:rPr>
                <w:sz w:val="18"/>
              </w:rPr>
              <w:t xml:space="preserve">Cess</w:t>
            </w:r>
          </w:p>
        </w:tc>
        <w:tc>
          <w:tcPr>
            <w:tcW w:type="dxa" w:w="995"/>
          </w:tcPr>
          <w:p>
            <w:pPr>
              <w:pStyle w:val="Compact"/>
              <w:spacing w:before="0" w:after="0" w:line="240" w:lineRule="auto"/>
              <w:jc w:val="left"/>
            </w:pPr>
            <w:r>
              <w:rPr>
                <w:sz w:val="18"/>
              </w:rPr>
              <w:t xml:space="preserve">[ ]</w:t>
            </w:r>
          </w:p>
        </w:tc>
        <w:tc>
          <w:tcPr>
            <w:tcW w:type="dxa" w:w="1244"/>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658"/>
          </w:tcPr>
          <w:p>
            <w:pPr>
              <w:pStyle w:val="Compact"/>
              <w:spacing w:before="0" w:after="0" w:line="240" w:lineRule="auto"/>
              <w:jc w:val="left"/>
            </w:pPr>
            <w:r>
              <w:rPr>
                <w:sz w:val="18"/>
              </w:rPr>
              <w:t xml:space="preserve">[ ]</w:t>
            </w:r>
          </w:p>
        </w:tc>
        <w:tc>
          <w:tcPr>
            <w:tcW w:type="dxa" w:w="995"/>
          </w:tcPr>
          <w:p>
            <w:pPr>
              <w:pStyle w:val="Compact"/>
              <w:spacing w:before="0" w:after="0" w:line="240" w:lineRule="auto"/>
              <w:jc w:val="left"/>
            </w:pPr>
            <w:r>
              <w:rPr>
                <w:sz w:val="18"/>
              </w:rPr>
              <w:t xml:space="preserve">[ ]</w:t>
            </w:r>
          </w:p>
        </w:tc>
        <w:tc>
          <w:tcPr>
            <w:tcW w:type="dxa" w:w="1327"/>
          </w:tcPr>
          <w:p>
            <w:pPr>
              <w:pStyle w:val="Compact"/>
              <w:spacing w:before="0" w:after="0" w:line="240" w:lineRule="auto"/>
              <w:jc w:val="left"/>
            </w:pPr>
            <w:r>
              <w:rPr>
                <w:sz w:val="18"/>
              </w:rPr>
              <w:t xml:space="preserve">[ ]</w:t>
            </w:r>
          </w:p>
        </w:tc>
        <w:tc>
          <w:tcPr>
            <w:tcW w:type="dxa" w:w="1078"/>
          </w:tcPr>
          <w:p>
            <w:pPr>
              <w:pStyle w:val="Compact"/>
              <w:spacing w:before="0" w:after="0" w:line="240" w:lineRule="auto"/>
              <w:jc w:val="left"/>
            </w:pPr>
            <w:r>
              <w:rPr>
                <w:sz w:val="18"/>
              </w:rPr>
              <w:t xml:space="preserve">[ ]</w:t>
            </w:r>
          </w:p>
        </w:tc>
      </w:tr>
      <w:tr>
        <w:tc>
          <w:tcPr>
            <w:tcW w:type="dxa" w:w="829"/>
            <w:shd w:val="clear" w:color="auto" w:fill="F2F2F2"/>
          </w:tcPr>
          <w:p>
            <w:pPr>
              <w:pStyle w:val="Compact"/>
              <w:spacing w:before="0" w:after="0" w:line="240" w:lineRule="auto"/>
              <w:jc w:val="left"/>
            </w:pPr>
            <w:r>
              <w:rPr>
                <w:bCs/>
                <w:b/>
                <w:sz w:val="18"/>
              </w:rPr>
              <w:t xml:space="preserve">Total</w:t>
            </w:r>
          </w:p>
        </w:tc>
        <w:tc>
          <w:tcPr>
            <w:tcW w:type="dxa" w:w="995"/>
            <w:shd w:val="clear" w:color="auto" w:fill="F2F2F2"/>
          </w:tcPr>
          <w:p>
            <w:pPr>
              <w:pStyle w:val="Compact"/>
              <w:spacing w:before="0" w:after="0" w:line="240" w:lineRule="auto"/>
              <w:jc w:val="left"/>
            </w:pPr>
            <w:r>
              <w:rPr>
                <w:bCs/>
                <w:b/>
                <w:sz w:val="18"/>
              </w:rPr>
              <w:t xml:space="preserve">[ ]</w:t>
            </w:r>
          </w:p>
        </w:tc>
        <w:tc>
          <w:tcPr>
            <w:tcW w:type="dxa" w:w="1244"/>
            <w:shd w:val="clear" w:color="auto" w:fill="F2F2F2"/>
          </w:tcPr>
          <w:p>
            <w:pPr>
              <w:pStyle w:val="Compact"/>
              <w:spacing w:before="0" w:after="0" w:line="240" w:lineRule="auto"/>
              <w:jc w:val="left"/>
            </w:pPr>
            <w:r>
              <w:rPr>
                <w:bCs/>
                <w:b/>
                <w:sz w:val="18"/>
              </w:rPr>
              <w:t xml:space="preserve">[ ]</w:t>
            </w:r>
          </w:p>
        </w:tc>
        <w:tc>
          <w:tcPr>
            <w:tcW w:type="dxa" w:w="1513"/>
            <w:shd w:val="clear" w:color="auto" w:fill="F2F2F2"/>
          </w:tcPr>
          <w:p>
            <w:pPr>
              <w:pStyle w:val="Compact"/>
              <w:spacing w:before="0" w:after="0" w:line="240" w:lineRule="auto"/>
              <w:jc w:val="left"/>
            </w:pPr>
            <w:r>
              <w:rPr>
                <w:bCs/>
                <w:b/>
                <w:sz w:val="18"/>
              </w:rPr>
              <w:t xml:space="preserve">[ ]</w:t>
            </w:r>
          </w:p>
        </w:tc>
        <w:tc>
          <w:tcPr>
            <w:tcW w:type="dxa" w:w="1658"/>
            <w:shd w:val="clear" w:color="auto" w:fill="F2F2F2"/>
          </w:tcPr>
          <w:p>
            <w:pPr>
              <w:pStyle w:val="Compact"/>
              <w:spacing w:before="0" w:after="0" w:line="240" w:lineRule="auto"/>
              <w:jc w:val="left"/>
            </w:pPr>
            <w:r>
              <w:rPr>
                <w:bCs/>
                <w:b/>
                <w:sz w:val="18"/>
              </w:rPr>
              <w:t xml:space="preserve">[ ]</w:t>
            </w:r>
          </w:p>
        </w:tc>
        <w:tc>
          <w:tcPr>
            <w:tcW w:type="dxa" w:w="995"/>
            <w:shd w:val="clear" w:color="auto" w:fill="F2F2F2"/>
          </w:tcPr>
          <w:p>
            <w:pPr>
              <w:pStyle w:val="Compact"/>
              <w:spacing w:before="0" w:after="0" w:line="240" w:lineRule="auto"/>
              <w:jc w:val="left"/>
            </w:pPr>
            <w:r>
              <w:rPr>
                <w:bCs/>
                <w:b/>
                <w:sz w:val="18"/>
              </w:rPr>
              <w:t xml:space="preserve">[ ]</w:t>
            </w:r>
          </w:p>
        </w:tc>
        <w:tc>
          <w:tcPr>
            <w:tcW w:type="dxa" w:w="1327"/>
            <w:shd w:val="clear" w:color="auto" w:fill="F2F2F2"/>
          </w:tcPr>
          <w:p>
            <w:pPr>
              <w:pStyle w:val="Compact"/>
              <w:spacing w:before="0" w:after="0" w:line="240" w:lineRule="auto"/>
              <w:jc w:val="left"/>
            </w:pPr>
            <w:r>
              <w:rPr>
                <w:bCs/>
                <w:b/>
                <w:sz w:val="18"/>
              </w:rPr>
              <w:t xml:space="preserve">[ ]</w:t>
            </w:r>
          </w:p>
        </w:tc>
        <w:tc>
          <w:tcPr>
            <w:tcW w:type="dxa" w:w="1078"/>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Cess ₹[ ]) for the reasons in paras [3, 6, 7 and 8].</w:t>
      </w:r>
    </w:p>
    <w:p>
      <w:pPr>
        <w:pStyle w:val="BodyText"/>
        <w:spacing w:before="0" w:after="120" w:line="269" w:lineRule="auto"/>
        <w:jc w:val="both"/>
      </w:pPr>
      <w:r>
        <w:t xml:space="preserve">11.3A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Cess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11.4 [Option: Interest under section 56 on the delayed refund shall be paid by a separate order under rule 94, as stated in para 9.5.]</w:t>
      </w:r>
    </w:p>
    <w:p>
      <w:pPr>
        <w:pStyle w:val="BlockText"/>
        <w:shd w:val="clear" w:color="auto" w:fill="E7E6E6"/>
      </w:pPr>
      <w:r>
        <w:rPr>
          <w:bCs/>
          <w:b/>
          <w:sz w:val="21"/>
        </w:rPr>
        <w:t xml:space="preserve">Drafting note:</w:t>
      </w:r>
      <w:r>
        <w:rPr>
          <w:sz w:val="21"/>
        </w:rPr>
        <w:t xml:space="preserve"> </w:t>
      </w:r>
      <w:r>
        <w:rPr>
          <w:sz w:val="21"/>
        </w:rPr>
        <w:t xml:space="preserve">the tax claimed in this category was paid through the return and was not debited from any ledger when the application was filed, so there is nothing to re-credit by PMT-03 on rejection. The refund of tax paid on a zero-rated supply is paid to the bank account in full, whether the tax was originally paid in cash or through input tax credit (rule 92(1A) does not apply to zero-rated supplies). A supply to an SEZ unit or developer is always inter-State (section 7(5)(b) of the IGST Act). If a supply is held not to be for authorised operations, it is not zero-rated, and the integrated tax paid on it was correctly payable and is not refundable; state this in para 8.</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No PMT-03 re-credit arises, as the tax was not debited from a ledger on filing.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93"/>
        <w:gridCol w:w="7159"/>
        <w:gridCol w:w="1186"/>
      </w:tblGrid>
      <w:tr>
        <w:trPr>
          <w:tblHeader w:val="true"/>
          <w:tblHeader/>
        </w:trPr>
        <w:tc>
          <w:tcPr>
            <w:tcW w:type="dxa" w:w="1293"/>
            <w:shd w:val="clear" w:color="auto" w:fill="DCE6F1"/>
          </w:tcPr>
          <w:p>
            <w:pPr>
              <w:pStyle w:val="Compact"/>
              <w:spacing w:before="0" w:after="0" w:line="240" w:lineRule="auto"/>
              <w:jc w:val="left"/>
            </w:pPr>
            <w:r>
              <w:rPr>
                <w:b/>
                <w:color w:val="1F3864"/>
                <w:sz w:val="21"/>
              </w:rPr>
              <w:t xml:space="preserve">Step</w:t>
            </w:r>
          </w:p>
        </w:tc>
        <w:tc>
          <w:tcPr>
            <w:tcW w:type="dxa" w:w="7159"/>
            <w:shd w:val="clear" w:color="auto" w:fill="DCE6F1"/>
          </w:tcPr>
          <w:p>
            <w:pPr>
              <w:pStyle w:val="Compact"/>
              <w:spacing w:before="0" w:after="0" w:line="240" w:lineRule="auto"/>
              <w:jc w:val="left"/>
            </w:pPr>
            <w:r>
              <w:rPr>
                <w:b/>
                <w:color w:val="1F3864"/>
                <w:sz w:val="21"/>
              </w:rPr>
              <w:t xml:space="preserve">Working</w:t>
            </w:r>
          </w:p>
        </w:tc>
        <w:tc>
          <w:tcPr>
            <w:tcW w:type="dxa" w:w="1186"/>
            <w:shd w:val="clear" w:color="auto" w:fill="DCE6F1"/>
          </w:tcPr>
          <w:p>
            <w:pPr>
              <w:pStyle w:val="Compact"/>
              <w:spacing w:before="0" w:after="0" w:line="240" w:lineRule="auto"/>
              <w:jc w:val="left"/>
            </w:pPr>
            <w:r>
              <w:rPr>
                <w:b/>
                <w:color w:val="1F3864"/>
                <w:sz w:val="21"/>
              </w:rPr>
              <w:t xml:space="preserve">Amount (₹)</w:t>
            </w:r>
          </w:p>
        </w:tc>
      </w:tr>
      <w:tr>
        <w:tc>
          <w:tcPr>
            <w:tcW w:type="dxa" w:w="1293"/>
          </w:tcPr>
          <w:p>
            <w:pPr>
              <w:pStyle w:val="Compact"/>
              <w:spacing w:before="0" w:after="0" w:line="240" w:lineRule="auto"/>
              <w:jc w:val="left"/>
            </w:pPr>
            <w:r>
              <w:rPr>
                <w:sz w:val="21"/>
              </w:rPr>
              <w:t xml:space="preserve">Invoices</w:t>
            </w:r>
          </w:p>
        </w:tc>
        <w:tc>
          <w:tcPr>
            <w:tcW w:type="dxa" w:w="7159"/>
          </w:tcPr>
          <w:p>
            <w:pPr>
              <w:pStyle w:val="Compact"/>
              <w:spacing w:before="0" w:after="0" w:line="240" w:lineRule="auto"/>
              <w:jc w:val="left"/>
            </w:pPr>
            <w:r>
              <w:rPr>
                <w:sz w:val="21"/>
              </w:rPr>
              <w:t xml:space="preserve">A 1,08,000; B 72,000; C 18,000 (tax charged to and paid by the SEZ unit); D 36,000 (not in the Letter of Approval)</w:t>
            </w:r>
          </w:p>
        </w:tc>
        <w:tc>
          <w:tcPr>
            <w:tcW w:type="dxa" w:w="1186"/>
          </w:tcPr>
          <w:p>
            <w:pPr>
              <w:pStyle w:val="Compact"/>
              <w:spacing w:before="0" w:after="0" w:line="240" w:lineRule="auto"/>
              <w:jc w:val="left"/>
            </w:pPr>
            <w:r>
              <w:rPr>
                <w:sz w:val="21"/>
              </w:rPr>
              <w:t xml:space="preserve">2,34,000</w:t>
            </w:r>
          </w:p>
        </w:tc>
      </w:tr>
      <w:tr>
        <w:tc>
          <w:tcPr>
            <w:tcW w:type="dxa" w:w="1293"/>
          </w:tcPr>
          <w:p>
            <w:pPr>
              <w:pStyle w:val="Compact"/>
              <w:spacing w:before="0" w:after="0" w:line="240" w:lineRule="auto"/>
              <w:jc w:val="left"/>
            </w:pPr>
            <w:r>
              <w:rPr>
                <w:sz w:val="21"/>
              </w:rPr>
              <w:t xml:space="preserve">Certificate</w:t>
            </w:r>
          </w:p>
        </w:tc>
        <w:tc>
          <w:tcPr>
            <w:tcW w:type="dxa" w:w="7159"/>
          </w:tcPr>
          <w:p>
            <w:pPr>
              <w:pStyle w:val="Compact"/>
              <w:spacing w:before="0" w:after="0" w:line="240" w:lineRule="auto"/>
              <w:jc w:val="left"/>
            </w:pPr>
            <w:r>
              <w:rPr>
                <w:sz w:val="21"/>
              </w:rPr>
              <w:t xml:space="preserve">Claim above ₹2 lakh, so a CA / CMA certificate under rule 89(2)(m) is required (section 54(8)(e))</w:t>
            </w:r>
          </w:p>
        </w:tc>
        <w:tc>
          <w:tcPr>
            <w:tcW w:type="dxa" w:w="1186"/>
          </w:tcPr>
          <w:p>
            <w:pPr>
              <w:pStyle w:val="Compact"/>
              <w:spacing w:before="0" w:after="0" w:line="240" w:lineRule="auto"/>
            </w:pPr>
          </w:p>
        </w:tc>
      </w:tr>
      <w:tr>
        <w:tc>
          <w:tcPr>
            <w:tcW w:type="dxa" w:w="1293"/>
          </w:tcPr>
          <w:p>
            <w:pPr>
              <w:pStyle w:val="Compact"/>
              <w:spacing w:before="0" w:after="0" w:line="240" w:lineRule="auto"/>
              <w:jc w:val="left"/>
            </w:pPr>
            <w:r>
              <w:rPr>
                <w:sz w:val="21"/>
              </w:rPr>
              <w:t xml:space="preserve">Rejected</w:t>
            </w:r>
          </w:p>
        </w:tc>
        <w:tc>
          <w:tcPr>
            <w:tcW w:type="dxa" w:w="7159"/>
          </w:tcPr>
          <w:p>
            <w:pPr>
              <w:pStyle w:val="Compact"/>
              <w:spacing w:before="0" w:after="0" w:line="240" w:lineRule="auto"/>
              <w:jc w:val="left"/>
            </w:pPr>
            <w:r>
              <w:rPr>
                <w:sz w:val="21"/>
              </w:rPr>
              <w:t xml:space="preserve">C 18,000 (rule 89(2)(f) not met; Explanation (ii) to rule 89) + D 36,000 (not zero-rated, para 8.4)</w:t>
            </w:r>
          </w:p>
        </w:tc>
        <w:tc>
          <w:tcPr>
            <w:tcW w:type="dxa" w:w="1186"/>
          </w:tcPr>
          <w:p>
            <w:pPr>
              <w:pStyle w:val="Compact"/>
              <w:spacing w:before="0" w:after="0" w:line="240" w:lineRule="auto"/>
              <w:jc w:val="left"/>
            </w:pPr>
            <w:r>
              <w:rPr>
                <w:sz w:val="21"/>
              </w:rPr>
              <w:t xml:space="preserve">54,000</w:t>
            </w:r>
          </w:p>
        </w:tc>
      </w:tr>
      <w:tr>
        <w:tc>
          <w:tcPr>
            <w:tcW w:type="dxa" w:w="1293"/>
          </w:tcPr>
          <w:p>
            <w:pPr>
              <w:pStyle w:val="Compact"/>
              <w:spacing w:before="0" w:after="0" w:line="240" w:lineRule="auto"/>
              <w:jc w:val="left"/>
            </w:pPr>
            <w:r>
              <w:rPr>
                <w:sz w:val="21"/>
              </w:rPr>
              <w:t xml:space="preserve">Admissible</w:t>
            </w:r>
          </w:p>
        </w:tc>
        <w:tc>
          <w:tcPr>
            <w:tcW w:type="dxa" w:w="7159"/>
          </w:tcPr>
          <w:p>
            <w:pPr>
              <w:pStyle w:val="Compact"/>
              <w:spacing w:before="0" w:after="0" w:line="240" w:lineRule="auto"/>
              <w:jc w:val="left"/>
            </w:pPr>
            <w:r>
              <w:rPr>
                <w:sz w:val="21"/>
              </w:rPr>
              <w:t xml:space="preserve">2,34,000 − 54,000 (not low-risk: no provisional refund)</w:t>
            </w:r>
          </w:p>
        </w:tc>
        <w:tc>
          <w:tcPr>
            <w:tcW w:type="dxa" w:w="1186"/>
          </w:tcPr>
          <w:p>
            <w:pPr>
              <w:pStyle w:val="Compact"/>
              <w:spacing w:before="0" w:after="0" w:line="240" w:lineRule="auto"/>
              <w:jc w:val="left"/>
            </w:pPr>
            <w:r>
              <w:rPr>
                <w:sz w:val="21"/>
              </w:rPr>
              <w:t xml:space="preserve">1,80,000</w:t>
            </w:r>
          </w:p>
        </w:tc>
      </w:tr>
      <w:tr>
        <w:tc>
          <w:tcPr>
            <w:tcW w:type="dxa" w:w="1293"/>
          </w:tcPr>
          <w:p>
            <w:pPr>
              <w:pStyle w:val="Compact"/>
              <w:spacing w:before="0" w:after="0" w:line="240" w:lineRule="auto"/>
              <w:jc w:val="left"/>
            </w:pPr>
            <w:r>
              <w:rPr>
                <w:sz w:val="21"/>
              </w:rPr>
              <w:t xml:space="preserve">Adjusted</w:t>
            </w:r>
          </w:p>
        </w:tc>
        <w:tc>
          <w:tcPr>
            <w:tcW w:type="dxa" w:w="7159"/>
          </w:tcPr>
          <w:p>
            <w:pPr>
              <w:pStyle w:val="Compact"/>
              <w:spacing w:before="0" w:after="0" w:line="240" w:lineRule="auto"/>
              <w:jc w:val="left"/>
            </w:pPr>
            <w:r>
              <w:rPr>
                <w:sz w:val="21"/>
              </w:rPr>
              <w:t xml:space="preserve">Confirmed demand, not stayed, adjusted under section 54(10)(b) in this order</w:t>
            </w:r>
          </w:p>
        </w:tc>
        <w:tc>
          <w:tcPr>
            <w:tcW w:type="dxa" w:w="1186"/>
          </w:tcPr>
          <w:p>
            <w:pPr>
              <w:pStyle w:val="Compact"/>
              <w:spacing w:before="0" w:after="0" w:line="240" w:lineRule="auto"/>
              <w:jc w:val="left"/>
            </w:pPr>
            <w:r>
              <w:rPr>
                <w:sz w:val="21"/>
              </w:rPr>
              <w:t xml:space="preserve">50,000</w:t>
            </w:r>
          </w:p>
        </w:tc>
      </w:tr>
      <w:tr>
        <w:tc>
          <w:tcPr>
            <w:tcW w:type="dxa" w:w="1293"/>
          </w:tcPr>
          <w:p>
            <w:pPr>
              <w:pStyle w:val="Compact"/>
              <w:spacing w:before="0" w:after="0" w:line="240" w:lineRule="auto"/>
              <w:jc w:val="left"/>
            </w:pPr>
            <w:r>
              <w:rPr>
                <w:sz w:val="21"/>
              </w:rPr>
              <w:t xml:space="preserve">Net payable by RFD-05</w:t>
            </w:r>
          </w:p>
        </w:tc>
        <w:tc>
          <w:tcPr>
            <w:tcW w:type="dxa" w:w="7159"/>
          </w:tcPr>
          <w:p>
            <w:pPr>
              <w:pStyle w:val="Compact"/>
              <w:spacing w:before="0" w:after="0" w:line="240" w:lineRule="auto"/>
              <w:jc w:val="left"/>
            </w:pPr>
            <w:r>
              <w:rPr>
                <w:sz w:val="21"/>
              </w:rPr>
              <w:t xml:space="preserve">1,80,000 − 50,000</w:t>
            </w:r>
          </w:p>
        </w:tc>
        <w:tc>
          <w:tcPr>
            <w:tcW w:type="dxa" w:w="1186"/>
          </w:tcPr>
          <w:p>
            <w:pPr>
              <w:pStyle w:val="Compact"/>
              <w:spacing w:before="0" w:after="0" w:line="240" w:lineRule="auto"/>
              <w:jc w:val="left"/>
            </w:pPr>
            <w:r>
              <w:rPr>
                <w:sz w:val="21"/>
              </w:rPr>
              <w:t xml:space="preserve">1,30,000</w:t>
            </w: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T6: Refund of IGST paid on supplies to an SEZ unit or developer</dc:title>
  <dc:creator>Sangareddy CGST Division</dc:creator>
  <cp:keywords/>
  <dcterms:created xsi:type="dcterms:W3CDTF">2026-10-12T14:52:41Z</dcterms:created>
  <dcterms:modified xsi:type="dcterms:W3CDTF">2026-10-12T14:52:41Z</dcterms:modified>
</cp:coreProperties>
</file>

<file path=docProps/custom.xml><?xml version="1.0" encoding="utf-8"?>
<Properties xmlns="http://schemas.openxmlformats.org/officeDocument/2006/custom-properties" xmlns:vt="http://schemas.openxmlformats.org/officeDocument/2006/docPropsVTypes"/>
</file>