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BodyText"/>
        <w:spacing w:before="80" w:after="200" w:line="264" w:lineRule="auto"/>
        <w:jc w:val="center"/>
        <w:pBdr>
          <w:top w:val="single" w:sz="8" w:space="4" w:color="1F3864"/>
          <w:left w:val="single" w:sz="8" w:space="4" w:color="1F3864"/>
          <w:bottom w:val="single" w:sz="8" w:space="4" w:color="1F3864"/>
          <w:right w:val="single" w:sz="8" w:space="4" w:color="1F3864"/>
        </w:pBdr>
        <w:shd w:val="clear" w:color="auto" w:fill="EEF2F8"/>
      </w:pPr>
      <w:r>
        <w:rPr>
          <w:bCs/>
          <w:b/>
          <w:color w:val="1F3864"/>
        </w:rPr>
        <w:t xml:space="preserve">FORM GST RFD-06 [See rules 92(1), 92(3), 92(4), 92(5) and 96(7)]</w:t>
      </w:r>
      <w:r>
        <w:rPr>
          <w:color w:val="1F3864"/>
        </w:rPr>
        <w:br/>
      </w:r>
      <w:r>
        <w:rPr>
          <w:bCs/>
          <w:b/>
          <w:color w:val="1F3864"/>
        </w:rPr>
        <w:t xml:space="preserve">SPEAKING ORDER ANNEXED TO THE REFUND SANCTION / REJECTION ORDER</w:t>
      </w:r>
      <w:r>
        <w:rPr>
          <w:color w:val="1F3864"/>
        </w:rPr>
        <w:br/>
      </w:r>
      <w:r>
        <w:rPr>
          <w:bCs/>
          <w:b/>
          <w:color w:val="1F3864"/>
        </w:rPr>
        <w:t xml:space="preserve">REFUND OF EXCESS BALANCE IN THE ELECTRONIC CASH LEDGER [SECTION 49(6) READ WITH THE PROVISO TO SECTION 54(1) OF THE CGST ACT]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603"/>
        <w:gridCol w:w="7035"/>
      </w:tblGrid>
      <w:tr>
        <w:trPr>
          <w:tblHeader w:val="true"/>
          <w:tblHeader/>
        </w:trPr>
        <w:tc>
          <w:tcPr>
            <w:tcW w:type="dxa" w:w="2603"/>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035"/>
            <w:shd w:val="clear" w:color="auto" w:fill="DCE6F1"/>
          </w:tcPr>
          <w:p>
            <w:pPr>
              <w:pStyle w:val="Compact"/>
              <w:spacing w:before="0" w:after="0" w:line="240" w:lineRule="auto"/>
              <w:jc w:val="left"/>
            </w:pPr>
            <w:r>
              <w:rPr>
                <w:b/>
                <w:color w:val="1F3864"/>
                <w:sz w:val="21"/>
              </w:rPr>
              <w:t xml:space="preserve">Details</w:t>
            </w:r>
          </w:p>
        </w:tc>
      </w:tr>
      <w:tr>
        <w:tc>
          <w:tcPr>
            <w:tcW w:type="dxa" w:w="2603"/>
            <w:shd w:val="clear" w:color="auto" w:fill="F5F8FC"/>
          </w:tcPr>
          <w:p>
            <w:pPr>
              <w:pStyle w:val="Compact"/>
              <w:spacing w:before="0" w:after="0" w:line="240" w:lineRule="auto"/>
              <w:jc w:val="left"/>
            </w:pPr>
            <w:r>
              <w:rPr>
                <w:b/>
                <w:sz w:val="21"/>
              </w:rPr>
              <w:t xml:space="preserve">Order No. and date</w:t>
            </w:r>
          </w:p>
        </w:tc>
        <w:tc>
          <w:tcPr>
            <w:tcW w:type="dxa" w:w="7035"/>
          </w:tcPr>
          <w:p>
            <w:pPr>
              <w:pStyle w:val="Compact"/>
              <w:spacing w:before="0" w:after="0" w:line="240" w:lineRule="auto"/>
              <w:jc w:val="left"/>
            </w:pPr>
            <w:r>
              <w:rPr>
                <w:sz w:val="21"/>
              </w:rPr>
              <w:t xml:space="preserve">[Order No.] dated [DD.MM.YYYY]</w:t>
            </w:r>
          </w:p>
        </w:tc>
      </w:tr>
      <w:tr>
        <w:tc>
          <w:tcPr>
            <w:tcW w:type="dxa" w:w="2603"/>
            <w:shd w:val="clear" w:color="auto" w:fill="F5F8FC"/>
          </w:tcPr>
          <w:p>
            <w:pPr>
              <w:pStyle w:val="Compact"/>
              <w:spacing w:before="0" w:after="0" w:line="240" w:lineRule="auto"/>
              <w:jc w:val="left"/>
            </w:pPr>
            <w:r>
              <w:rPr>
                <w:b/>
                <w:sz w:val="21"/>
              </w:rPr>
              <w:t xml:space="preserve">Reference No. (RFN) / DIN</w:t>
            </w:r>
          </w:p>
        </w:tc>
        <w:tc>
          <w:tcPr>
            <w:tcW w:type="dxa" w:w="7035"/>
          </w:tcPr>
          <w:p>
            <w:pPr>
              <w:pStyle w:val="Compact"/>
              <w:spacing w:before="0" w:after="0" w:line="240" w:lineRule="auto"/>
              <w:jc w:val="left"/>
            </w:pPr>
            <w:r>
              <w:rPr>
                <w:sz w:val="21"/>
              </w:rPr>
              <w:t xml:space="preserve">RFN [ ] generated on the common portal. [A DIN is not required on a communication served through the portal that bears an RFN (Circular No. 249/06/2025-GST); quote a DIN on any copy sent outside the portal, such as by e-mail.]</w:t>
            </w:r>
          </w:p>
        </w:tc>
      </w:tr>
      <w:tr>
        <w:tc>
          <w:tcPr>
            <w:tcW w:type="dxa" w:w="2603"/>
            <w:shd w:val="clear" w:color="auto" w:fill="F5F8FC"/>
          </w:tcPr>
          <w:p>
            <w:pPr>
              <w:pStyle w:val="Compact"/>
              <w:spacing w:before="0" w:after="0" w:line="240" w:lineRule="auto"/>
              <w:jc w:val="left"/>
            </w:pPr>
            <w:r>
              <w:rPr>
                <w:b/>
                <w:sz w:val="21"/>
              </w:rPr>
              <w:t xml:space="preserve">Name and address of the applicant</w:t>
            </w:r>
          </w:p>
        </w:tc>
        <w:tc>
          <w:tcPr>
            <w:tcW w:type="dxa" w:w="7035"/>
          </w:tcPr>
          <w:p>
            <w:pPr>
              <w:pStyle w:val="Compact"/>
              <w:spacing w:before="0" w:after="0" w:line="240" w:lineRule="auto"/>
              <w:jc w:val="left"/>
            </w:pPr>
            <w:r>
              <w:rPr>
                <w:sz w:val="21"/>
              </w:rPr>
              <w:t xml:space="preserve">[Legal name] ([trade name]), [principal place of business]</w:t>
            </w:r>
          </w:p>
        </w:tc>
      </w:tr>
      <w:tr>
        <w:tc>
          <w:tcPr>
            <w:tcW w:type="dxa" w:w="2603"/>
            <w:shd w:val="clear" w:color="auto" w:fill="F5F8FC"/>
          </w:tcPr>
          <w:p>
            <w:pPr>
              <w:pStyle w:val="Compact"/>
              <w:spacing w:before="0" w:after="0" w:line="240" w:lineRule="auto"/>
              <w:jc w:val="left"/>
            </w:pPr>
            <w:r>
              <w:rPr>
                <w:b/>
                <w:sz w:val="21"/>
              </w:rPr>
              <w:t xml:space="preserve">GSTIN</w:t>
            </w:r>
          </w:p>
        </w:tc>
        <w:tc>
          <w:tcPr>
            <w:tcW w:type="dxa" w:w="7035"/>
          </w:tcPr>
          <w:p>
            <w:pPr>
              <w:pStyle w:val="Compact"/>
              <w:spacing w:before="0" w:after="0" w:line="240" w:lineRule="auto"/>
              <w:jc w:val="left"/>
            </w:pPr>
            <w:r>
              <w:rPr>
                <w:sz w:val="21"/>
              </w:rPr>
              <w:t xml:space="preserve">[GSTIN]</w:t>
            </w:r>
          </w:p>
        </w:tc>
      </w:tr>
      <w:tr>
        <w:tc>
          <w:tcPr>
            <w:tcW w:type="dxa" w:w="2603"/>
            <w:shd w:val="clear" w:color="auto" w:fill="F5F8FC"/>
          </w:tcPr>
          <w:p>
            <w:pPr>
              <w:pStyle w:val="Compact"/>
              <w:spacing w:before="0" w:after="0" w:line="240" w:lineRule="auto"/>
              <w:jc w:val="left"/>
            </w:pPr>
            <w:r>
              <w:rPr>
                <w:b/>
                <w:sz w:val="21"/>
              </w:rPr>
              <w:t xml:space="preserve">Refund category as selected in RFD-01</w:t>
            </w:r>
          </w:p>
        </w:tc>
        <w:tc>
          <w:tcPr>
            <w:tcW w:type="dxa" w:w="7035"/>
          </w:tcPr>
          <w:p>
            <w:pPr>
              <w:pStyle w:val="Compact"/>
              <w:spacing w:before="0" w:after="0" w:line="240" w:lineRule="auto"/>
              <w:jc w:val="left"/>
            </w:pPr>
            <w:r>
              <w:rPr>
                <w:sz w:val="21"/>
              </w:rPr>
              <w:t xml:space="preserve">Excess balance in electronic cash ledger</w:t>
            </w:r>
          </w:p>
        </w:tc>
      </w:tr>
      <w:tr>
        <w:tc>
          <w:tcPr>
            <w:tcW w:type="dxa" w:w="2603"/>
            <w:shd w:val="clear" w:color="auto" w:fill="F5F8FC"/>
          </w:tcPr>
          <w:p>
            <w:pPr>
              <w:pStyle w:val="Compact"/>
              <w:spacing w:before="0" w:after="0" w:line="240" w:lineRule="auto"/>
              <w:jc w:val="left"/>
            </w:pPr>
            <w:r>
              <w:rPr>
                <w:b/>
                <w:sz w:val="21"/>
              </w:rPr>
              <w:t xml:space="preserve">Balance claimed as on</w:t>
            </w:r>
          </w:p>
        </w:tc>
        <w:tc>
          <w:tcPr>
            <w:tcW w:type="dxa" w:w="7035"/>
          </w:tcPr>
          <w:p>
            <w:pPr>
              <w:pStyle w:val="Compact"/>
              <w:spacing w:before="0" w:after="0" w:line="240" w:lineRule="auto"/>
              <w:jc w:val="left"/>
            </w:pPr>
            <w:r>
              <w:rPr>
                <w:sz w:val="21"/>
              </w:rPr>
              <w:t xml:space="preserve">[DD.MM.YYYY]</w:t>
            </w:r>
          </w:p>
        </w:tc>
      </w:tr>
      <w:tr>
        <w:tc>
          <w:tcPr>
            <w:tcW w:type="dxa" w:w="2603"/>
            <w:shd w:val="clear" w:color="auto" w:fill="F5F8FC"/>
          </w:tcPr>
          <w:p>
            <w:pPr>
              <w:pStyle w:val="Compact"/>
              <w:spacing w:before="0" w:after="0" w:line="240" w:lineRule="auto"/>
              <w:jc w:val="left"/>
            </w:pPr>
            <w:r>
              <w:rPr>
                <w:b/>
                <w:sz w:val="21"/>
              </w:rPr>
              <w:t xml:space="preserve">ARN and date of filing of RFD-01</w:t>
            </w:r>
          </w:p>
        </w:tc>
        <w:tc>
          <w:tcPr>
            <w:tcW w:type="dxa" w:w="7035"/>
          </w:tcPr>
          <w:p>
            <w:pPr>
              <w:pStyle w:val="Compact"/>
              <w:spacing w:before="0" w:after="0" w:line="240" w:lineRule="auto"/>
              <w:jc w:val="left"/>
            </w:pPr>
            <w:r>
              <w:rPr>
                <w:sz w:val="21"/>
              </w:rPr>
              <w:t xml:space="preserve">[ARN] dated [DD.MM.YYYY]</w:t>
            </w:r>
          </w:p>
        </w:tc>
      </w:tr>
      <w:tr>
        <w:tc>
          <w:tcPr>
            <w:tcW w:type="dxa" w:w="2603"/>
            <w:shd w:val="clear" w:color="auto" w:fill="F5F8FC"/>
          </w:tcPr>
          <w:p>
            <w:pPr>
              <w:pStyle w:val="Compact"/>
              <w:spacing w:before="0" w:after="0" w:line="240" w:lineRule="auto"/>
              <w:jc w:val="left"/>
            </w:pPr>
            <w:r>
              <w:rPr>
                <w:b/>
                <w:sz w:val="21"/>
              </w:rPr>
              <w:t xml:space="preserve">Acknowledgement (RFD-02)</w:t>
            </w:r>
          </w:p>
        </w:tc>
        <w:tc>
          <w:tcPr>
            <w:tcW w:type="dxa" w:w="7035"/>
          </w:tcPr>
          <w:p>
            <w:pPr>
              <w:pStyle w:val="Compact"/>
              <w:spacing w:before="0" w:after="0" w:line="240" w:lineRule="auto"/>
              <w:jc w:val="left"/>
            </w:pPr>
            <w:r>
              <w:rPr>
                <w:sz w:val="21"/>
              </w:rPr>
              <w:t xml:space="preserve">Generated automatically on filing, [DD.MM.YYYY] (rule 90(1))</w:t>
            </w:r>
          </w:p>
        </w:tc>
      </w:tr>
      <w:tr>
        <w:tc>
          <w:tcPr>
            <w:tcW w:type="dxa" w:w="2603"/>
            <w:shd w:val="clear" w:color="auto" w:fill="F5F8FC"/>
          </w:tcPr>
          <w:p>
            <w:pPr>
              <w:pStyle w:val="Compact"/>
              <w:spacing w:before="0" w:after="0" w:line="240" w:lineRule="auto"/>
              <w:jc w:val="left"/>
            </w:pPr>
            <w:r>
              <w:rPr>
                <w:b/>
                <w:sz w:val="21"/>
              </w:rPr>
              <w:t xml:space="preserve">Date of receipt of the application for section 54(7) and section 56</w:t>
            </w:r>
          </w:p>
        </w:tc>
        <w:tc>
          <w:tcPr>
            <w:tcW w:type="dxa" w:w="7035"/>
          </w:tcPr>
          <w:p>
            <w:pPr>
              <w:pStyle w:val="Compact"/>
              <w:spacing w:before="0" w:after="0" w:line="240" w:lineRule="auto"/>
              <w:jc w:val="left"/>
            </w:pPr>
            <w:r>
              <w:rPr>
                <w:sz w:val="21"/>
              </w:rPr>
              <w:t xml:space="preserve">[DD.MM.YYYY], the date of filing (rule 90(1)); sixty days end on [DD.MM.YYYY]</w:t>
            </w:r>
          </w:p>
        </w:tc>
      </w:tr>
      <w:tr>
        <w:tc>
          <w:tcPr>
            <w:tcW w:type="dxa" w:w="2603"/>
            <w:shd w:val="clear" w:color="auto" w:fill="F5F8FC"/>
          </w:tcPr>
          <w:p>
            <w:pPr>
              <w:pStyle w:val="Compact"/>
              <w:spacing w:before="0" w:after="0" w:line="240" w:lineRule="auto"/>
              <w:jc w:val="left"/>
            </w:pPr>
            <w:r>
              <w:rPr>
                <w:b/>
                <w:sz w:val="21"/>
              </w:rPr>
              <w:t xml:space="preserve">Provisional refund (RFD-04)</w:t>
            </w:r>
          </w:p>
        </w:tc>
        <w:tc>
          <w:tcPr>
            <w:tcW w:type="dxa" w:w="7035"/>
          </w:tcPr>
          <w:p>
            <w:pPr>
              <w:pStyle w:val="Compact"/>
              <w:spacing w:before="0" w:after="0" w:line="240" w:lineRule="auto"/>
              <w:jc w:val="left"/>
            </w:pPr>
            <w:r>
              <w:rPr>
                <w:sz w:val="21"/>
              </w:rPr>
              <w:t xml:space="preserve">Not applicable (section 54(6) covers only zero-rated supplies)</w:t>
            </w:r>
          </w:p>
        </w:tc>
      </w:tr>
      <w:tr>
        <w:tc>
          <w:tcPr>
            <w:tcW w:type="dxa" w:w="2603"/>
            <w:shd w:val="clear" w:color="auto" w:fill="F5F8FC"/>
          </w:tcPr>
          <w:p>
            <w:pPr>
              <w:pStyle w:val="Compact"/>
              <w:spacing w:before="0" w:after="0" w:line="240" w:lineRule="auto"/>
              <w:jc w:val="left"/>
            </w:pPr>
            <w:r>
              <w:rPr>
                <w:b/>
                <w:sz w:val="21"/>
              </w:rPr>
              <w:t xml:space="preserve">Notice (RFD-08) and reply (RFD-09)</w:t>
            </w:r>
          </w:p>
        </w:tc>
        <w:tc>
          <w:tcPr>
            <w:tcW w:type="dxa" w:w="7035"/>
          </w:tcPr>
          <w:p>
            <w:pPr>
              <w:pStyle w:val="Compact"/>
              <w:spacing w:before="0" w:after="0" w:line="240" w:lineRule="auto"/>
              <w:jc w:val="left"/>
            </w:pPr>
            <w:r>
              <w:rPr>
                <w:sz w:val="21"/>
              </w:rPr>
              <w:t xml:space="preserve">[RFD-08 No. [ ] dated [DD.MM.YYYY]; reply dated [DD.MM.YYYY]] / [Not issued, as the claim is sanctioned in full]</w:t>
            </w:r>
          </w:p>
        </w:tc>
      </w:tr>
      <w:tr>
        <w:tc>
          <w:tcPr>
            <w:tcW w:type="dxa" w:w="2603"/>
            <w:shd w:val="clear" w:color="auto" w:fill="F5F8FC"/>
          </w:tcPr>
          <w:p>
            <w:pPr>
              <w:pStyle w:val="Compact"/>
              <w:spacing w:before="0" w:after="0" w:line="240" w:lineRule="auto"/>
              <w:jc w:val="left"/>
            </w:pPr>
            <w:r>
              <w:rPr>
                <w:b/>
                <w:sz w:val="21"/>
              </w:rPr>
              <w:t xml:space="preserve">Personal hearing</w:t>
            </w:r>
          </w:p>
        </w:tc>
        <w:tc>
          <w:tcPr>
            <w:tcW w:type="dxa" w:w="7035"/>
          </w:tcPr>
          <w:p>
            <w:pPr>
              <w:pStyle w:val="Compact"/>
              <w:spacing w:before="0" w:after="0" w:line="240" w:lineRule="auto"/>
              <w:jc w:val="left"/>
            </w:pPr>
            <w:r>
              <w:rPr>
                <w:sz w:val="21"/>
              </w:rPr>
              <w:t xml:space="preserve">[DD.MM.YYYY], attended by [designation of the authorised representative] / [Not required, as the claim is sanctioned in full]</w:t>
            </w:r>
          </w:p>
        </w:tc>
      </w:tr>
      <w:tr>
        <w:tc>
          <w:tcPr>
            <w:tcW w:type="dxa" w:w="2603"/>
            <w:shd w:val="clear" w:color="auto" w:fill="F5F8FC"/>
          </w:tcPr>
          <w:p>
            <w:pPr>
              <w:pStyle w:val="Compact"/>
              <w:spacing w:before="0" w:after="0" w:line="240" w:lineRule="auto"/>
              <w:jc w:val="left"/>
            </w:pPr>
            <w:r>
              <w:rPr>
                <w:b/>
                <w:sz w:val="21"/>
              </w:rPr>
              <w:t xml:space="preserve">Amount claimed</w:t>
            </w:r>
          </w:p>
        </w:tc>
        <w:tc>
          <w:tcPr>
            <w:tcW w:type="dxa" w:w="7035"/>
          </w:tcPr>
          <w:p>
            <w:pPr>
              <w:pStyle w:val="Compact"/>
              <w:spacing w:before="0" w:after="0" w:line="240" w:lineRule="auto"/>
              <w:jc w:val="left"/>
            </w:pPr>
            <w:r>
              <w:rPr>
                <w:sz w:val="21"/>
              </w:rPr>
              <w:t xml:space="preserve">IGST ₹[ ]; CGST ₹[ ]; SGST/UTGST ₹[ ]; Cess ₹[ ]; Total ₹[ ]</w:t>
            </w:r>
          </w:p>
        </w:tc>
      </w:tr>
      <w:tr>
        <w:tc>
          <w:tcPr>
            <w:tcW w:type="dxa" w:w="2603"/>
            <w:shd w:val="clear" w:color="auto" w:fill="F5F8FC"/>
          </w:tcPr>
          <w:p>
            <w:pPr>
              <w:pStyle w:val="Compact"/>
              <w:spacing w:before="0" w:after="0" w:line="240" w:lineRule="auto"/>
              <w:jc w:val="left"/>
            </w:pPr>
            <w:r>
              <w:rPr>
                <w:b/>
                <w:sz w:val="21"/>
              </w:rPr>
              <w:t xml:space="preserve">Result</w:t>
            </w:r>
          </w:p>
        </w:tc>
        <w:tc>
          <w:tcPr>
            <w:tcW w:type="dxa" w:w="7035"/>
          </w:tcPr>
          <w:p>
            <w:pPr>
              <w:pStyle w:val="Compact"/>
              <w:spacing w:before="0" w:after="0" w:line="240" w:lineRule="auto"/>
              <w:jc w:val="left"/>
            </w:pPr>
            <w:r>
              <w:rPr>
                <w:sz w:val="21"/>
              </w:rPr>
              <w:t xml:space="preserve">Sanctioned ₹[ ]; Rejected ₹[ ]; Adjusted against dues / withheld ₹[ ] (head-wise details in para 11)</w:t>
            </w:r>
          </w:p>
        </w:tc>
      </w:tr>
    </w:tbl>
    <w:p>
      <w:pPr>
        <w:pStyle w:val="BodyText"/>
        <w:keepNext/>
        <w:spacing w:before="240" w:after="80"/>
        <w:jc w:val="center"/>
        <w:pBdr>
          <w:bottom w:val="single" w:sz="6" w:space="1" w:color="B4C6E7"/>
        </w:pBdr>
      </w:pPr>
      <w:r>
        <w:rPr>
          <w:bCs/>
          <w:b/>
          <w:color w:val="1F3864"/>
          <w:sz w:val="25"/>
        </w:rPr>
        <w:t xml:space="preserve">IMPORTANT NOTE FOR THE APPLICANT</w:t>
      </w:r>
    </w:p>
    <w:p>
      <w:pPr>
        <w:numPr>
          <w:ilvl w:val="0"/>
          <w:numId w:val="1001"/>
        </w:numPr>
        <w:pStyle w:val="Compact"/>
        <w:spacing w:before="0" w:after="120" w:line="269" w:lineRule="auto"/>
      </w:pPr>
      <w:r>
        <w:t xml:space="preserve">This copy is granted free of charge for the private use of the person to whom it is issued.</w:t>
      </w:r>
    </w:p>
    <w:p>
      <w:pPr>
        <w:numPr>
          <w:ilvl w:val="0"/>
          <w:numId w:val="1001"/>
        </w:numPr>
        <w:pStyle w:val="Compact"/>
        <w:spacing w:before="0" w:after="120" w:line="269" w:lineRule="auto"/>
      </w:pPr>
      <w:r>
        <w:t xml:space="preserve">Any person aggrieved by this order may appeal under section 107(1) of the Central Goods and Services Tax Act, 2017 (the CGST Act) to the Commissioner (Appeals-II), Hyderabad, Headquarters Office, 7th Floor, L.B. Stadium Road, Basheerbagh, Hyderabad – 500 004 (rule 109A(1)(b) of the CGST Rules, 2017) within</w:t>
      </w:r>
      <w:r>
        <w:t xml:space="preserve"> </w:t>
      </w:r>
      <w:r>
        <w:rPr>
          <w:bCs/>
          <w:b/>
        </w:rPr>
        <w:t xml:space="preserve">three months</w:t>
      </w:r>
      <w:r>
        <w:t xml:space="preserve"> </w:t>
      </w:r>
      <w:r>
        <w:t xml:space="preserve">from the date on which this order is communicated. Under section 107(4), the Appellate Authority may allow a further period of</w:t>
      </w:r>
      <w:r>
        <w:t xml:space="preserve"> </w:t>
      </w:r>
      <w:r>
        <w:rPr>
          <w:bCs/>
          <w:b/>
        </w:rPr>
        <w:t xml:space="preserve">one month</w:t>
      </w:r>
      <w:r>
        <w:t xml:space="preserve"> </w:t>
      </w:r>
      <w:r>
        <w:t xml:space="preserve">if satisfied that there was sufficient cause.</w:t>
      </w:r>
    </w:p>
    <w:p>
      <w:pPr>
        <w:numPr>
          <w:ilvl w:val="0"/>
          <w:numId w:val="1001"/>
        </w:numPr>
        <w:pStyle w:val="Compact"/>
        <w:spacing w:before="0" w:after="120" w:line="269" w:lineRule="auto"/>
      </w:pPr>
      <w:r>
        <w:t xml:space="preserve">The appeal is to be filed</w:t>
      </w:r>
      <w:r>
        <w:t xml:space="preserve"> </w:t>
      </w:r>
      <w:r>
        <w:rPr>
          <w:bCs/>
          <w:b/>
        </w:rPr>
        <w:t xml:space="preserve">electronically in FORM GST APL-01 on the common portal</w:t>
      </w:r>
      <w:r>
        <w:t xml:space="preserve">, with the documents uploaded there (rule 108). No court fee stamp is required. As this order is available on the common portal, no copy of it need be filed; if it is not available there, a self-certified copy is to be submitted within seven days of filing APL-01, failing which the appeal is treated as filed on the date the copy is submitted (rule 108(3)).</w:t>
      </w:r>
    </w:p>
    <w:p>
      <w:pPr>
        <w:numPr>
          <w:ilvl w:val="0"/>
          <w:numId w:val="1001"/>
        </w:numPr>
        <w:pStyle w:val="Compact"/>
        <w:spacing w:before="0" w:after="120" w:line="269" w:lineRule="auto"/>
      </w:pPr>
      <w:r>
        <w:t xml:space="preserve">Under section 107(6), no appeal can be filed unless the appellant has paid (a) in full, the part of the tax, interest, fine, fee and penalty arising from this order that is admitted; and (b) ten per cent of the remaining</w:t>
      </w:r>
      <w:r>
        <w:t xml:space="preserve"> </w:t>
      </w:r>
      <w:r>
        <w:rPr>
          <w:bCs/>
          <w:b/>
        </w:rPr>
        <w:t xml:space="preserve">tax in dispute</w:t>
      </w:r>
      <w:r>
        <w:t xml:space="preserve"> </w:t>
      </w:r>
      <w:r>
        <w:t xml:space="preserve">arising from this order, subject to a maximum of twenty crore rupees. Where an order demands only a penalty without any demand of tax, ten per cent of that penalty is payable (proviso to section 107(6)). [Drafting note: where this order only sanctions or rejects a refund and confirms no demand, no tax is</w:t>
      </w:r>
      <w:r>
        <w:t xml:space="preserve"> </w:t>
      </w:r>
      <w:r>
        <w:t xml:space="preserve">“</w:t>
      </w:r>
      <w:r>
        <w:t xml:space="preserve">in dispute</w:t>
      </w:r>
      <w:r>
        <w:t xml:space="preserve">”</w:t>
      </w:r>
      <w:r>
        <w:t xml:space="preserve"> </w:t>
      </w:r>
      <w:r>
        <w:t xml:space="preserve">under section 107(6); keep this paragraph unchanged, as it is a general statement of the law.]</w:t>
      </w:r>
    </w:p>
    <w:p>
      <w:pPr>
        <w:numPr>
          <w:ilvl w:val="0"/>
          <w:numId w:val="1001"/>
        </w:numPr>
        <w:pStyle w:val="Compact"/>
        <w:spacing w:before="0" w:after="120" w:line="269" w:lineRule="auto"/>
      </w:pPr>
      <w:r>
        <w:t xml:space="preserve">This order is passed under the CGST Act and the CGST Rules, and also under the corresponding provisions of the [State] GST Act, 2017 / Union Territory GST Act, 2017 and the Integrated Goods and Services Tax Act, 2017 (the IGST Act), as applicable (the State or Union Territory portion is decided under section 6 of the State GST Act or the Union Territory GST Act, as the case may be; IGST under section 20 of the IGST Act). The sanction and payment orders for all tax heads are issued by this office, to which the application is assigned (para 27 of Circular No. 125/44/2019-GST). A reference to a provision of the CGST Act or Rules includes the corresponding provision of those Acts and Rules.</w:t>
      </w:r>
    </w:p>
    <w:p>
      <w:pPr>
        <w:pStyle w:val="FirstParagraph"/>
        <w:keepNext/>
        <w:spacing w:before="240" w:after="80"/>
        <w:pBdr>
          <w:bottom w:val="single" w:sz="6" w:space="1" w:color="B4C6E7"/>
        </w:pBdr>
      </w:pPr>
      <w:r>
        <w:rPr>
          <w:bCs/>
          <w:b/>
          <w:color w:val="1F3864"/>
          <w:sz w:val="25"/>
        </w:rPr>
        <w:t xml:space="preserve">1. Brief facts</w:t>
      </w:r>
    </w:p>
    <w:p>
      <w:pPr>
        <w:pStyle w:val="BodyText"/>
        <w:spacing w:before="0" w:after="120" w:line="269" w:lineRule="auto"/>
        <w:jc w:val="both"/>
      </w:pPr>
      <w:r>
        <w:t xml:space="preserve">1.1 [Legal name] (the applicant), registered under GSTIN [ ], filed FORM GST RFD-01 under ARN [ ] dated [DD.MM.YYYY] for refund of ₹[ ] (IGST ₹[ ], CGST ₹[ ], SGST ₹[ ], Cess ₹[ ]), being the balance in its electronic cash ledger [as on [DD.MM.YYYY]]. The amount was debited from the electronic cash ledger on filing. The applicant states that the balance arose because [reason given, for example: tax deposited by challan for [month] was later paid through the credit ledger / an excess deposit by mistake / TDS or TCS credited under section 51 or 52 / a deposit made during an inquiry that was not adjusted / the business has closed].</w:t>
      </w:r>
    </w:p>
    <w:p>
      <w:pPr>
        <w:pStyle w:val="BodyText"/>
        <w:spacing w:before="0" w:after="120" w:line="269" w:lineRule="auto"/>
        <w:jc w:val="both"/>
      </w:pPr>
      <w:r>
        <w:t xml:space="preserve">1.2 Under rule 90(1), an application for refund from the electronic cash ledger is acknowledged in FORM GST RFD-02 automatically on the portal, and the time in section 54(7) runs from the date of filing.</w:t>
      </w:r>
    </w:p>
    <w:p>
      <w:pPr>
        <w:pStyle w:val="BodyText"/>
        <w:keepNext/>
        <w:spacing w:before="240" w:after="80"/>
        <w:pBdr>
          <w:bottom w:val="single" w:sz="6" w:space="1" w:color="B4C6E7"/>
        </w:pBdr>
      </w:pPr>
      <w:r>
        <w:rPr>
          <w:bCs/>
          <w:b/>
          <w:color w:val="1F3864"/>
          <w:sz w:val="25"/>
        </w:rPr>
        <w:t xml:space="preserve">2. Legal provisions</w:t>
      </w:r>
    </w:p>
    <w:p>
      <w:pPr>
        <w:pStyle w:val="BodyText"/>
        <w:spacing w:before="0" w:after="120" w:line="269" w:lineRule="auto"/>
        <w:jc w:val="both"/>
      </w:pPr>
      <w:r>
        <w:t xml:space="preserve">2.1 Under section 49(6) of the CGST Act, the balance in the electronic cash ledger after payment of tax, interest, penalty, fee or any other amount payable under the Act or the rules may be refunded in accordance with section 54. Under the proviso to section 54(1), a registered person claiming refund of any balance in the electronic cash ledger under section 49(6) may claim it in the form and manner prescribed, which is FORM GST RFD-01 under rule 89(1).</w:t>
      </w:r>
    </w:p>
    <w:p>
      <w:pPr>
        <w:pStyle w:val="BodyText"/>
        <w:spacing w:before="0" w:after="120" w:line="269" w:lineRule="auto"/>
        <w:jc w:val="both"/>
      </w:pPr>
      <w:r>
        <w:t xml:space="preserve">2.2 Circular No. 166/22/2021-GST clarifies that (i) the time limit in section 54(1) does not apply to refund of excess balance in the electronic cash ledger (S. No. 1); (ii) no certificate or declaration under rule 89(2)(l) or (m) is required, as unjust enrichment does not apply (S. No. 2); and (iii) TDS and TCS credited to the electronic cash ledger under sections 51 and 52 are equivalent to cash deposited, and any amount left unutilised after discharge of tax and other dues can be refunded as excess balance (S. No. 3).</w:t>
      </w:r>
    </w:p>
    <w:p>
      <w:pPr>
        <w:pStyle w:val="BodyText"/>
        <w:spacing w:before="0" w:after="120" w:line="269" w:lineRule="auto"/>
        <w:jc w:val="both"/>
      </w:pPr>
      <w:r>
        <w:t xml:space="preserve">2.3 Under section 54(10), where the applicant has defaulted in furnishing any return or is required to pay any tax, interest or penalty that has not been stayed by the specified date, the proper officer may withhold the refund, or deduct the unpaid amount from it. This, and not rejection, is the way to deal with dues.</w:t>
      </w:r>
    </w:p>
    <w:p>
      <w:pPr>
        <w:pStyle w:val="BodyText"/>
        <w:keepNext/>
        <w:spacing w:before="240" w:after="80"/>
        <w:pBdr>
          <w:bottom w:val="single" w:sz="6" w:space="1" w:color="B4C6E7"/>
        </w:pBdr>
      </w:pPr>
      <w:r>
        <w:rPr>
          <w:bCs/>
          <w:b/>
          <w:color w:val="1F3864"/>
          <w:sz w:val="25"/>
        </w:rPr>
        <w:t xml:space="preserve">3. Limitation</w:t>
      </w:r>
    </w:p>
    <w:p>
      <w:pPr>
        <w:pStyle w:val="BodyText"/>
        <w:spacing w:before="0" w:after="120" w:line="269" w:lineRule="auto"/>
      </w:pPr>
      <w:r>
        <w:t xml:space="preserve">3.1 In terms of S. No. 1 of Circular No. 166/22/2021-GST, the time limit in section 54(1) does not apply to this claim.</w:t>
      </w:r>
    </w:p>
    <w:p>
      <w:pPr>
        <w:pStyle w:val="BodyText"/>
        <w:keepNext/>
        <w:spacing w:before="240" w:after="80"/>
        <w:pBdr>
          <w:bottom w:val="single" w:sz="6" w:space="1" w:color="B4C6E7"/>
        </w:pBdr>
      </w:pPr>
      <w:r>
        <w:rPr>
          <w:bCs/>
          <w:b/>
          <w:color w:val="1F3864"/>
          <w:sz w:val="25"/>
        </w:rPr>
        <w:t xml:space="preserve">4. Other conditions for admissibility</w:t>
      </w:r>
    </w:p>
    <w:p>
      <w:pPr>
        <w:pStyle w:val="BodyText"/>
        <w:spacing w:before="0" w:after="120" w:line="269" w:lineRule="auto"/>
        <w:jc w:val="both"/>
      </w:pPr>
      <w:r>
        <w:t xml:space="preserve">4.1 The amount claimed was debited from the electronic cash ledger on filing (debit entry No. [ ] dated [DD.MM.YYYY]). The back-office refund history shows no other claim for the same balance. The applicant [has / has not] undergone Aadhaar authentication under rule 10B [if not, the application is not processed further until it is done (rule 89(1) read with rule 10B)].</w:t>
      </w:r>
    </w:p>
    <w:p>
      <w:pPr>
        <w:pStyle w:val="BodyText"/>
        <w:keepNext/>
        <w:spacing w:before="240" w:after="80"/>
        <w:pBdr>
          <w:bottom w:val="single" w:sz="6" w:space="1" w:color="B4C6E7"/>
        </w:pBdr>
      </w:pPr>
      <w:r>
        <w:rPr>
          <w:bCs/>
          <w:b/>
          <w:color w:val="1F3864"/>
          <w:sz w:val="25"/>
        </w:rPr>
        <w:t xml:space="preserve">5. Provisional refund</w:t>
      </w:r>
    </w:p>
    <w:p>
      <w:pPr>
        <w:pStyle w:val="BodyText"/>
        <w:spacing w:before="0" w:after="120" w:line="269" w:lineRule="auto"/>
        <w:jc w:val="both"/>
      </w:pPr>
      <w:r>
        <w:t xml:space="preserve">5.1 Provisional refund under section 54(6) applies only to zero-rated supplies [and, from the date section 155 of the Finance Act, 2026 is brought into force, to inverted-duty refunds]. It is not applicable to this category.</w:t>
      </w:r>
    </w:p>
    <w:p>
      <w:pPr>
        <w:pStyle w:val="BodyText"/>
        <w:keepNext/>
        <w:spacing w:before="240" w:after="80"/>
        <w:pBdr>
          <w:bottom w:val="single" w:sz="6" w:space="1" w:color="B4C6E7"/>
        </w:pBdr>
      </w:pPr>
      <w:r>
        <w:rPr>
          <w:bCs/>
          <w:b/>
          <w:color w:val="1F3864"/>
          <w:sz w:val="25"/>
        </w:rPr>
        <w:t xml:space="preserve">6. Verification of the cash balance</w:t>
      </w:r>
    </w:p>
    <w:p>
      <w:pPr>
        <w:pStyle w:val="BodyText"/>
        <w:spacing w:before="0" w:after="120" w:line="269" w:lineRule="auto"/>
        <w:jc w:val="both"/>
      </w:pPr>
      <w:r>
        <w:t xml:space="preserve">6.1</w:t>
      </w:r>
      <w:r>
        <w:t xml:space="preserve"> </w:t>
      </w:r>
      <w:r>
        <w:rPr>
          <w:bCs/>
          <w:b/>
        </w:rPr>
        <w:t xml:space="preserve">Source of the balance.</w:t>
      </w:r>
      <w:r>
        <w:t xml:space="preserve"> </w:t>
      </w:r>
      <w:r>
        <w:t xml:space="preserve">The electronic cash ledger for [period] was examined entry by entry. The balance claimed is made up as follows:</w:t>
      </w:r>
    </w:p>
    <w:p>
      <w:pPr>
        <w:pStyle w:val="BodyText"/>
        <w:spacing w:before="0" w:after="120" w:line="269" w:lineRule="auto"/>
      </w:pPr>
      <w:r>
        <w:rPr>
          <w:iCs/>
          <w:i/>
        </w:rPr>
        <w:t xml:space="preserve">Table 1: Composition of the balance claimed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717"/>
        <w:gridCol w:w="2009"/>
        <w:gridCol w:w="1531"/>
        <w:gridCol w:w="933"/>
        <w:gridCol w:w="1363"/>
        <w:gridCol w:w="1148"/>
        <w:gridCol w:w="1076"/>
        <w:gridCol w:w="861"/>
      </w:tblGrid>
      <w:tr>
        <w:trPr>
          <w:tblHeader w:val="true"/>
          <w:tblHeader/>
        </w:trPr>
        <w:tc>
          <w:tcPr>
            <w:tcW w:type="dxa" w:w="717"/>
            <w:shd w:val="clear" w:color="auto" w:fill="DCE6F1"/>
          </w:tcPr>
          <w:p>
            <w:pPr>
              <w:pStyle w:val="Compact"/>
              <w:spacing w:before="0" w:after="0" w:line="240" w:lineRule="auto"/>
              <w:jc w:val="left"/>
            </w:pPr>
            <w:r>
              <w:rPr>
                <w:b/>
                <w:color w:val="1F3864"/>
                <w:sz w:val="18"/>
              </w:rPr>
              <w:t xml:space="preserve">S. No.</w:t>
            </w:r>
          </w:p>
        </w:tc>
        <w:tc>
          <w:tcPr>
            <w:tcW w:type="dxa" w:w="2009"/>
            <w:shd w:val="clear" w:color="auto" w:fill="DCE6F1"/>
          </w:tcPr>
          <w:p>
            <w:pPr>
              <w:pStyle w:val="Compact"/>
              <w:spacing w:before="0" w:after="0" w:line="240" w:lineRule="auto"/>
              <w:jc w:val="left"/>
            </w:pPr>
            <w:r>
              <w:rPr>
                <w:b/>
                <w:color w:val="1F3864"/>
                <w:sz w:val="18"/>
              </w:rPr>
              <w:t xml:space="preserve">Credit entry: challan (CPIN / CIN) and date, or TDS / TCS credit for [month]</w:t>
            </w:r>
          </w:p>
        </w:tc>
        <w:tc>
          <w:tcPr>
            <w:tcW w:type="dxa" w:w="1531"/>
            <w:shd w:val="clear" w:color="auto" w:fill="DCE6F1"/>
          </w:tcPr>
          <w:p>
            <w:pPr>
              <w:pStyle w:val="Compact"/>
              <w:spacing w:before="0" w:after="0" w:line="240" w:lineRule="auto"/>
              <w:jc w:val="left"/>
            </w:pPr>
            <w:r>
              <w:rPr>
                <w:b/>
                <w:color w:val="1F3864"/>
                <w:sz w:val="18"/>
              </w:rPr>
              <w:t xml:space="preserve">Major head / minor head (tax, interest, penalty, fee, others)</w:t>
            </w:r>
          </w:p>
        </w:tc>
        <w:tc>
          <w:tcPr>
            <w:tcW w:type="dxa" w:w="933"/>
            <w:shd w:val="clear" w:color="auto" w:fill="DCE6F1"/>
          </w:tcPr>
          <w:p>
            <w:pPr>
              <w:pStyle w:val="Compact"/>
              <w:spacing w:before="0" w:after="0" w:line="240" w:lineRule="auto"/>
              <w:jc w:val="left"/>
            </w:pPr>
            <w:r>
              <w:rPr>
                <w:b/>
                <w:color w:val="1F3864"/>
                <w:sz w:val="18"/>
              </w:rPr>
              <w:t xml:space="preserve">Amount credited (₹)</w:t>
            </w:r>
          </w:p>
        </w:tc>
        <w:tc>
          <w:tcPr>
            <w:tcW w:type="dxa" w:w="1363"/>
            <w:shd w:val="clear" w:color="auto" w:fill="DCE6F1"/>
          </w:tcPr>
          <w:p>
            <w:pPr>
              <w:pStyle w:val="Compact"/>
              <w:spacing w:before="0" w:after="0" w:line="240" w:lineRule="auto"/>
              <w:jc w:val="left"/>
            </w:pPr>
            <w:r>
              <w:rPr>
                <w:b/>
                <w:color w:val="1F3864"/>
                <w:sz w:val="18"/>
              </w:rPr>
              <w:t xml:space="preserve">Paid by (the applicant’s own account / other, explain)</w:t>
            </w:r>
          </w:p>
        </w:tc>
        <w:tc>
          <w:tcPr>
            <w:tcW w:type="dxa" w:w="1148"/>
            <w:shd w:val="clear" w:color="auto" w:fill="DCE6F1"/>
          </w:tcPr>
          <w:p>
            <w:pPr>
              <w:pStyle w:val="Compact"/>
              <w:spacing w:before="0" w:after="0" w:line="240" w:lineRule="auto"/>
              <w:jc w:val="left"/>
            </w:pPr>
            <w:r>
              <w:rPr>
                <w:b/>
                <w:color w:val="1F3864"/>
                <w:sz w:val="18"/>
              </w:rPr>
              <w:t xml:space="preserve">Used later for (liability, period) (₹)</w:t>
            </w:r>
          </w:p>
        </w:tc>
        <w:tc>
          <w:tcPr>
            <w:tcW w:type="dxa" w:w="1076"/>
            <w:shd w:val="clear" w:color="auto" w:fill="DCE6F1"/>
          </w:tcPr>
          <w:p>
            <w:pPr>
              <w:pStyle w:val="Compact"/>
              <w:spacing w:before="0" w:after="0" w:line="240" w:lineRule="auto"/>
              <w:jc w:val="left"/>
            </w:pPr>
            <w:r>
              <w:rPr>
                <w:b/>
                <w:color w:val="1F3864"/>
                <w:sz w:val="18"/>
              </w:rPr>
              <w:t xml:space="preserve">Unutilised and claimed (₹)</w:t>
            </w:r>
          </w:p>
        </w:tc>
        <w:tc>
          <w:tcPr>
            <w:tcW w:type="dxa" w:w="861"/>
            <w:shd w:val="clear" w:color="auto" w:fill="DCE6F1"/>
          </w:tcPr>
          <w:p>
            <w:pPr>
              <w:pStyle w:val="Compact"/>
              <w:spacing w:before="0" w:after="0" w:line="240" w:lineRule="auto"/>
              <w:jc w:val="left"/>
            </w:pPr>
            <w:r>
              <w:rPr>
                <w:b/>
                <w:color w:val="1F3864"/>
                <w:sz w:val="18"/>
              </w:rPr>
              <w:t xml:space="preserve">Remarks</w:t>
            </w:r>
          </w:p>
        </w:tc>
      </w:tr>
      <w:tr>
        <w:tc>
          <w:tcPr>
            <w:tcW w:type="dxa" w:w="717"/>
          </w:tcPr>
          <w:p>
            <w:pPr>
              <w:pStyle w:val="Compact"/>
              <w:spacing w:before="0" w:after="0" w:line="240" w:lineRule="auto"/>
              <w:jc w:val="left"/>
            </w:pPr>
            <w:r>
              <w:rPr>
                <w:sz w:val="18"/>
              </w:rPr>
              <w:t xml:space="preserve">1</w:t>
            </w:r>
          </w:p>
        </w:tc>
        <w:tc>
          <w:tcPr>
            <w:tcW w:type="dxa" w:w="2009"/>
          </w:tcPr>
          <w:p>
            <w:pPr>
              <w:pStyle w:val="Compact"/>
              <w:spacing w:before="0" w:after="0" w:line="240" w:lineRule="auto"/>
              <w:jc w:val="left"/>
            </w:pPr>
            <w:r>
              <w:rPr>
                <w:sz w:val="18"/>
              </w:rPr>
              <w:t xml:space="preserve">[ ]</w:t>
            </w:r>
          </w:p>
        </w:tc>
        <w:tc>
          <w:tcPr>
            <w:tcW w:type="dxa" w:w="1531"/>
          </w:tcPr>
          <w:p>
            <w:pPr>
              <w:pStyle w:val="Compact"/>
              <w:spacing w:before="0" w:after="0" w:line="240" w:lineRule="auto"/>
              <w:jc w:val="left"/>
            </w:pPr>
            <w:r>
              <w:rPr>
                <w:sz w:val="18"/>
              </w:rPr>
              <w:t xml:space="preserve">[ ]</w:t>
            </w:r>
          </w:p>
        </w:tc>
        <w:tc>
          <w:tcPr>
            <w:tcW w:type="dxa" w:w="933"/>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148"/>
          </w:tcPr>
          <w:p>
            <w:pPr>
              <w:pStyle w:val="Compact"/>
              <w:spacing w:before="0" w:after="0" w:line="240" w:lineRule="auto"/>
              <w:jc w:val="left"/>
            </w:pPr>
            <w:r>
              <w:rPr>
                <w:sz w:val="18"/>
              </w:rPr>
              <w:t xml:space="preserve">[ ]</w:t>
            </w:r>
          </w:p>
        </w:tc>
        <w:tc>
          <w:tcPr>
            <w:tcW w:type="dxa" w:w="1076"/>
          </w:tcPr>
          <w:p>
            <w:pPr>
              <w:pStyle w:val="Compact"/>
              <w:spacing w:before="0" w:after="0" w:line="240" w:lineRule="auto"/>
              <w:jc w:val="left"/>
            </w:pPr>
            <w:r>
              <w:rPr>
                <w:sz w:val="18"/>
              </w:rPr>
              <w:t xml:space="preserve">[ ]</w:t>
            </w:r>
          </w:p>
        </w:tc>
        <w:tc>
          <w:tcPr>
            <w:tcW w:type="dxa" w:w="861"/>
          </w:tcPr>
          <w:p>
            <w:pPr>
              <w:pStyle w:val="Compact"/>
              <w:spacing w:before="0" w:after="0" w:line="240" w:lineRule="auto"/>
              <w:jc w:val="left"/>
            </w:pPr>
            <w:r>
              <w:rPr>
                <w:sz w:val="18"/>
              </w:rPr>
              <w:t xml:space="preserve">[ ]</w:t>
            </w:r>
          </w:p>
        </w:tc>
      </w:tr>
      <w:tr>
        <w:tc>
          <w:tcPr>
            <w:tcW w:type="dxa" w:w="717"/>
            <w:shd w:val="clear" w:color="auto" w:fill="F2F2F2"/>
          </w:tcPr>
          <w:p>
            <w:pPr>
              <w:pStyle w:val="Compact"/>
              <w:spacing w:before="0" w:after="0" w:line="240" w:lineRule="auto"/>
            </w:pPr>
          </w:p>
        </w:tc>
        <w:tc>
          <w:tcPr>
            <w:tcW w:type="dxa" w:w="2009"/>
            <w:shd w:val="clear" w:color="auto" w:fill="F2F2F2"/>
          </w:tcPr>
          <w:p>
            <w:pPr>
              <w:pStyle w:val="Compact"/>
              <w:spacing w:before="0" w:after="0" w:line="240" w:lineRule="auto"/>
              <w:jc w:val="left"/>
            </w:pPr>
            <w:r>
              <w:rPr>
                <w:bCs/>
                <w:b/>
                <w:sz w:val="18"/>
              </w:rPr>
              <w:t xml:space="preserve">Total</w:t>
            </w:r>
          </w:p>
        </w:tc>
        <w:tc>
          <w:tcPr>
            <w:tcW w:type="dxa" w:w="1531"/>
            <w:shd w:val="clear" w:color="auto" w:fill="F2F2F2"/>
          </w:tcPr>
          <w:p>
            <w:pPr>
              <w:pStyle w:val="Compact"/>
              <w:spacing w:before="0" w:after="0" w:line="240" w:lineRule="auto"/>
            </w:pPr>
          </w:p>
        </w:tc>
        <w:tc>
          <w:tcPr>
            <w:tcW w:type="dxa" w:w="933"/>
            <w:shd w:val="clear" w:color="auto" w:fill="F2F2F2"/>
          </w:tcPr>
          <w:p>
            <w:pPr>
              <w:pStyle w:val="Compact"/>
              <w:spacing w:before="0" w:after="0" w:line="240" w:lineRule="auto"/>
              <w:jc w:val="left"/>
            </w:pPr>
            <w:r>
              <w:rPr>
                <w:bCs/>
                <w:b/>
                <w:sz w:val="18"/>
              </w:rPr>
              <w:t xml:space="preserve">[ ]</w:t>
            </w:r>
          </w:p>
        </w:tc>
        <w:tc>
          <w:tcPr>
            <w:tcW w:type="dxa" w:w="1363"/>
            <w:shd w:val="clear" w:color="auto" w:fill="F2F2F2"/>
          </w:tcPr>
          <w:p>
            <w:pPr>
              <w:pStyle w:val="Compact"/>
              <w:spacing w:before="0" w:after="0" w:line="240" w:lineRule="auto"/>
            </w:pPr>
          </w:p>
        </w:tc>
        <w:tc>
          <w:tcPr>
            <w:tcW w:type="dxa" w:w="1148"/>
            <w:shd w:val="clear" w:color="auto" w:fill="F2F2F2"/>
          </w:tcPr>
          <w:p>
            <w:pPr>
              <w:pStyle w:val="Compact"/>
              <w:spacing w:before="0" w:after="0" w:line="240" w:lineRule="auto"/>
              <w:jc w:val="left"/>
            </w:pPr>
            <w:r>
              <w:rPr>
                <w:bCs/>
                <w:b/>
                <w:sz w:val="18"/>
              </w:rPr>
              <w:t xml:space="preserve">[ ]</w:t>
            </w:r>
          </w:p>
        </w:tc>
        <w:tc>
          <w:tcPr>
            <w:tcW w:type="dxa" w:w="1076"/>
            <w:shd w:val="clear" w:color="auto" w:fill="F2F2F2"/>
          </w:tcPr>
          <w:p>
            <w:pPr>
              <w:pStyle w:val="Compact"/>
              <w:spacing w:before="0" w:after="0" w:line="240" w:lineRule="auto"/>
              <w:jc w:val="left"/>
            </w:pPr>
            <w:r>
              <w:rPr>
                <w:bCs/>
                <w:b/>
                <w:sz w:val="18"/>
              </w:rPr>
              <w:t xml:space="preserve">[ ]</w:t>
            </w:r>
          </w:p>
        </w:tc>
        <w:tc>
          <w:tcPr>
            <w:tcW w:type="dxa" w:w="861"/>
            <w:shd w:val="clear" w:color="auto" w:fill="F2F2F2"/>
          </w:tcPr>
          <w:p>
            <w:pPr>
              <w:pStyle w:val="Compact"/>
              <w:spacing w:before="0" w:after="0" w:line="240" w:lineRule="auto"/>
            </w:pPr>
          </w:p>
        </w:tc>
      </w:tr>
    </w:tbl>
    <w:p>
      <w:pPr>
        <w:pStyle w:val="BodyText"/>
        <w:spacing w:before="0" w:after="120" w:line="269" w:lineRule="auto"/>
        <w:jc w:val="both"/>
      </w:pPr>
      <w:r>
        <w:t xml:space="preserve">6.2</w:t>
      </w:r>
      <w:r>
        <w:t xml:space="preserve"> </w:t>
      </w:r>
      <w:r>
        <w:rPr>
          <w:bCs/>
          <w:b/>
        </w:rPr>
        <w:t xml:space="preserve">Why the cash accumulated.</w:t>
      </w:r>
      <w:r>
        <w:t xml:space="preserve"> </w:t>
      </w:r>
      <w:r>
        <w:t xml:space="preserve">[Record the finding on the reason given in para 1.1, with the evidence, for example:</w:t>
      </w:r>
      <w:r>
        <w:t xml:space="preserve"> </w:t>
      </w:r>
      <w:r>
        <w:t xml:space="preserve">“</w:t>
      </w:r>
      <w:r>
        <w:t xml:space="preserve">The challan for [month] was paid on [ ], but the liability for that month was discharged through the credit ledger in the GSTR-3B filed on [ ]; the cash so deposited remained unutilised.</w:t>
      </w:r>
      <w:r>
        <w:t xml:space="preserve">”</w:t>
      </w:r>
      <w:r>
        <w:t xml:space="preserve">]</w:t>
      </w:r>
    </w:p>
    <w:p>
      <w:pPr>
        <w:pStyle w:val="BodyText"/>
        <w:spacing w:before="0" w:after="120" w:line="269" w:lineRule="auto"/>
        <w:jc w:val="both"/>
      </w:pPr>
      <w:r>
        <w:t xml:space="preserve">6.3</w:t>
      </w:r>
      <w:r>
        <w:t xml:space="preserve"> </w:t>
      </w:r>
      <w:r>
        <w:rPr>
          <w:bCs/>
          <w:b/>
        </w:rPr>
        <w:t xml:space="preserve">No liability attached to the deposit.</w:t>
      </w:r>
      <w:r>
        <w:t xml:space="preserve"> </w:t>
      </w:r>
      <w:r>
        <w:t xml:space="preserve">It was verified that the balance does not represent:</w:t>
      </w:r>
      <w:r>
        <w:t xml:space="preserve"> </w:t>
      </w:r>
      <w:r>
        <w:t xml:space="preserve">- (a) tax, interest or late fee for any period for which the return is yet to be filed, or that is shown as payable in the Electronic Liability Register (Part I or Part II) [checked on [DD.MM.YYYY]];</w:t>
      </w:r>
      <w:r>
        <w:t xml:space="preserve"> </w:t>
      </w:r>
      <w:r>
        <w:t xml:space="preserve">- (b) an amount deposited during an inquiry, investigation or audit and intended as a voluntary payment, but not yet adjusted through DRC-03 [confirmed with [the audit / anti-evasion wing] by letter dated [ ]];</w:t>
      </w:r>
      <w:r>
        <w:t xml:space="preserve"> </w:t>
      </w:r>
      <w:r>
        <w:t xml:space="preserve">- (c) a pre-deposit for an appeal (which is debited separately and is not part of this balance).</w:t>
      </w:r>
    </w:p>
    <w:p>
      <w:pPr>
        <w:pStyle w:val="BodyText"/>
        <w:spacing w:before="0" w:after="120" w:line="269" w:lineRule="auto"/>
        <w:jc w:val="both"/>
      </w:pPr>
      <w:r>
        <w:t xml:space="preserve">[Option: The amount of ₹[ ] in Table 1 was deposited in connection with [inquiry / audit para], and the related liability is still under determination. Section 54(10) does not apply, as no amount has been confirmed. [The Commissioner has withheld it under section 54(11), as recorded in para 9.2, Option C] / [No order under section 54(11) has been made, and the amount is refundable]. It is not rejected.]</w:t>
      </w:r>
    </w:p>
    <w:p>
      <w:pPr>
        <w:pStyle w:val="BodyText"/>
        <w:spacing w:before="0" w:after="120" w:line="269" w:lineRule="auto"/>
        <w:jc w:val="both"/>
      </w:pPr>
      <w:r>
        <w:t xml:space="preserve">6.4</w:t>
      </w:r>
      <w:r>
        <w:t xml:space="preserve"> </w:t>
      </w:r>
      <w:r>
        <w:rPr>
          <w:bCs/>
          <w:b/>
        </w:rPr>
        <w:t xml:space="preserve">Deposits by others.</w:t>
      </w:r>
      <w:r>
        <w:t xml:space="preserve"> </w:t>
      </w:r>
      <w:r>
        <w:t xml:space="preserve">[Option A: All deposits in Table 1 were made from the applicant’s own bank account, as seen from the challan details.] [Option B: The deposit of ₹[ ] dated [ ] was made from the account of [another person / a related entity]. The applicant has explained that [ ], supported by [ ], and the refund is payable only to the applicant’s registered bank account.]</w:t>
      </w:r>
    </w:p>
    <w:p>
      <w:pPr>
        <w:pStyle w:val="BodyText"/>
        <w:spacing w:before="0" w:after="120" w:line="269" w:lineRule="auto"/>
        <w:jc w:val="both"/>
      </w:pPr>
      <w:r>
        <w:t xml:space="preserve">6.5 [Option, TDS / TCS credits] The TDS / TCS credits at S. Nos. [ ] were accepted by the applicant on the portal and are not in dispute with the deductor / operator; under S. No. 3 of Circular No. 166/22/2021-GST they are equivalent to cash and may be refunded once no dues remain.</w:t>
      </w:r>
    </w:p>
    <w:p>
      <w:pPr>
        <w:pStyle w:val="BlockText"/>
        <w:shd w:val="clear" w:color="auto" w:fill="E7E6E6"/>
      </w:pPr>
      <w:r>
        <w:rPr>
          <w:bCs/>
          <w:b/>
          <w:sz w:val="21"/>
        </w:rPr>
        <w:t xml:space="preserve">Drafting note:</w:t>
      </w:r>
      <w:r>
        <w:rPr>
          <w:sz w:val="21"/>
        </w:rPr>
        <w:t xml:space="preserve"> </w:t>
      </w:r>
      <w:r>
        <w:rPr>
          <w:sz w:val="21"/>
        </w:rPr>
        <w:t xml:space="preserve">where the business has been closed or the registration cancelled, also confirm that the final return (GSTR-10) has been filed and that any liability under section 29(5) (reversal of credit on stock) is discharged before refunding.</w:t>
      </w:r>
    </w:p>
    <w:p>
      <w:pPr>
        <w:pStyle w:val="FirstParagraph"/>
        <w:keepNext/>
        <w:spacing w:before="240" w:after="80"/>
        <w:pBdr>
          <w:bottom w:val="single" w:sz="6" w:space="1" w:color="B4C6E7"/>
        </w:pBdr>
      </w:pPr>
      <w:r>
        <w:rPr>
          <w:bCs/>
          <w:b/>
          <w:color w:val="1F3864"/>
          <w:sz w:val="25"/>
        </w:rPr>
        <w:t xml:space="preserve">7. Amount refundable</w:t>
      </w:r>
    </w:p>
    <w:p>
      <w:pPr>
        <w:pStyle w:val="BodyText"/>
        <w:spacing w:before="0" w:after="120" w:line="269" w:lineRule="auto"/>
        <w:jc w:val="both"/>
      </w:pPr>
      <w:r>
        <w:t xml:space="preserve">7.1 The balance in the electronic cash ledger on the date of filing was ₹[ ]; the unutilised total in Table 1 is ₹[ ]; and the amount claimed is ₹[ ]. These agree [or: the difference of ₹[ ] is explained as [ ]], head-wise and minor-head-wise. Of the amount claimed, ₹[ ] is found refundable and ₹[ ] is not, for the reasons in para 6 and para 8.</w:t>
      </w:r>
    </w:p>
    <w:p>
      <w:pPr>
        <w:pStyle w:val="BodyText"/>
        <w:keepNext/>
        <w:spacing w:before="240" w:after="80"/>
        <w:pBdr>
          <w:bottom w:val="single" w:sz="6" w:space="1" w:color="B4C6E7"/>
        </w:pBdr>
      </w:pPr>
      <w:r>
        <w:rPr>
          <w:bCs/>
          <w:b/>
          <w:color w:val="1F3864"/>
          <w:sz w:val="25"/>
        </w:rPr>
        <w:t xml:space="preserve">8. Notice, reply and personal hearing</w:t>
      </w:r>
    </w:p>
    <w:p>
      <w:pPr>
        <w:pStyle w:val="BlockText"/>
        <w:shd w:val="clear" w:color="auto" w:fill="E7E6E6"/>
      </w:pPr>
      <w:r>
        <w:rPr>
          <w:bCs/>
          <w:b/>
          <w:sz w:val="21"/>
        </w:rPr>
        <w:t xml:space="preserve">Drafting note:</w:t>
      </w:r>
      <w:r>
        <w:rPr>
          <w:sz w:val="21"/>
        </w:rPr>
        <w:t xml:space="preserve"> </w:t>
      </w:r>
      <w:r>
        <w:rPr>
          <w:sz w:val="21"/>
        </w:rPr>
        <w:t xml:space="preserve">if the claim is sanctioned in full, replace this whole para with:</w:t>
      </w:r>
      <w:r>
        <w:rPr>
          <w:sz w:val="21"/>
        </w:rPr>
        <w:t xml:space="preserve"> </w:t>
      </w:r>
      <w:r>
        <w:rPr>
          <w:sz w:val="21"/>
        </w:rPr>
        <w:t xml:space="preserve">“</w:t>
      </w:r>
      <w:r>
        <w:rPr>
          <w:sz w:val="21"/>
        </w:rPr>
        <w:t xml:space="preserve">8.1 As the claim is found admissible in full, no notice in FORM GST RFD-08 was required.</w:t>
      </w:r>
      <w:r>
        <w:rPr>
          <w:sz w:val="21"/>
        </w:rPr>
        <w:t xml:space="preserve">”</w:t>
      </w:r>
      <w:r>
        <w:rPr>
          <w:sz w:val="21"/>
        </w:rPr>
        <w:t xml:space="preserve"> </w:t>
      </w:r>
      <w:r>
        <w:rPr>
          <w:sz w:val="21"/>
        </w:rPr>
        <w:t xml:space="preserve">Otherwise, the notice must state each actual ground found, with figures, and not template wording (rule 92(3) needs</w:t>
      </w:r>
      <w:r>
        <w:rPr>
          <w:sz w:val="21"/>
        </w:rPr>
        <w:t xml:space="preserve"> </w:t>
      </w:r>
      <w:r>
        <w:rPr>
          <w:sz w:val="21"/>
        </w:rPr>
        <w:t xml:space="preserve">“</w:t>
      </w:r>
      <w:r>
        <w:rPr>
          <w:sz w:val="21"/>
        </w:rPr>
        <w:t xml:space="preserve">reasons to be recorded in writing</w:t>
      </w:r>
      <w:r>
        <w:rPr>
          <w:sz w:val="21"/>
        </w:rPr>
        <w:t xml:space="preserve">”</w:t>
      </w:r>
      <w:r>
        <w:rPr>
          <w:sz w:val="21"/>
        </w:rPr>
        <w:t xml:space="preserve">). The order can reject only on a ground put to the applicant in the notice. Under rule 92(3) the applicant gets fifteen days to reply, and no application can be rejected without an opportunity of being heard.</w:t>
      </w:r>
    </w:p>
    <w:p>
      <w:pPr>
        <w:pStyle w:val="FirstParagraph"/>
        <w:spacing w:before="0" w:after="120" w:line="269" w:lineRule="auto"/>
        <w:jc w:val="both"/>
      </w:pPr>
      <w:r>
        <w:t xml:space="preserve">8.1 On scrutiny, the following grounds were noticed, and a notice in FORM GST RFD-08 No. [ ] dated [DD.MM.YYYY] was issued proposing to reject ₹[ ] of the claim and asking the applicant to reply in FORM GST RFD-09 within fifteen days: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244"/>
        <w:gridCol w:w="4539"/>
        <w:gridCol w:w="2856"/>
      </w:tblGrid>
      <w:tr>
        <w:trPr>
          <w:tblHeader w:val="true"/>
          <w:tblHeader/>
        </w:trPr>
        <w:tc>
          <w:tcPr>
            <w:tcW w:type="dxa" w:w="2244"/>
            <w:shd w:val="clear" w:color="auto" w:fill="DCE6F1"/>
          </w:tcPr>
          <w:p>
            <w:pPr>
              <w:pStyle w:val="Compact"/>
              <w:spacing w:before="0" w:after="0" w:line="240" w:lineRule="auto"/>
              <w:jc w:val="left"/>
            </w:pPr>
            <w:r>
              <w:rPr>
                <w:b/>
                <w:color w:val="1F3864"/>
                <w:sz w:val="21"/>
              </w:rPr>
              <w:t xml:space="preserve">Ground No.</w:t>
            </w:r>
          </w:p>
        </w:tc>
        <w:tc>
          <w:tcPr>
            <w:tcW w:type="dxa" w:w="4539"/>
            <w:shd w:val="clear" w:color="auto" w:fill="DCE6F1"/>
          </w:tcPr>
          <w:p>
            <w:pPr>
              <w:pStyle w:val="Compact"/>
              <w:spacing w:before="0" w:after="0" w:line="240" w:lineRule="auto"/>
              <w:jc w:val="left"/>
            </w:pPr>
            <w:r>
              <w:rPr>
                <w:b/>
                <w:color w:val="1F3864"/>
                <w:sz w:val="21"/>
              </w:rPr>
              <w:t xml:space="preserve">Ground stated in the notice</w:t>
            </w:r>
          </w:p>
        </w:tc>
        <w:tc>
          <w:tcPr>
            <w:tcW w:type="dxa" w:w="2856"/>
            <w:shd w:val="clear" w:color="auto" w:fill="DCE6F1"/>
          </w:tcPr>
          <w:p>
            <w:pPr>
              <w:pStyle w:val="Compact"/>
              <w:spacing w:before="0" w:after="0" w:line="240" w:lineRule="auto"/>
              <w:jc w:val="left"/>
            </w:pPr>
            <w:r>
              <w:rPr>
                <w:b/>
                <w:color w:val="1F3864"/>
                <w:sz w:val="21"/>
              </w:rPr>
              <w:t xml:space="preserve">Amount proposed for rejection (₹)</w:t>
            </w:r>
          </w:p>
        </w:tc>
      </w:tr>
      <w:tr>
        <w:tc>
          <w:tcPr>
            <w:tcW w:type="dxa" w:w="2244"/>
          </w:tcPr>
          <w:p>
            <w:pPr>
              <w:pStyle w:val="Compact"/>
              <w:spacing w:before="0" w:after="0" w:line="240" w:lineRule="auto"/>
              <w:jc w:val="left"/>
            </w:pPr>
            <w:r>
              <w:rPr>
                <w:sz w:val="21"/>
              </w:rPr>
              <w:t xml:space="preserve">1</w:t>
            </w:r>
          </w:p>
        </w:tc>
        <w:tc>
          <w:tcPr>
            <w:tcW w:type="dxa" w:w="4539"/>
          </w:tcPr>
          <w:p>
            <w:pPr>
              <w:pStyle w:val="Compact"/>
              <w:spacing w:before="0" w:after="0" w:line="240" w:lineRule="auto"/>
              <w:jc w:val="left"/>
            </w:pPr>
            <w:r>
              <w:rPr>
                <w:sz w:val="21"/>
              </w:rPr>
              <w:t xml:space="preserve">[ground, with the figures and the provision relied on]</w:t>
            </w:r>
          </w:p>
        </w:tc>
        <w:tc>
          <w:tcPr>
            <w:tcW w:type="dxa" w:w="2856"/>
          </w:tcPr>
          <w:p>
            <w:pPr>
              <w:pStyle w:val="Compact"/>
              <w:spacing w:before="0" w:after="0" w:line="240" w:lineRule="auto"/>
              <w:jc w:val="left"/>
            </w:pPr>
            <w:r>
              <w:rPr>
                <w:sz w:val="21"/>
              </w:rPr>
              <w:t xml:space="preserve">[ ]</w:t>
            </w:r>
          </w:p>
        </w:tc>
      </w:tr>
      <w:tr>
        <w:tc>
          <w:tcPr>
            <w:tcW w:type="dxa" w:w="2244"/>
          </w:tcPr>
          <w:p>
            <w:pPr>
              <w:pStyle w:val="Compact"/>
              <w:spacing w:before="0" w:after="0" w:line="240" w:lineRule="auto"/>
              <w:jc w:val="left"/>
            </w:pPr>
            <w:r>
              <w:rPr>
                <w:sz w:val="21"/>
              </w:rPr>
              <w:t xml:space="preserve">2</w:t>
            </w:r>
          </w:p>
        </w:tc>
        <w:tc>
          <w:tcPr>
            <w:tcW w:type="dxa" w:w="4539"/>
          </w:tcPr>
          <w:p>
            <w:pPr>
              <w:pStyle w:val="Compact"/>
              <w:spacing w:before="0" w:after="0" w:line="240" w:lineRule="auto"/>
              <w:jc w:val="left"/>
            </w:pPr>
            <w:r>
              <w:rPr>
                <w:sz w:val="21"/>
              </w:rPr>
              <w:t xml:space="preserve">[ ]</w:t>
            </w:r>
          </w:p>
        </w:tc>
        <w:tc>
          <w:tcPr>
            <w:tcW w:type="dxa" w:w="2856"/>
          </w:tcPr>
          <w:p>
            <w:pPr>
              <w:pStyle w:val="Compact"/>
              <w:spacing w:before="0" w:after="0" w:line="240" w:lineRule="auto"/>
              <w:jc w:val="left"/>
            </w:pPr>
            <w:r>
              <w:rPr>
                <w:sz w:val="21"/>
              </w:rPr>
              <w:t xml:space="preserve">[ ]</w:t>
            </w:r>
          </w:p>
        </w:tc>
      </w:tr>
      <w:tr>
        <w:tc>
          <w:tcPr>
            <w:tcW w:type="dxa" w:w="2244"/>
            <w:shd w:val="clear" w:color="auto" w:fill="F2F2F2"/>
          </w:tcPr>
          <w:p>
            <w:pPr>
              <w:pStyle w:val="Compact"/>
              <w:spacing w:before="0" w:after="0" w:line="240" w:lineRule="auto"/>
            </w:pPr>
          </w:p>
        </w:tc>
        <w:tc>
          <w:tcPr>
            <w:tcW w:type="dxa" w:w="4539"/>
            <w:shd w:val="clear" w:color="auto" w:fill="F2F2F2"/>
          </w:tcPr>
          <w:p>
            <w:pPr>
              <w:pStyle w:val="Compact"/>
              <w:spacing w:before="0" w:after="0" w:line="240" w:lineRule="auto"/>
              <w:jc w:val="left"/>
            </w:pPr>
            <w:r>
              <w:rPr>
                <w:bCs/>
                <w:b/>
                <w:sz w:val="21"/>
              </w:rPr>
              <w:t xml:space="preserve">Total</w:t>
            </w:r>
          </w:p>
        </w:tc>
        <w:tc>
          <w:tcPr>
            <w:tcW w:type="dxa" w:w="2856"/>
            <w:shd w:val="clear" w:color="auto" w:fill="F2F2F2"/>
          </w:tcPr>
          <w:p>
            <w:pPr>
              <w:pStyle w:val="Compact"/>
              <w:spacing w:before="0" w:after="0" w:line="240" w:lineRule="auto"/>
              <w:jc w:val="left"/>
            </w:pPr>
            <w:r>
              <w:rPr>
                <w:bCs/>
                <w:b/>
                <w:sz w:val="21"/>
              </w:rPr>
              <w:t xml:space="preserve">[ ]</w:t>
            </w:r>
          </w:p>
        </w:tc>
      </w:tr>
    </w:tbl>
    <w:p>
      <w:pPr>
        <w:pStyle w:val="BodyText"/>
        <w:spacing w:before="0" w:after="120" w:line="269" w:lineRule="auto"/>
        <w:jc w:val="both"/>
      </w:pPr>
      <w:r>
        <w:t xml:space="preserve">8.2 The applicant replied in FORM GST RFD-09 on [DD.MM.YYYY] [Option: after the time extended on request dated [ ]] and submitted [list of documents]. A personal hearing was held on [DD.MM.YYYY], attended by [designation of the authorised representative, not the person’s name], who [reiterated the reply] / [made the following further submissions: …] and [filed additional documents on [DD.MM.YYYY]].</w:t>
      </w:r>
    </w:p>
    <w:p>
      <w:pPr>
        <w:pStyle w:val="BodyText"/>
        <w:spacing w:before="0" w:after="120" w:line="269" w:lineRule="auto"/>
        <w:jc w:val="both"/>
      </w:pPr>
      <w:r>
        <w:t xml:space="preserve">[Option, where the applicant did not respond] 8.2 No reply was received. Opportunities of personal hearing were given on [DD.MM.YYYY], [DD.MM.YYYY] and [DD.MM.YYYY] by letters served on the portal [and by e-mail], but no one appeared and no adjournment was sought. The matter is therefore decided on the records available, as each of the grounds below is examined on its merits.</w:t>
      </w:r>
    </w:p>
    <w:p>
      <w:pPr>
        <w:pStyle w:val="BodyText"/>
        <w:spacing w:before="0" w:after="120" w:line="269" w:lineRule="auto"/>
        <w:jc w:val="both"/>
      </w:pPr>
      <w:r>
        <w:t xml:space="preserve">8.3</w:t>
      </w:r>
      <w:r>
        <w:t xml:space="preserve"> </w:t>
      </w:r>
      <w:r>
        <w:rPr>
          <w:bCs/>
          <w:b/>
        </w:rPr>
        <w:t xml:space="preserve">Findings on each ground.</w:t>
      </w:r>
      <w:r>
        <w:t xml:space="preserve"> </w:t>
      </w:r>
      <w:r>
        <w:t xml:space="preserve">Each ground in the notice, each point in the reply and each submission made at the hearing is dealt with below.</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39"/>
        <w:gridCol w:w="1984"/>
        <w:gridCol w:w="1606"/>
        <w:gridCol w:w="2551"/>
        <w:gridCol w:w="1417"/>
        <w:gridCol w:w="1039"/>
      </w:tblGrid>
      <w:tr>
        <w:trPr>
          <w:tblHeader w:val="true"/>
          <w:tblHeader/>
        </w:trPr>
        <w:tc>
          <w:tcPr>
            <w:tcW w:type="dxa" w:w="1039"/>
            <w:shd w:val="clear" w:color="auto" w:fill="DCE6F1"/>
          </w:tcPr>
          <w:p>
            <w:pPr>
              <w:pStyle w:val="Compact"/>
              <w:spacing w:before="0" w:after="0" w:line="240" w:lineRule="auto"/>
              <w:jc w:val="left"/>
            </w:pPr>
            <w:r>
              <w:rPr>
                <w:b/>
                <w:color w:val="1F3864"/>
                <w:sz w:val="21"/>
              </w:rPr>
              <w:t xml:space="preserve">Ground</w:t>
            </w:r>
          </w:p>
        </w:tc>
        <w:tc>
          <w:tcPr>
            <w:tcW w:type="dxa" w:w="1984"/>
            <w:shd w:val="clear" w:color="auto" w:fill="DCE6F1"/>
          </w:tcPr>
          <w:p>
            <w:pPr>
              <w:pStyle w:val="Compact"/>
              <w:spacing w:before="0" w:after="0" w:line="240" w:lineRule="auto"/>
              <w:jc w:val="left"/>
            </w:pPr>
            <w:r>
              <w:rPr>
                <w:b/>
                <w:color w:val="1F3864"/>
                <w:sz w:val="21"/>
              </w:rPr>
              <w:t xml:space="preserve">Applicant’s reply / submission at hearing</w:t>
            </w:r>
          </w:p>
        </w:tc>
        <w:tc>
          <w:tcPr>
            <w:tcW w:type="dxa" w:w="1606"/>
            <w:shd w:val="clear" w:color="auto" w:fill="DCE6F1"/>
          </w:tcPr>
          <w:p>
            <w:pPr>
              <w:pStyle w:val="Compact"/>
              <w:spacing w:before="0" w:after="0" w:line="240" w:lineRule="auto"/>
              <w:jc w:val="left"/>
            </w:pPr>
            <w:r>
              <w:rPr>
                <w:b/>
                <w:color w:val="1F3864"/>
                <w:sz w:val="21"/>
              </w:rPr>
              <w:t xml:space="preserve">Verification done</w:t>
            </w:r>
          </w:p>
        </w:tc>
        <w:tc>
          <w:tcPr>
            <w:tcW w:type="dxa" w:w="2551"/>
            <w:shd w:val="clear" w:color="auto" w:fill="DCE6F1"/>
          </w:tcPr>
          <w:p>
            <w:pPr>
              <w:pStyle w:val="Compact"/>
              <w:spacing w:before="0" w:after="0" w:line="240" w:lineRule="auto"/>
              <w:jc w:val="left"/>
            </w:pPr>
            <w:r>
              <w:rPr>
                <w:b/>
                <w:color w:val="1F3864"/>
                <w:sz w:val="21"/>
              </w:rPr>
              <w:t xml:space="preserve">Finding and provision relied on</w:t>
            </w:r>
          </w:p>
        </w:tc>
        <w:tc>
          <w:tcPr>
            <w:tcW w:type="dxa" w:w="1417"/>
            <w:shd w:val="clear" w:color="auto" w:fill="DCE6F1"/>
          </w:tcPr>
          <w:p>
            <w:pPr>
              <w:pStyle w:val="Compact"/>
              <w:spacing w:before="0" w:after="0" w:line="240" w:lineRule="auto"/>
              <w:jc w:val="left"/>
            </w:pPr>
            <w:r>
              <w:rPr>
                <w:b/>
                <w:color w:val="1F3864"/>
                <w:sz w:val="21"/>
              </w:rPr>
              <w:t xml:space="preserve">Amount found not admissible on this ground (₹)</w:t>
            </w:r>
          </w:p>
        </w:tc>
        <w:tc>
          <w:tcPr>
            <w:tcW w:type="dxa" w:w="1039"/>
            <w:shd w:val="clear" w:color="auto" w:fill="DCE6F1"/>
          </w:tcPr>
          <w:p>
            <w:pPr>
              <w:pStyle w:val="Compact"/>
              <w:spacing w:before="0" w:after="0" w:line="240" w:lineRule="auto"/>
              <w:jc w:val="left"/>
            </w:pPr>
            <w:r>
              <w:rPr>
                <w:b/>
                <w:color w:val="1F3864"/>
                <w:sz w:val="21"/>
              </w:rPr>
              <w:t xml:space="preserve">Effect on refund (₹)</w:t>
            </w:r>
          </w:p>
        </w:tc>
      </w:tr>
      <w:tr>
        <w:tc>
          <w:tcPr>
            <w:tcW w:type="dxa" w:w="1039"/>
          </w:tcPr>
          <w:p>
            <w:pPr>
              <w:pStyle w:val="Compact"/>
              <w:spacing w:before="0" w:after="0" w:line="240" w:lineRule="auto"/>
              <w:jc w:val="left"/>
            </w:pPr>
            <w:r>
              <w:rPr>
                <w:sz w:val="21"/>
              </w:rPr>
              <w:t xml:space="preserve">1</w:t>
            </w:r>
          </w:p>
        </w:tc>
        <w:tc>
          <w:tcPr>
            <w:tcW w:type="dxa" w:w="1984"/>
          </w:tcPr>
          <w:p>
            <w:pPr>
              <w:pStyle w:val="Compact"/>
              <w:spacing w:before="0" w:after="0" w:line="240" w:lineRule="auto"/>
              <w:jc w:val="left"/>
            </w:pPr>
            <w:r>
              <w:rPr>
                <w:sz w:val="21"/>
              </w:rPr>
              <w:t xml:space="preserve">[summary of the reply on this ground]</w:t>
            </w:r>
          </w:p>
        </w:tc>
        <w:tc>
          <w:tcPr>
            <w:tcW w:type="dxa" w:w="1606"/>
          </w:tcPr>
          <w:p>
            <w:pPr>
              <w:pStyle w:val="Compact"/>
              <w:spacing w:before="0" w:after="0" w:line="240" w:lineRule="auto"/>
              <w:jc w:val="left"/>
            </w:pPr>
            <w:r>
              <w:rPr>
                <w:sz w:val="21"/>
              </w:rPr>
              <w:t xml:space="preserve">[what was checked, against which record]</w:t>
            </w:r>
          </w:p>
        </w:tc>
        <w:tc>
          <w:tcPr>
            <w:tcW w:type="dxa" w:w="2551"/>
          </w:tcPr>
          <w:p>
            <w:pPr>
              <w:pStyle w:val="Compact"/>
              <w:spacing w:before="0" w:after="0" w:line="240" w:lineRule="auto"/>
              <w:jc w:val="left"/>
            </w:pPr>
            <w:r>
              <w:rPr>
                <w:sz w:val="21"/>
              </w:rPr>
              <w:t xml:space="preserve">[Accepted / Partly accepted / Not accepted, because …; section or rule]</w:t>
            </w:r>
          </w:p>
        </w:tc>
        <w:tc>
          <w:tcPr>
            <w:tcW w:type="dxa" w:w="1417"/>
          </w:tcPr>
          <w:p>
            <w:pPr>
              <w:pStyle w:val="Compact"/>
              <w:spacing w:before="0" w:after="0" w:line="240" w:lineRule="auto"/>
              <w:jc w:val="left"/>
            </w:pPr>
            <w:r>
              <w:rPr>
                <w:sz w:val="21"/>
              </w:rPr>
              <w:t xml:space="preserve">[ ]</w:t>
            </w:r>
          </w:p>
        </w:tc>
        <w:tc>
          <w:tcPr>
            <w:tcW w:type="dxa" w:w="1039"/>
          </w:tcPr>
          <w:p>
            <w:pPr>
              <w:pStyle w:val="Compact"/>
              <w:spacing w:before="0" w:after="0" w:line="240" w:lineRule="auto"/>
              <w:jc w:val="left"/>
            </w:pPr>
            <w:r>
              <w:rPr>
                <w:sz w:val="21"/>
              </w:rPr>
              <w:t xml:space="preserve">[ ]</w:t>
            </w:r>
          </w:p>
        </w:tc>
      </w:tr>
      <w:tr>
        <w:tc>
          <w:tcPr>
            <w:tcW w:type="dxa" w:w="1039"/>
          </w:tcPr>
          <w:p>
            <w:pPr>
              <w:pStyle w:val="Compact"/>
              <w:spacing w:before="0" w:after="0" w:line="240" w:lineRule="auto"/>
              <w:jc w:val="left"/>
            </w:pPr>
            <w:r>
              <w:rPr>
                <w:sz w:val="21"/>
              </w:rPr>
              <w:t xml:space="preserve">2</w:t>
            </w:r>
          </w:p>
        </w:tc>
        <w:tc>
          <w:tcPr>
            <w:tcW w:type="dxa" w:w="1984"/>
          </w:tcPr>
          <w:p>
            <w:pPr>
              <w:pStyle w:val="Compact"/>
              <w:spacing w:before="0" w:after="0" w:line="240" w:lineRule="auto"/>
              <w:jc w:val="left"/>
            </w:pPr>
            <w:r>
              <w:rPr>
                <w:sz w:val="21"/>
              </w:rPr>
              <w:t xml:space="preserve">[ ]</w:t>
            </w:r>
          </w:p>
        </w:tc>
        <w:tc>
          <w:tcPr>
            <w:tcW w:type="dxa" w:w="1606"/>
          </w:tcPr>
          <w:p>
            <w:pPr>
              <w:pStyle w:val="Compact"/>
              <w:spacing w:before="0" w:after="0" w:line="240" w:lineRule="auto"/>
              <w:jc w:val="left"/>
            </w:pPr>
            <w:r>
              <w:rPr>
                <w:sz w:val="21"/>
              </w:rPr>
              <w:t xml:space="preserve">[ ]</w:t>
            </w:r>
          </w:p>
        </w:tc>
        <w:tc>
          <w:tcPr>
            <w:tcW w:type="dxa" w:w="2551"/>
          </w:tcPr>
          <w:p>
            <w:pPr>
              <w:pStyle w:val="Compact"/>
              <w:spacing w:before="0" w:after="0" w:line="240" w:lineRule="auto"/>
              <w:jc w:val="left"/>
            </w:pPr>
            <w:r>
              <w:rPr>
                <w:sz w:val="21"/>
              </w:rPr>
              <w:t xml:space="preserve">[ ]</w:t>
            </w:r>
          </w:p>
        </w:tc>
        <w:tc>
          <w:tcPr>
            <w:tcW w:type="dxa" w:w="1417"/>
          </w:tcPr>
          <w:p>
            <w:pPr>
              <w:pStyle w:val="Compact"/>
              <w:spacing w:before="0" w:after="0" w:line="240" w:lineRule="auto"/>
              <w:jc w:val="left"/>
            </w:pPr>
            <w:r>
              <w:rPr>
                <w:sz w:val="21"/>
              </w:rPr>
              <w:t xml:space="preserve">[ ]</w:t>
            </w:r>
          </w:p>
        </w:tc>
        <w:tc>
          <w:tcPr>
            <w:tcW w:type="dxa" w:w="1039"/>
          </w:tcPr>
          <w:p>
            <w:pPr>
              <w:pStyle w:val="Compact"/>
              <w:spacing w:before="0" w:after="0" w:line="240" w:lineRule="auto"/>
              <w:jc w:val="left"/>
            </w:pPr>
            <w:r>
              <w:rPr>
                <w:sz w:val="21"/>
              </w:rPr>
              <w:t xml:space="preserve">[ ]</w:t>
            </w:r>
          </w:p>
        </w:tc>
      </w:tr>
      <w:tr>
        <w:tc>
          <w:tcPr>
            <w:tcW w:type="dxa" w:w="1039"/>
          </w:tcPr>
          <w:p>
            <w:pPr>
              <w:pStyle w:val="Compact"/>
              <w:spacing w:before="0" w:after="0" w:line="240" w:lineRule="auto"/>
              <w:jc w:val="left"/>
            </w:pPr>
            <w:r>
              <w:rPr>
                <w:sz w:val="21"/>
              </w:rPr>
              <w:t xml:space="preserve">Further submission at hearing</w:t>
            </w:r>
          </w:p>
        </w:tc>
        <w:tc>
          <w:tcPr>
            <w:tcW w:type="dxa" w:w="1984"/>
          </w:tcPr>
          <w:p>
            <w:pPr>
              <w:pStyle w:val="Compact"/>
              <w:spacing w:before="0" w:after="0" w:line="240" w:lineRule="auto"/>
              <w:jc w:val="left"/>
            </w:pPr>
            <w:r>
              <w:rPr>
                <w:sz w:val="21"/>
              </w:rPr>
              <w:t xml:space="preserve">[ ]</w:t>
            </w:r>
          </w:p>
        </w:tc>
        <w:tc>
          <w:tcPr>
            <w:tcW w:type="dxa" w:w="1606"/>
          </w:tcPr>
          <w:p>
            <w:pPr>
              <w:pStyle w:val="Compact"/>
              <w:spacing w:before="0" w:after="0" w:line="240" w:lineRule="auto"/>
              <w:jc w:val="left"/>
            </w:pPr>
            <w:r>
              <w:rPr>
                <w:sz w:val="21"/>
              </w:rPr>
              <w:t xml:space="preserve">[ ]</w:t>
            </w:r>
          </w:p>
        </w:tc>
        <w:tc>
          <w:tcPr>
            <w:tcW w:type="dxa" w:w="2551"/>
          </w:tcPr>
          <w:p>
            <w:pPr>
              <w:pStyle w:val="Compact"/>
              <w:spacing w:before="0" w:after="0" w:line="240" w:lineRule="auto"/>
              <w:jc w:val="left"/>
            </w:pPr>
            <w:r>
              <w:rPr>
                <w:sz w:val="21"/>
              </w:rPr>
              <w:t xml:space="preserve">[ ]</w:t>
            </w:r>
          </w:p>
        </w:tc>
        <w:tc>
          <w:tcPr>
            <w:tcW w:type="dxa" w:w="1417"/>
          </w:tcPr>
          <w:p>
            <w:pPr>
              <w:pStyle w:val="Compact"/>
              <w:spacing w:before="0" w:after="0" w:line="240" w:lineRule="auto"/>
              <w:jc w:val="left"/>
            </w:pPr>
            <w:r>
              <w:rPr>
                <w:sz w:val="21"/>
              </w:rPr>
              <w:t xml:space="preserve">[ ]</w:t>
            </w:r>
          </w:p>
        </w:tc>
        <w:tc>
          <w:tcPr>
            <w:tcW w:type="dxa" w:w="1039"/>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write a separate paragraph under the table for any ground that needs more than three lines of reasoning. Keep the amount found not admissible on each ground separate from its effect on the head-wise refund, and do not count an amount twice where two grounds overlap. Decide every ground, including one that becomes moot because of the finding on another ground (say</w:t>
      </w:r>
      <w:r>
        <w:rPr>
          <w:sz w:val="21"/>
        </w:rPr>
        <w:t xml:space="preserve"> </w:t>
      </w:r>
      <w:r>
        <w:rPr>
          <w:sz w:val="21"/>
        </w:rPr>
        <w:t xml:space="preserve">“</w:t>
      </w:r>
      <w:r>
        <w:rPr>
          <w:sz w:val="21"/>
        </w:rPr>
        <w:t xml:space="preserve">This ground does not survive, in view of the finding on ground [ ]</w:t>
      </w:r>
      <w:r>
        <w:rPr>
          <w:sz w:val="21"/>
        </w:rPr>
        <w:t xml:space="preserve">”</w:t>
      </w:r>
      <w:r>
        <w:rPr>
          <w:sz w:val="21"/>
        </w:rPr>
        <w:t xml:space="preserve">). If a ground is dropped, say so and why.</w:t>
      </w:r>
    </w:p>
    <w:p>
      <w:pPr>
        <w:pStyle w:val="FirstParagraph"/>
        <w:keepNext/>
        <w:spacing w:before="240" w:after="80"/>
        <w:pBdr>
          <w:bottom w:val="single" w:sz="6" w:space="1" w:color="B4C6E7"/>
        </w:pBdr>
      </w:pPr>
      <w:r>
        <w:rPr>
          <w:bCs/>
          <w:b/>
          <w:color w:val="1F3864"/>
          <w:sz w:val="25"/>
        </w:rPr>
        <w:t xml:space="preserve">9. Other conditions for payment of the refund</w:t>
      </w:r>
    </w:p>
    <w:p>
      <w:pPr>
        <w:pStyle w:val="BodyText"/>
        <w:spacing w:before="0" w:after="120" w:line="269" w:lineRule="auto"/>
        <w:jc w:val="both"/>
      </w:pPr>
      <w:r>
        <w:t xml:space="preserve">9.1</w:t>
      </w:r>
      <w:r>
        <w:t xml:space="preserve"> </w:t>
      </w:r>
      <w:r>
        <w:rPr>
          <w:bCs/>
          <w:b/>
        </w:rPr>
        <w:t xml:space="preserve">Unjust enrichment.</w:t>
      </w:r>
      <w:r>
        <w:t xml:space="preserve"> </w:t>
      </w:r>
      <w:r>
        <w:t xml:space="preserve">The amount is the applicant’s own unutilised deposit in the electronic cash ledger, not tax paid on a supply. As clarified at S. No. 2 of Circular No. 166/22/2021-GST, the unjust enrichment clause does not apply, and no certificate or declaration under rule 89(2)(l) or (m) is required. The refund is payable to the applicant under clause (e) of section 54(8), the question of passing on not arising.</w:t>
      </w:r>
    </w:p>
    <w:p>
      <w:pPr>
        <w:pStyle w:val="BodyText"/>
        <w:spacing w:before="0" w:after="120" w:line="269" w:lineRule="auto"/>
        <w:jc w:val="both"/>
      </w:pPr>
      <w:r>
        <w:t xml:space="preserve">9.2</w:t>
      </w:r>
      <w:r>
        <w:t xml:space="preserve"> </w:t>
      </w:r>
      <w:r>
        <w:rPr>
          <w:bCs/>
          <w:b/>
        </w:rPr>
        <w:t xml:space="preserve">Dues and withholding (section 54(10) and 54(11)).</w:t>
      </w:r>
      <w:r>
        <w:t xml:space="preserve"> </w:t>
      </w:r>
      <w:r>
        <w:t xml:space="preserve">The [range report dated [DD.MM.YYYY]], the arrears and liability register of the Division, the back-office demand and recovery ledger and the portal (Electronic Liability Register Part II) were checked on [DD.MM.YYYY].</w:t>
      </w:r>
    </w:p>
    <w:p>
      <w:pPr>
        <w:pStyle w:val="BodyText"/>
        <w:spacing w:before="0" w:after="120" w:line="269" w:lineRule="auto"/>
        <w:jc w:val="both"/>
      </w:pPr>
      <w:r>
        <w:t xml:space="preserve">[Option A] No return was pending and no tax, interest, penalty or other amount was payable by the applicant under the CGST Act or the existing law that had not been stayed by the specified date. No amount is withheld or deducted.</w:t>
      </w:r>
    </w:p>
    <w:p>
      <w:pPr>
        <w:pStyle w:val="BodyText"/>
        <w:spacing w:before="0" w:after="120" w:line="269" w:lineRule="auto"/>
        <w:jc w:val="both"/>
      </w:pPr>
      <w:r>
        <w:t xml:space="preserve">[Option B] The applicant owes ₹[ ] under [Order No. [ ] dated [ ] / demand ID [ ]]. That amount was not stayed by any court, Tribunal or Appellate Authority by the specified date (the last date for filing an appeal), [and no appeal with the pre-deposit under section 107(6) is on record]. Under section 54(10)(b), ₹[ ] is deducted from the refund and</w:t>
      </w:r>
      <w:r>
        <w:t xml:space="preserve"> </w:t>
      </w:r>
      <w:r>
        <w:rPr>
          <w:bCs/>
          <w:b/>
        </w:rPr>
        <w:t xml:space="preserve">adjusted in this order</w:t>
      </w:r>
      <w:r>
        <w:t xml:space="preserve"> </w:t>
      </w:r>
      <w:r>
        <w:t xml:space="preserve">against that demand (rule 92(1); para 35 of Circular No. 125/44/2019-GST). [Under section 54(10)(a), ₹[ ] is withheld until the return for [period] is filed, by order in Part A of FORM GST RFD-07 dated [DD.MM.YYYY] (rule 92(2)).]</w:t>
      </w:r>
    </w:p>
    <w:p>
      <w:pPr>
        <w:pStyle w:val="BodyText"/>
        <w:spacing w:before="0" w:after="120" w:line="269" w:lineRule="auto"/>
        <w:jc w:val="both"/>
      </w:pPr>
      <w:r>
        <w:t xml:space="preserve">[Option C] By order dated [DD.MM.YYYY], the Commissioner, being of the opinion that the grant of this refund is likely to adversely affect the revenue in [the appeal / proceedings [No.] pending under section [ ]] on account of [malfeasance / fraud], namely [ ], has, after giving the applicant an opportunity of being heard, withheld ₹[ ] until [ ] under section 54(11). The withholding is recorded in Part A of FORM GST RFD-07 dated [DD.MM.YYYY] (rule 92(2)). If the applicant becomes entitled to the amount as a result of those proceedings, interest is payable under section 54(12).</w:t>
      </w:r>
    </w:p>
    <w:p>
      <w:pPr>
        <w:pStyle w:val="BlockText"/>
        <w:shd w:val="clear" w:color="auto" w:fill="E7E6E6"/>
      </w:pPr>
      <w:r>
        <w:rPr>
          <w:bCs/>
          <w:b/>
          <w:sz w:val="21"/>
        </w:rPr>
        <w:t xml:space="preserve">Drafting note:</w:t>
      </w:r>
      <w:r>
        <w:rPr>
          <w:sz w:val="21"/>
        </w:rPr>
        <w:t xml:space="preserve"> </w:t>
      </w:r>
      <w:r>
        <w:rPr>
          <w:sz w:val="21"/>
        </w:rPr>
        <w:t xml:space="preserve">only a confirmed amount not stayed by the specified date can be deducted or withheld under section 54(10). A demand set aside in appeal, a demand under appeal with the pre-deposit paid (deemed stayed under section 107(7)), or a mere show cause notice cannot be. An adjustment under section 54(10)(b) is made in this RFD-06 itself; RFD-07 Part A is only for withholding (section 54(10)(a) or 54(11)), and Part B for its release. Never reject a refund in place of adjusting or withholding it.</w:t>
      </w:r>
    </w:p>
    <w:p>
      <w:pPr>
        <w:pStyle w:val="FirstParagraph"/>
        <w:spacing w:before="0" w:after="120" w:line="269" w:lineRule="auto"/>
        <w:jc w:val="both"/>
      </w:pPr>
      <w:r>
        <w:t xml:space="preserve">9.3</w:t>
      </w:r>
      <w:r>
        <w:t xml:space="preserve"> </w:t>
      </w:r>
      <w:r>
        <w:rPr>
          <w:bCs/>
          <w:b/>
        </w:rPr>
        <w:t xml:space="preserve">Minimum amount (section 54(14)).</w:t>
      </w:r>
      <w:r>
        <w:t xml:space="preserve"> </w:t>
      </w:r>
      <w:r>
        <w:t xml:space="preserve">The amount sanctioned under each tax head is not less than one thousand rupees. [Option: The amount found admissible under [head] is ₹[ ], which is less than one thousand rupees, and is therefore not paid (section 54(14); para 60 of Circular No. 125/44/2019-GST, which applies the limit to each tax head separately).]</w:t>
      </w:r>
    </w:p>
    <w:p>
      <w:pPr>
        <w:pStyle w:val="BlockText"/>
        <w:shd w:val="clear" w:color="auto" w:fill="E7E6E6"/>
      </w:pPr>
      <w:r>
        <w:rPr>
          <w:bCs/>
          <w:b/>
          <w:sz w:val="21"/>
        </w:rPr>
        <w:t xml:space="preserve">Drafting note (amount below ₹1,000 under a head):</w:t>
      </w:r>
      <w:r>
        <w:rPr>
          <w:sz w:val="21"/>
        </w:rPr>
        <w:t xml:space="preserve"> </w:t>
      </w:r>
      <w:r>
        <w:rPr>
          <w:sz w:val="21"/>
        </w:rPr>
        <w:t xml:space="preserve">say in para 11 what becomes of it. Show it in the</w:t>
      </w:r>
      <w:r>
        <w:rPr>
          <w:sz w:val="21"/>
        </w:rPr>
        <w:t xml:space="preserve"> </w:t>
      </w:r>
      <w:r>
        <w:rPr>
          <w:sz w:val="21"/>
        </w:rPr>
        <w:t xml:space="preserve">“</w:t>
      </w:r>
      <w:r>
        <w:rPr>
          <w:sz w:val="21"/>
        </w:rPr>
        <w:t xml:space="preserve">Rejected</w:t>
      </w:r>
      <w:r>
        <w:rPr>
          <w:sz w:val="21"/>
        </w:rPr>
        <w:t xml:space="preserve">”</w:t>
      </w:r>
      <w:r>
        <w:rPr>
          <w:sz w:val="21"/>
        </w:rPr>
        <w:t xml:space="preserve"> </w:t>
      </w:r>
      <w:r>
        <w:rPr>
          <w:sz w:val="21"/>
        </w:rPr>
        <w:t xml:space="preserve">column of the 11.1 table with the words</w:t>
      </w:r>
      <w:r>
        <w:rPr>
          <w:sz w:val="21"/>
        </w:rPr>
        <w:t xml:space="preserve"> </w:t>
      </w:r>
      <w:r>
        <w:rPr>
          <w:sz w:val="21"/>
        </w:rPr>
        <w:t xml:space="preserve">“</w:t>
      </w:r>
      <w:r>
        <w:rPr>
          <w:sz w:val="21"/>
        </w:rPr>
        <w:t xml:space="preserve">not paid under section 54(14)</w:t>
      </w:r>
      <w:r>
        <w:rPr>
          <w:sz w:val="21"/>
        </w:rPr>
        <w:t xml:space="preserve">”</w:t>
      </w:r>
      <w:r>
        <w:rPr>
          <w:sz w:val="21"/>
        </w:rPr>
        <w:t xml:space="preserve">, so the table balances. Where it was debited from the electronic credit or cash ledger on filing, direct its re-credit by PMT-03 with the rest of the rejected amount [confirm the Commissionerate’s practice].</w:t>
      </w:r>
    </w:p>
    <w:p>
      <w:pPr>
        <w:pStyle w:val="FirstParagraph"/>
        <w:spacing w:before="0" w:after="120" w:line="269" w:lineRule="auto"/>
        <w:jc w:val="both"/>
      </w:pPr>
      <w:r>
        <w:t xml:space="preserve">9.4</w:t>
      </w:r>
      <w:r>
        <w:t xml:space="preserve"> </w:t>
      </w:r>
      <w:r>
        <w:rPr>
          <w:bCs/>
          <w:b/>
        </w:rPr>
        <w:t xml:space="preserve">Bank account.</w:t>
      </w:r>
      <w:r>
        <w:t xml:space="preserve"> </w:t>
      </w:r>
      <w:r>
        <w:t xml:space="preserve">The refund will be credited to the bank account [ending [XXXX]] declared in the application, which is one of the accounts in the applicant’s registration particulars and has been validated on the portal (rule 92(4)).</w:t>
      </w:r>
    </w:p>
    <w:p>
      <w:pPr>
        <w:pStyle w:val="BodyText"/>
        <w:spacing w:before="0" w:after="120" w:line="269" w:lineRule="auto"/>
        <w:jc w:val="both"/>
      </w:pPr>
      <w:r>
        <w:t xml:space="preserve">9.5</w:t>
      </w:r>
      <w:r>
        <w:t xml:space="preserve"> </w:t>
      </w:r>
      <w:r>
        <w:rPr>
          <w:bCs/>
          <w:b/>
        </w:rPr>
        <w:t xml:space="preserve">Time limit and interest on delay (section 54(7), section 56 and rule 94).</w:t>
      </w:r>
      <w:r>
        <w:t xml:space="preserve"> </w:t>
      </w:r>
      <w:r>
        <w:t xml:space="preserve">The application was filed on [DD.MM.YYYY] (the ARN date, as indicated in RFD-02 under rule 90(2)); the period under section 54(7) and section 56 counts from that date and ends on [DD.MM.YYYY].</w:t>
      </w:r>
    </w:p>
    <w:p>
      <w:pPr>
        <w:pStyle w:val="BodyText"/>
        <w:spacing w:before="0" w:after="120" w:line="269" w:lineRule="auto"/>
        <w:jc w:val="both"/>
      </w:pPr>
      <w:r>
        <w:t xml:space="preserve">[Option A] This order and the payment order in FORM GST RFD-05 are issued on [DD.MM.YYYY], within the sixty days. A refund is made only when the amount is credited to the applicant’s bank account (para 34 of Circular No. 125/44/2019-GST); if the credit takes place after [the date on which the sixty days end], interest under section 56 is payable for the days of delay up to the date of credit, and will be sanctioned by a separate order under rule 94.</w:t>
      </w:r>
    </w:p>
    <w:p>
      <w:pPr>
        <w:pStyle w:val="BodyText"/>
        <w:spacing w:before="0" w:after="120" w:line="269" w:lineRule="auto"/>
        <w:jc w:val="both"/>
      </w:pPr>
      <w:r>
        <w:t xml:space="preserve">[Option B] The sixty days ended on [DD.MM.YYYY], before this order. Under section 56 and rule 94, interest at six per cent per annum (Notification No. 13/2017-Central Tax dated 28.06.2017) is payable on the refund sanctioned from [the day after the sixty days end] until the date on which the amount is credited to the applicant’s bank account (para 34 of Circular No. 125/44/2019-GST). Under rule 94(2), the period beyond fifteen days of receipt of the RFD-08 notice taken by the applicant to reply or to submit documents, i.e. from [DD.MM.YYYY] to [DD.MM.YYYY] ([ ] days), and any period taken to correct or validate the bank account, are excluded. A separate order under rule 94(1), with FORM GST RFD-05, will specify the amount of delayed refund, the period of delay and the interest payable.</w:t>
      </w:r>
    </w:p>
    <w:p>
      <w:pPr>
        <w:pStyle w:val="BodyText"/>
        <w:keepNext/>
        <w:spacing w:before="240" w:after="80"/>
        <w:pBdr>
          <w:bottom w:val="single" w:sz="6" w:space="1" w:color="B4C6E7"/>
        </w:pBdr>
      </w:pPr>
      <w:r>
        <w:rPr>
          <w:bCs/>
          <w:b/>
          <w:color w:val="1F3864"/>
          <w:sz w:val="25"/>
        </w:rPr>
        <w:t xml:space="preserve">10. Conclusion</w:t>
      </w:r>
    </w:p>
    <w:p>
      <w:pPr>
        <w:pStyle w:val="BodyText"/>
        <w:spacing w:before="0" w:after="120" w:line="269" w:lineRule="auto"/>
        <w:jc w:val="both"/>
      </w:pPr>
      <w:r>
        <w:t xml:space="preserve">10.1 In view of the above, I find that ₹[ ] of the balance in the electronic cash ledger is refundable to the applicant under section 49(6) read with the proviso to section 54(1), and that ₹[ ] is not refundable for the reasons in paras [6, 7 and 8]. Accordingly, I pass the following order.</w:t>
      </w:r>
    </w:p>
    <w:p>
      <w:pPr>
        <w:pStyle w:val="BodyText"/>
        <w:keepNext/>
        <w:spacing w:before="240" w:after="80"/>
        <w:pBdr>
          <w:bottom w:val="single" w:sz="6" w:space="1" w:color="B4C6E7"/>
        </w:pBdr>
        <w:jc w:val="center"/>
      </w:pPr>
      <w:r>
        <w:rPr>
          <w:bCs/>
          <w:b/>
          <w:color w:val="1F3864"/>
          <w:sz w:val="25"/>
        </w:rPr>
        <w:t xml:space="preserve">11. ORDER</w:t>
      </w:r>
    </w:p>
    <w:p>
      <w:pPr>
        <w:pStyle w:val="BodyText"/>
        <w:spacing w:before="0" w:after="120" w:line="269" w:lineRule="auto"/>
        <w:jc w:val="both"/>
      </w:pPr>
      <w:r>
        <w:t xml:space="preserve">11.1 Under section 54(5) of the CGST Act read with rules 92(1) and 92(4), I sanction refund of</w:t>
      </w:r>
      <w:r>
        <w:t xml:space="preserve"> </w:t>
      </w:r>
      <w:r>
        <w:rPr>
          <w:bCs/>
          <w:b/>
        </w:rPr>
        <w:t xml:space="preserve">₹[ ] (Rupees [amount in words] only)</w:t>
      </w:r>
      <w:r>
        <w:t xml:space="preserve"> </w:t>
      </w:r>
      <w:r>
        <w:t xml:space="preserve">to the applicant, as follows: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63"/>
        <w:gridCol w:w="1515"/>
        <w:gridCol w:w="1894"/>
        <w:gridCol w:w="1810"/>
        <w:gridCol w:w="1515"/>
        <w:gridCol w:w="1641"/>
      </w:tblGrid>
      <w:tr>
        <w:trPr>
          <w:tblHeader w:val="true"/>
          <w:tblHeader/>
        </w:trPr>
        <w:tc>
          <w:tcPr>
            <w:tcW w:type="dxa" w:w="1263"/>
            <w:shd w:val="clear" w:color="auto" w:fill="DCE6F1"/>
          </w:tcPr>
          <w:p>
            <w:pPr>
              <w:pStyle w:val="Compact"/>
              <w:spacing w:before="0" w:after="0" w:line="240" w:lineRule="auto"/>
              <w:jc w:val="left"/>
            </w:pPr>
            <w:r>
              <w:rPr>
                <w:b/>
                <w:color w:val="1F3864"/>
                <w:sz w:val="21"/>
              </w:rPr>
              <w:t xml:space="preserve">Head</w:t>
            </w:r>
          </w:p>
        </w:tc>
        <w:tc>
          <w:tcPr>
            <w:tcW w:type="dxa" w:w="1515"/>
            <w:shd w:val="clear" w:color="auto" w:fill="DCE6F1"/>
          </w:tcPr>
          <w:p>
            <w:pPr>
              <w:pStyle w:val="Compact"/>
              <w:spacing w:before="0" w:after="0" w:line="240" w:lineRule="auto"/>
              <w:jc w:val="left"/>
            </w:pPr>
            <w:r>
              <w:rPr>
                <w:b/>
                <w:color w:val="1F3864"/>
                <w:sz w:val="21"/>
              </w:rPr>
              <w:t xml:space="preserve">Claimed (₹)</w:t>
            </w:r>
          </w:p>
        </w:tc>
        <w:tc>
          <w:tcPr>
            <w:tcW w:type="dxa" w:w="1894"/>
            <w:shd w:val="clear" w:color="auto" w:fill="DCE6F1"/>
          </w:tcPr>
          <w:p>
            <w:pPr>
              <w:pStyle w:val="Compact"/>
              <w:spacing w:before="0" w:after="0" w:line="240" w:lineRule="auto"/>
              <w:jc w:val="left"/>
            </w:pPr>
            <w:r>
              <w:rPr>
                <w:b/>
                <w:color w:val="1F3864"/>
                <w:sz w:val="21"/>
              </w:rPr>
              <w:t xml:space="preserve">Admissible (₹)</w:t>
            </w:r>
          </w:p>
        </w:tc>
        <w:tc>
          <w:tcPr>
            <w:tcW w:type="dxa" w:w="1810"/>
            <w:shd w:val="clear" w:color="auto" w:fill="DCE6F1"/>
          </w:tcPr>
          <w:p>
            <w:pPr>
              <w:pStyle w:val="Compact"/>
              <w:spacing w:before="0" w:after="0" w:line="240" w:lineRule="auto"/>
              <w:jc w:val="left"/>
            </w:pPr>
            <w:r>
              <w:rPr>
                <w:b/>
                <w:color w:val="1F3864"/>
                <w:sz w:val="21"/>
              </w:rPr>
              <w:t xml:space="preserve">Adjusted under section 54(10)(b) in this order / withheld by RFD-07 (₹)</w:t>
            </w:r>
          </w:p>
        </w:tc>
        <w:tc>
          <w:tcPr>
            <w:tcW w:type="dxa" w:w="1515"/>
            <w:shd w:val="clear" w:color="auto" w:fill="DCE6F1"/>
          </w:tcPr>
          <w:p>
            <w:pPr>
              <w:pStyle w:val="Compact"/>
              <w:spacing w:before="0" w:after="0" w:line="240" w:lineRule="auto"/>
              <w:jc w:val="left"/>
            </w:pPr>
            <w:r>
              <w:rPr>
                <w:b/>
                <w:color w:val="1F3864"/>
                <w:sz w:val="21"/>
              </w:rPr>
              <w:t xml:space="preserve">Net payable now by RFD-05 (₹)</w:t>
            </w:r>
          </w:p>
        </w:tc>
        <w:tc>
          <w:tcPr>
            <w:tcW w:type="dxa" w:w="1641"/>
            <w:shd w:val="clear" w:color="auto" w:fill="DCE6F1"/>
          </w:tcPr>
          <w:p>
            <w:pPr>
              <w:pStyle w:val="Compact"/>
              <w:spacing w:before="0" w:after="0" w:line="240" w:lineRule="auto"/>
              <w:jc w:val="left"/>
            </w:pPr>
            <w:r>
              <w:rPr>
                <w:b/>
                <w:color w:val="1F3864"/>
                <w:sz w:val="21"/>
              </w:rPr>
              <w:t xml:space="preserve">Rejected (₹)</w:t>
            </w:r>
          </w:p>
        </w:tc>
      </w:tr>
      <w:tr>
        <w:tc>
          <w:tcPr>
            <w:tcW w:type="dxa" w:w="1263"/>
          </w:tcPr>
          <w:p>
            <w:pPr>
              <w:pStyle w:val="Compact"/>
              <w:spacing w:before="0" w:after="0" w:line="240" w:lineRule="auto"/>
              <w:jc w:val="left"/>
            </w:pPr>
            <w:r>
              <w:rPr>
                <w:sz w:val="21"/>
              </w:rPr>
              <w:t xml:space="preserve">IGST</w:t>
            </w:r>
          </w:p>
        </w:tc>
        <w:tc>
          <w:tcPr>
            <w:tcW w:type="dxa" w:w="1515"/>
          </w:tcPr>
          <w:p>
            <w:pPr>
              <w:pStyle w:val="Compact"/>
              <w:spacing w:before="0" w:after="0" w:line="240" w:lineRule="auto"/>
              <w:jc w:val="left"/>
            </w:pPr>
            <w:r>
              <w:rPr>
                <w:sz w:val="21"/>
              </w:rPr>
              <w:t xml:space="preserve">[ ]</w:t>
            </w:r>
          </w:p>
        </w:tc>
        <w:tc>
          <w:tcPr>
            <w:tcW w:type="dxa" w:w="1894"/>
          </w:tcPr>
          <w:p>
            <w:pPr>
              <w:pStyle w:val="Compact"/>
              <w:spacing w:before="0" w:after="0" w:line="240" w:lineRule="auto"/>
              <w:jc w:val="left"/>
            </w:pPr>
            <w:r>
              <w:rPr>
                <w:sz w:val="21"/>
              </w:rPr>
              <w:t xml:space="preserve">[ ]</w:t>
            </w:r>
          </w:p>
        </w:tc>
        <w:tc>
          <w:tcPr>
            <w:tcW w:type="dxa" w:w="1810"/>
          </w:tcPr>
          <w:p>
            <w:pPr>
              <w:pStyle w:val="Compact"/>
              <w:spacing w:before="0" w:after="0" w:line="240" w:lineRule="auto"/>
              <w:jc w:val="left"/>
            </w:pPr>
            <w:r>
              <w:rPr>
                <w:sz w:val="21"/>
              </w:rPr>
              <w:t xml:space="preserve">[ ]</w:t>
            </w:r>
          </w:p>
        </w:tc>
        <w:tc>
          <w:tcPr>
            <w:tcW w:type="dxa" w:w="1515"/>
          </w:tcPr>
          <w:p>
            <w:pPr>
              <w:pStyle w:val="Compact"/>
              <w:spacing w:before="0" w:after="0" w:line="240" w:lineRule="auto"/>
              <w:jc w:val="left"/>
            </w:pPr>
            <w:r>
              <w:rPr>
                <w:sz w:val="21"/>
              </w:rPr>
              <w:t xml:space="preserve">[ ]</w:t>
            </w:r>
          </w:p>
        </w:tc>
        <w:tc>
          <w:tcPr>
            <w:tcW w:type="dxa" w:w="1641"/>
          </w:tcPr>
          <w:p>
            <w:pPr>
              <w:pStyle w:val="Compact"/>
              <w:spacing w:before="0" w:after="0" w:line="240" w:lineRule="auto"/>
              <w:jc w:val="left"/>
            </w:pPr>
            <w:r>
              <w:rPr>
                <w:sz w:val="21"/>
              </w:rPr>
              <w:t xml:space="preserve">[ ]</w:t>
            </w:r>
          </w:p>
        </w:tc>
      </w:tr>
      <w:tr>
        <w:tc>
          <w:tcPr>
            <w:tcW w:type="dxa" w:w="1263"/>
          </w:tcPr>
          <w:p>
            <w:pPr>
              <w:pStyle w:val="Compact"/>
              <w:spacing w:before="0" w:after="0" w:line="240" w:lineRule="auto"/>
              <w:jc w:val="left"/>
            </w:pPr>
            <w:r>
              <w:rPr>
                <w:sz w:val="21"/>
              </w:rPr>
              <w:t xml:space="preserve">CGST</w:t>
            </w:r>
          </w:p>
        </w:tc>
        <w:tc>
          <w:tcPr>
            <w:tcW w:type="dxa" w:w="1515"/>
          </w:tcPr>
          <w:p>
            <w:pPr>
              <w:pStyle w:val="Compact"/>
              <w:spacing w:before="0" w:after="0" w:line="240" w:lineRule="auto"/>
              <w:jc w:val="left"/>
            </w:pPr>
            <w:r>
              <w:rPr>
                <w:sz w:val="21"/>
              </w:rPr>
              <w:t xml:space="preserve">[ ]</w:t>
            </w:r>
          </w:p>
        </w:tc>
        <w:tc>
          <w:tcPr>
            <w:tcW w:type="dxa" w:w="1894"/>
          </w:tcPr>
          <w:p>
            <w:pPr>
              <w:pStyle w:val="Compact"/>
              <w:spacing w:before="0" w:after="0" w:line="240" w:lineRule="auto"/>
              <w:jc w:val="left"/>
            </w:pPr>
            <w:r>
              <w:rPr>
                <w:sz w:val="21"/>
              </w:rPr>
              <w:t xml:space="preserve">[ ]</w:t>
            </w:r>
          </w:p>
        </w:tc>
        <w:tc>
          <w:tcPr>
            <w:tcW w:type="dxa" w:w="1810"/>
          </w:tcPr>
          <w:p>
            <w:pPr>
              <w:pStyle w:val="Compact"/>
              <w:spacing w:before="0" w:after="0" w:line="240" w:lineRule="auto"/>
              <w:jc w:val="left"/>
            </w:pPr>
            <w:r>
              <w:rPr>
                <w:sz w:val="21"/>
              </w:rPr>
              <w:t xml:space="preserve">[ ]</w:t>
            </w:r>
          </w:p>
        </w:tc>
        <w:tc>
          <w:tcPr>
            <w:tcW w:type="dxa" w:w="1515"/>
          </w:tcPr>
          <w:p>
            <w:pPr>
              <w:pStyle w:val="Compact"/>
              <w:spacing w:before="0" w:after="0" w:line="240" w:lineRule="auto"/>
              <w:jc w:val="left"/>
            </w:pPr>
            <w:r>
              <w:rPr>
                <w:sz w:val="21"/>
              </w:rPr>
              <w:t xml:space="preserve">[ ]</w:t>
            </w:r>
          </w:p>
        </w:tc>
        <w:tc>
          <w:tcPr>
            <w:tcW w:type="dxa" w:w="1641"/>
          </w:tcPr>
          <w:p>
            <w:pPr>
              <w:pStyle w:val="Compact"/>
              <w:spacing w:before="0" w:after="0" w:line="240" w:lineRule="auto"/>
              <w:jc w:val="left"/>
            </w:pPr>
            <w:r>
              <w:rPr>
                <w:sz w:val="21"/>
              </w:rPr>
              <w:t xml:space="preserve">[ ]</w:t>
            </w:r>
          </w:p>
        </w:tc>
      </w:tr>
      <w:tr>
        <w:tc>
          <w:tcPr>
            <w:tcW w:type="dxa" w:w="1263"/>
          </w:tcPr>
          <w:p>
            <w:pPr>
              <w:pStyle w:val="Compact"/>
              <w:spacing w:before="0" w:after="0" w:line="240" w:lineRule="auto"/>
              <w:jc w:val="left"/>
            </w:pPr>
            <w:r>
              <w:rPr>
                <w:sz w:val="21"/>
              </w:rPr>
              <w:t xml:space="preserve">SGST</w:t>
            </w:r>
          </w:p>
        </w:tc>
        <w:tc>
          <w:tcPr>
            <w:tcW w:type="dxa" w:w="1515"/>
          </w:tcPr>
          <w:p>
            <w:pPr>
              <w:pStyle w:val="Compact"/>
              <w:spacing w:before="0" w:after="0" w:line="240" w:lineRule="auto"/>
              <w:jc w:val="left"/>
            </w:pPr>
            <w:r>
              <w:rPr>
                <w:sz w:val="21"/>
              </w:rPr>
              <w:t xml:space="preserve">[ ]</w:t>
            </w:r>
          </w:p>
        </w:tc>
        <w:tc>
          <w:tcPr>
            <w:tcW w:type="dxa" w:w="1894"/>
          </w:tcPr>
          <w:p>
            <w:pPr>
              <w:pStyle w:val="Compact"/>
              <w:spacing w:before="0" w:after="0" w:line="240" w:lineRule="auto"/>
              <w:jc w:val="left"/>
            </w:pPr>
            <w:r>
              <w:rPr>
                <w:sz w:val="21"/>
              </w:rPr>
              <w:t xml:space="preserve">[ ]</w:t>
            </w:r>
          </w:p>
        </w:tc>
        <w:tc>
          <w:tcPr>
            <w:tcW w:type="dxa" w:w="1810"/>
          </w:tcPr>
          <w:p>
            <w:pPr>
              <w:pStyle w:val="Compact"/>
              <w:spacing w:before="0" w:after="0" w:line="240" w:lineRule="auto"/>
              <w:jc w:val="left"/>
            </w:pPr>
            <w:r>
              <w:rPr>
                <w:sz w:val="21"/>
              </w:rPr>
              <w:t xml:space="preserve">[ ]</w:t>
            </w:r>
          </w:p>
        </w:tc>
        <w:tc>
          <w:tcPr>
            <w:tcW w:type="dxa" w:w="1515"/>
          </w:tcPr>
          <w:p>
            <w:pPr>
              <w:pStyle w:val="Compact"/>
              <w:spacing w:before="0" w:after="0" w:line="240" w:lineRule="auto"/>
              <w:jc w:val="left"/>
            </w:pPr>
            <w:r>
              <w:rPr>
                <w:sz w:val="21"/>
              </w:rPr>
              <w:t xml:space="preserve">[ ]</w:t>
            </w:r>
          </w:p>
        </w:tc>
        <w:tc>
          <w:tcPr>
            <w:tcW w:type="dxa" w:w="1641"/>
          </w:tcPr>
          <w:p>
            <w:pPr>
              <w:pStyle w:val="Compact"/>
              <w:spacing w:before="0" w:after="0" w:line="240" w:lineRule="auto"/>
              <w:jc w:val="left"/>
            </w:pPr>
            <w:r>
              <w:rPr>
                <w:sz w:val="21"/>
              </w:rPr>
              <w:t xml:space="preserve">[ ]</w:t>
            </w:r>
          </w:p>
        </w:tc>
      </w:tr>
      <w:tr>
        <w:tc>
          <w:tcPr>
            <w:tcW w:type="dxa" w:w="1263"/>
          </w:tcPr>
          <w:p>
            <w:pPr>
              <w:pStyle w:val="Compact"/>
              <w:spacing w:before="0" w:after="0" w:line="240" w:lineRule="auto"/>
              <w:jc w:val="left"/>
            </w:pPr>
            <w:r>
              <w:rPr>
                <w:sz w:val="21"/>
              </w:rPr>
              <w:t xml:space="preserve">Cess</w:t>
            </w:r>
          </w:p>
        </w:tc>
        <w:tc>
          <w:tcPr>
            <w:tcW w:type="dxa" w:w="1515"/>
          </w:tcPr>
          <w:p>
            <w:pPr>
              <w:pStyle w:val="Compact"/>
              <w:spacing w:before="0" w:after="0" w:line="240" w:lineRule="auto"/>
              <w:jc w:val="left"/>
            </w:pPr>
            <w:r>
              <w:rPr>
                <w:sz w:val="21"/>
              </w:rPr>
              <w:t xml:space="preserve">[ ]</w:t>
            </w:r>
          </w:p>
        </w:tc>
        <w:tc>
          <w:tcPr>
            <w:tcW w:type="dxa" w:w="1894"/>
          </w:tcPr>
          <w:p>
            <w:pPr>
              <w:pStyle w:val="Compact"/>
              <w:spacing w:before="0" w:after="0" w:line="240" w:lineRule="auto"/>
              <w:jc w:val="left"/>
            </w:pPr>
            <w:r>
              <w:rPr>
                <w:sz w:val="21"/>
              </w:rPr>
              <w:t xml:space="preserve">[ ]</w:t>
            </w:r>
          </w:p>
        </w:tc>
        <w:tc>
          <w:tcPr>
            <w:tcW w:type="dxa" w:w="1810"/>
          </w:tcPr>
          <w:p>
            <w:pPr>
              <w:pStyle w:val="Compact"/>
              <w:spacing w:before="0" w:after="0" w:line="240" w:lineRule="auto"/>
              <w:jc w:val="left"/>
            </w:pPr>
            <w:r>
              <w:rPr>
                <w:sz w:val="21"/>
              </w:rPr>
              <w:t xml:space="preserve">[ ]</w:t>
            </w:r>
          </w:p>
        </w:tc>
        <w:tc>
          <w:tcPr>
            <w:tcW w:type="dxa" w:w="1515"/>
          </w:tcPr>
          <w:p>
            <w:pPr>
              <w:pStyle w:val="Compact"/>
              <w:spacing w:before="0" w:after="0" w:line="240" w:lineRule="auto"/>
              <w:jc w:val="left"/>
            </w:pPr>
            <w:r>
              <w:rPr>
                <w:sz w:val="21"/>
              </w:rPr>
              <w:t xml:space="preserve">[ ]</w:t>
            </w:r>
          </w:p>
        </w:tc>
        <w:tc>
          <w:tcPr>
            <w:tcW w:type="dxa" w:w="1641"/>
          </w:tcPr>
          <w:p>
            <w:pPr>
              <w:pStyle w:val="Compact"/>
              <w:spacing w:before="0" w:after="0" w:line="240" w:lineRule="auto"/>
              <w:jc w:val="left"/>
            </w:pPr>
            <w:r>
              <w:rPr>
                <w:sz w:val="21"/>
              </w:rPr>
              <w:t xml:space="preserve">[ ]</w:t>
            </w:r>
          </w:p>
        </w:tc>
      </w:tr>
      <w:tr>
        <w:tc>
          <w:tcPr>
            <w:tcW w:type="dxa" w:w="1263"/>
            <w:shd w:val="clear" w:color="auto" w:fill="F2F2F2"/>
          </w:tcPr>
          <w:p>
            <w:pPr>
              <w:pStyle w:val="Compact"/>
              <w:spacing w:before="0" w:after="0" w:line="240" w:lineRule="auto"/>
              <w:jc w:val="left"/>
            </w:pPr>
            <w:r>
              <w:rPr>
                <w:bCs/>
                <w:b/>
                <w:sz w:val="21"/>
              </w:rPr>
              <w:t xml:space="preserve">Total</w:t>
            </w:r>
          </w:p>
        </w:tc>
        <w:tc>
          <w:tcPr>
            <w:tcW w:type="dxa" w:w="1515"/>
            <w:shd w:val="clear" w:color="auto" w:fill="F2F2F2"/>
          </w:tcPr>
          <w:p>
            <w:pPr>
              <w:pStyle w:val="Compact"/>
              <w:spacing w:before="0" w:after="0" w:line="240" w:lineRule="auto"/>
              <w:jc w:val="left"/>
            </w:pPr>
            <w:r>
              <w:rPr>
                <w:bCs/>
                <w:b/>
                <w:sz w:val="21"/>
              </w:rPr>
              <w:t xml:space="preserve">[ ]</w:t>
            </w:r>
          </w:p>
        </w:tc>
        <w:tc>
          <w:tcPr>
            <w:tcW w:type="dxa" w:w="1894"/>
            <w:shd w:val="clear" w:color="auto" w:fill="F2F2F2"/>
          </w:tcPr>
          <w:p>
            <w:pPr>
              <w:pStyle w:val="Compact"/>
              <w:spacing w:before="0" w:after="0" w:line="240" w:lineRule="auto"/>
              <w:jc w:val="left"/>
            </w:pPr>
            <w:r>
              <w:rPr>
                <w:bCs/>
                <w:b/>
                <w:sz w:val="21"/>
              </w:rPr>
              <w:t xml:space="preserve">[ ]</w:t>
            </w:r>
          </w:p>
        </w:tc>
        <w:tc>
          <w:tcPr>
            <w:tcW w:type="dxa" w:w="1810"/>
            <w:shd w:val="clear" w:color="auto" w:fill="F2F2F2"/>
          </w:tcPr>
          <w:p>
            <w:pPr>
              <w:pStyle w:val="Compact"/>
              <w:spacing w:before="0" w:after="0" w:line="240" w:lineRule="auto"/>
              <w:jc w:val="left"/>
            </w:pPr>
            <w:r>
              <w:rPr>
                <w:bCs/>
                <w:b/>
                <w:sz w:val="21"/>
              </w:rPr>
              <w:t xml:space="preserve">[ ]</w:t>
            </w:r>
          </w:p>
        </w:tc>
        <w:tc>
          <w:tcPr>
            <w:tcW w:type="dxa" w:w="1515"/>
            <w:shd w:val="clear" w:color="auto" w:fill="F2F2F2"/>
          </w:tcPr>
          <w:p>
            <w:pPr>
              <w:pStyle w:val="Compact"/>
              <w:spacing w:before="0" w:after="0" w:line="240" w:lineRule="auto"/>
              <w:jc w:val="left"/>
            </w:pPr>
            <w:r>
              <w:rPr>
                <w:bCs/>
                <w:b/>
                <w:sz w:val="21"/>
              </w:rPr>
              <w:t xml:space="preserve">[ ]</w:t>
            </w:r>
          </w:p>
        </w:tc>
        <w:tc>
          <w:tcPr>
            <w:tcW w:type="dxa" w:w="1641"/>
            <w:shd w:val="clear" w:color="auto" w:fill="F2F2F2"/>
          </w:tcPr>
          <w:p>
            <w:pPr>
              <w:pStyle w:val="Compact"/>
              <w:spacing w:before="0" w:after="0" w:line="240" w:lineRule="auto"/>
              <w:jc w:val="left"/>
            </w:pPr>
            <w:r>
              <w:rPr>
                <w:bCs/>
                <w:b/>
                <w:sz w:val="21"/>
              </w:rPr>
              <w:t xml:space="preserve">[ ]</w:t>
            </w:r>
          </w:p>
        </w:tc>
      </w:tr>
    </w:tbl>
    <w:p>
      <w:pPr>
        <w:pStyle w:val="BodyText"/>
        <w:spacing w:before="0" w:after="120" w:line="269" w:lineRule="auto"/>
        <w:jc w:val="both"/>
      </w:pPr>
      <w:r>
        <w:t xml:space="preserve">11.2 The net amount of ₹[ ] shall be credited to the applicant’s bank account by payment order in FORM GST RFD-05 (rule 92(4)). [Option: ₹[ ] adjusted under section 54(10)(b) shall be appropriated against [demand ID / order No.]; ₹[ ] is withheld by RFD-07 Part A as stated in para 9.2.]</w:t>
      </w:r>
    </w:p>
    <w:p>
      <w:pPr>
        <w:pStyle w:val="BodyText"/>
        <w:spacing w:before="0" w:after="120" w:line="269" w:lineRule="auto"/>
      </w:pPr>
      <w:r>
        <w:t xml:space="preserve">11.3 Under rule 92(3), I reject refund of</w:t>
      </w:r>
      <w:r>
        <w:t xml:space="preserve"> </w:t>
      </w:r>
      <w:r>
        <w:rPr>
          <w:bCs/>
          <w:b/>
        </w:rPr>
        <w:t xml:space="preserve">₹[ ] (Rupees [amount in words] only)</w:t>
      </w:r>
      <w:r>
        <w:t xml:space="preserve"> </w:t>
      </w:r>
      <w:r>
        <w:t xml:space="preserve">for the reasons in paras [6, 7 and 8].</w:t>
      </w:r>
    </w:p>
    <w:p>
      <w:pPr>
        <w:pStyle w:val="BodyText"/>
        <w:spacing w:before="0" w:after="120" w:line="269" w:lineRule="auto"/>
        <w:jc w:val="both"/>
      </w:pPr>
      <w:r>
        <w:t xml:space="preserve">11.4 The amount rejected in para 11.3, which was debited from the electronic cash ledger on filing, shall be re-credited to the electronic cash ledger by an order in FORM GST PMT-03, after the applicant gives an undertaking in writing that it will not file an appeal, or, if it files an appeal, after the appeal is finally rejected (rule 93 and its Explanation, applied to the ledger from which the amount was debited, and paras 21 to 23 of Circular No. 125/44/2019-GST, which apply the PMT-03 re-credit to rejections on any ground). Rejection does not forfeit the deposit; it remains available to the applicant in its electronic cash ledger.</w:t>
      </w:r>
    </w:p>
    <w:p>
      <w:pPr>
        <w:pStyle w:val="BodyText"/>
        <w:spacing w:before="0" w:after="120" w:line="269" w:lineRule="auto"/>
        <w:jc w:val="both"/>
      </w:pPr>
      <w:r>
        <w:t xml:space="preserve">11.5 [Option: Interest under section 56 on the delayed refund shall be paid by a separate order under rule 94, as stated in para 9.5.]</w:t>
      </w:r>
    </w:p>
    <w:p>
      <w:pPr>
        <w:pStyle w:val="BlockText"/>
        <w:shd w:val="clear" w:color="auto" w:fill="E7E6E6"/>
      </w:pPr>
      <w:r>
        <w:rPr>
          <w:bCs/>
          <w:b/>
          <w:sz w:val="21"/>
        </w:rPr>
        <w:t xml:space="preserve">Drafting note: final check before signing.</w:t>
      </w:r>
      <w:r>
        <w:rPr>
          <w:sz w:val="21"/>
        </w:rPr>
        <w:t xml:space="preserve"> </w:t>
      </w:r>
      <w:r>
        <w:rPr>
          <w:sz w:val="21"/>
        </w:rPr>
        <w:t xml:space="preserve">(1) The admissible amount in the computation, the head-wise table in para 11, the figures in the ORDER and the amount in words all agree. (2) Under every tax head, admissible + rejected = amount claimed, and admissible = amount adjusted or withheld + net amount now payable. (3) The amount rejected equals the amount to be re-credited to the electronic cash ledger by PMT-03, head-wise and minor-head-wise. (4) Every ground in the RFD-08 notice has a finding. (5) No bracket, blank date, drafting note or another case’s figures remain. (6) Figures are rounded to the nearest rupee (section 170). (7) Paragraph numbers run in order.</w:t>
      </w:r>
    </w:p>
    <w:p>
      <w:pPr>
        <w:pStyle w:val="FirstParagraph"/>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p>
    <w:p>
      <w:pPr>
        <w:pStyle w:val="BodyText"/>
        <w:spacing w:before="0" w:after="120" w:line="269" w:lineRule="auto"/>
        <w:jc w:val="both"/>
      </w:pPr>
      <w:r>
        <w:t xml:space="preserve">To,</w:t>
      </w:r>
      <w:r>
        <w:br/>
      </w:r>
      <w:r>
        <w:t xml:space="preserve">[Legal name of the applicant] (GSTIN [ ]), [address] (through the common portal and by e-mail to the registered e-mail address)</w:t>
      </w:r>
    </w:p>
    <w:p>
      <w:pPr>
        <w:pStyle w:val="BodyText"/>
        <w:spacing w:before="0" w:after="120" w:line="269" w:lineRule="auto"/>
      </w:pPr>
      <w:r>
        <w:t xml:space="preserve">Copy to:</w:t>
      </w:r>
    </w:p>
    <w:p>
      <w:pPr>
        <w:numPr>
          <w:ilvl w:val="0"/>
          <w:numId w:val="1002"/>
        </w:numPr>
        <w:pStyle w:val="Compact"/>
        <w:spacing w:before="0" w:after="120" w:line="269" w:lineRule="auto"/>
      </w:pPr>
      <w:r>
        <w:t xml:space="preserve">The Commissioner of Central Tax, Medchal CGST Commissionerate (by name to the Assistant Commissioner (Review – Refunds), Headquarters), for review under section 107(2).</w:t>
      </w:r>
    </w:p>
    <w:p>
      <w:pPr>
        <w:numPr>
          <w:ilvl w:val="0"/>
          <w:numId w:val="1002"/>
        </w:numPr>
        <w:pStyle w:val="Compact"/>
        <w:spacing w:before="0" w:after="120" w:line="269" w:lineRule="auto"/>
      </w:pPr>
      <w:r>
        <w:t xml:space="preserve">The Assistant / Deputy Commissioner (Post-Audit), Medchal CGST Commissionerate, for post-audit of refund orders.</w:t>
      </w:r>
    </w:p>
    <w:p>
      <w:pPr>
        <w:numPr>
          <w:ilvl w:val="0"/>
          <w:numId w:val="1002"/>
        </w:numPr>
        <w:pStyle w:val="Compact"/>
        <w:spacing w:before="0" w:after="120" w:line="269" w:lineRule="auto"/>
      </w:pPr>
      <w:r>
        <w:t xml:space="preserve">The Superintendent, [Range], Sangareddy CGST Division, for information and for updating the refund register.</w:t>
      </w:r>
    </w:p>
    <w:p>
      <w:pPr>
        <w:numPr>
          <w:ilvl w:val="0"/>
          <w:numId w:val="1002"/>
        </w:numPr>
        <w:pStyle w:val="Compact"/>
        <w:spacing w:before="0" w:after="120" w:line="269" w:lineRule="auto"/>
      </w:pPr>
      <w:r>
        <w:t xml:space="preserve">Guard file / Office copy.</w:t>
      </w:r>
    </w:p>
    <w:p>
      <w:pPr>
        <w:pStyle w:val="FirstParagraph"/>
        <w:keepNext/>
        <w:spacing w:before="240" w:after="80"/>
        <w:pBdr>
          <w:bottom w:val="single" w:sz="6" w:space="1" w:color="B4C6E7"/>
        </w:pBdr>
      </w:pPr>
      <w:r>
        <w:rPr>
          <w:bCs/>
          <w:b/>
          <w:color w:val="1F3864"/>
          <w:sz w:val="25"/>
        </w:rPr>
        <w:t xml:space="preserve">Annexure for the drafting officer (delete before signing): worked example with hypothetical figures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453"/>
        <w:gridCol w:w="6854"/>
        <w:gridCol w:w="1331"/>
      </w:tblGrid>
      <w:tr>
        <w:trPr>
          <w:tblHeader w:val="true"/>
          <w:tblHeader/>
        </w:trPr>
        <w:tc>
          <w:tcPr>
            <w:tcW w:type="dxa" w:w="1453"/>
            <w:shd w:val="clear" w:color="auto" w:fill="DCE6F1"/>
          </w:tcPr>
          <w:p>
            <w:pPr>
              <w:pStyle w:val="Compact"/>
              <w:spacing w:before="0" w:after="0" w:line="240" w:lineRule="auto"/>
              <w:jc w:val="left"/>
            </w:pPr>
            <w:r>
              <w:rPr>
                <w:b/>
                <w:color w:val="1F3864"/>
                <w:sz w:val="21"/>
              </w:rPr>
              <w:t xml:space="preserve">Step</w:t>
            </w:r>
          </w:p>
        </w:tc>
        <w:tc>
          <w:tcPr>
            <w:tcW w:type="dxa" w:w="6854"/>
            <w:shd w:val="clear" w:color="auto" w:fill="DCE6F1"/>
          </w:tcPr>
          <w:p>
            <w:pPr>
              <w:pStyle w:val="Compact"/>
              <w:spacing w:before="0" w:after="0" w:line="240" w:lineRule="auto"/>
              <w:jc w:val="left"/>
            </w:pPr>
            <w:r>
              <w:rPr>
                <w:b/>
                <w:color w:val="1F3864"/>
                <w:sz w:val="21"/>
              </w:rPr>
              <w:t xml:space="preserve">Working</w:t>
            </w:r>
          </w:p>
        </w:tc>
        <w:tc>
          <w:tcPr>
            <w:tcW w:type="dxa" w:w="1331"/>
            <w:shd w:val="clear" w:color="auto" w:fill="DCE6F1"/>
          </w:tcPr>
          <w:p>
            <w:pPr>
              <w:pStyle w:val="Compact"/>
              <w:spacing w:before="0" w:after="0" w:line="240" w:lineRule="auto"/>
              <w:jc w:val="left"/>
            </w:pPr>
            <w:r>
              <w:rPr>
                <w:b/>
                <w:color w:val="1F3864"/>
                <w:sz w:val="21"/>
              </w:rPr>
              <w:t xml:space="preserve">Amount (₹)</w:t>
            </w:r>
          </w:p>
        </w:tc>
      </w:tr>
      <w:tr>
        <w:tc>
          <w:tcPr>
            <w:tcW w:type="dxa" w:w="1453"/>
          </w:tcPr>
          <w:p>
            <w:pPr>
              <w:pStyle w:val="Compact"/>
              <w:spacing w:before="0" w:after="0" w:line="240" w:lineRule="auto"/>
              <w:jc w:val="left"/>
            </w:pPr>
            <w:r>
              <w:rPr>
                <w:sz w:val="21"/>
              </w:rPr>
              <w:t xml:space="preserve">Claimed (tax minor head)</w:t>
            </w:r>
          </w:p>
        </w:tc>
        <w:tc>
          <w:tcPr>
            <w:tcW w:type="dxa" w:w="6854"/>
          </w:tcPr>
          <w:p>
            <w:pPr>
              <w:pStyle w:val="Compact"/>
              <w:spacing w:before="0" w:after="0" w:line="240" w:lineRule="auto"/>
              <w:jc w:val="left"/>
            </w:pPr>
            <w:r>
              <w:rPr>
                <w:sz w:val="21"/>
              </w:rPr>
              <w:t xml:space="preserve">IGST 25,000 (challan 15,000 + TDS 10,000); CGST 40,000; SGST 40,000; debited on filing</w:t>
            </w:r>
          </w:p>
        </w:tc>
        <w:tc>
          <w:tcPr>
            <w:tcW w:type="dxa" w:w="1331"/>
          </w:tcPr>
          <w:p>
            <w:pPr>
              <w:pStyle w:val="Compact"/>
              <w:spacing w:before="0" w:after="0" w:line="240" w:lineRule="auto"/>
              <w:jc w:val="left"/>
            </w:pPr>
            <w:r>
              <w:rPr>
                <w:sz w:val="21"/>
              </w:rPr>
              <w:t xml:space="preserve">1,05,000</w:t>
            </w:r>
          </w:p>
        </w:tc>
      </w:tr>
      <w:tr>
        <w:tc>
          <w:tcPr>
            <w:tcW w:type="dxa" w:w="1453"/>
          </w:tcPr>
          <w:p>
            <w:pPr>
              <w:pStyle w:val="Compact"/>
              <w:spacing w:before="0" w:after="0" w:line="240" w:lineRule="auto"/>
              <w:jc w:val="left"/>
            </w:pPr>
            <w:r>
              <w:rPr>
                <w:sz w:val="21"/>
              </w:rPr>
              <w:t xml:space="preserve">Rejected</w:t>
            </w:r>
          </w:p>
        </w:tc>
        <w:tc>
          <w:tcPr>
            <w:tcW w:type="dxa" w:w="6854"/>
          </w:tcPr>
          <w:p>
            <w:pPr>
              <w:pStyle w:val="Compact"/>
              <w:spacing w:before="0" w:after="0" w:line="240" w:lineRule="auto"/>
              <w:jc w:val="left"/>
            </w:pPr>
            <w:r>
              <w:rPr>
                <w:sz w:val="21"/>
              </w:rPr>
              <w:t xml:space="preserve">TDS credit of 10,000 disputed by the deductor (para 6.5), put in the RFD-08</w:t>
            </w:r>
          </w:p>
        </w:tc>
        <w:tc>
          <w:tcPr>
            <w:tcW w:type="dxa" w:w="1331"/>
          </w:tcPr>
          <w:p>
            <w:pPr>
              <w:pStyle w:val="Compact"/>
              <w:spacing w:before="0" w:after="0" w:line="240" w:lineRule="auto"/>
              <w:jc w:val="left"/>
            </w:pPr>
            <w:r>
              <w:rPr>
                <w:sz w:val="21"/>
              </w:rPr>
              <w:t xml:space="preserve">10,000</w:t>
            </w:r>
          </w:p>
        </w:tc>
      </w:tr>
      <w:tr>
        <w:tc>
          <w:tcPr>
            <w:tcW w:type="dxa" w:w="1453"/>
          </w:tcPr>
          <w:p>
            <w:pPr>
              <w:pStyle w:val="Compact"/>
              <w:spacing w:before="0" w:after="0" w:line="240" w:lineRule="auto"/>
              <w:jc w:val="left"/>
            </w:pPr>
            <w:r>
              <w:rPr>
                <w:sz w:val="21"/>
              </w:rPr>
              <w:t xml:space="preserve">Admissible</w:t>
            </w:r>
          </w:p>
        </w:tc>
        <w:tc>
          <w:tcPr>
            <w:tcW w:type="dxa" w:w="6854"/>
          </w:tcPr>
          <w:p>
            <w:pPr>
              <w:pStyle w:val="Compact"/>
              <w:spacing w:before="0" w:after="0" w:line="240" w:lineRule="auto"/>
              <w:jc w:val="left"/>
            </w:pPr>
            <w:r>
              <w:rPr>
                <w:sz w:val="21"/>
              </w:rPr>
              <w:t xml:space="preserve">IGST 15,000; CGST 40,000; SGST 40,000</w:t>
            </w:r>
          </w:p>
        </w:tc>
        <w:tc>
          <w:tcPr>
            <w:tcW w:type="dxa" w:w="1331"/>
          </w:tcPr>
          <w:p>
            <w:pPr>
              <w:pStyle w:val="Compact"/>
              <w:spacing w:before="0" w:after="0" w:line="240" w:lineRule="auto"/>
              <w:jc w:val="left"/>
            </w:pPr>
            <w:r>
              <w:rPr>
                <w:sz w:val="21"/>
              </w:rPr>
              <w:t xml:space="preserve">95,000</w:t>
            </w:r>
          </w:p>
        </w:tc>
      </w:tr>
      <w:tr>
        <w:tc>
          <w:tcPr>
            <w:tcW w:type="dxa" w:w="1453"/>
          </w:tcPr>
          <w:p>
            <w:pPr>
              <w:pStyle w:val="Compact"/>
              <w:spacing w:before="0" w:after="0" w:line="240" w:lineRule="auto"/>
              <w:jc w:val="left"/>
            </w:pPr>
            <w:r>
              <w:rPr>
                <w:sz w:val="21"/>
              </w:rPr>
              <w:t xml:space="preserve">Adjusted</w:t>
            </w:r>
          </w:p>
        </w:tc>
        <w:tc>
          <w:tcPr>
            <w:tcW w:type="dxa" w:w="6854"/>
          </w:tcPr>
          <w:p>
            <w:pPr>
              <w:pStyle w:val="Compact"/>
              <w:spacing w:before="0" w:after="0" w:line="240" w:lineRule="auto"/>
              <w:jc w:val="left"/>
            </w:pPr>
            <w:r>
              <w:rPr>
                <w:sz w:val="21"/>
              </w:rPr>
              <w:t xml:space="preserve">Confirmed CGST demand, not stayed (section 54(10)(b))</w:t>
            </w:r>
          </w:p>
        </w:tc>
        <w:tc>
          <w:tcPr>
            <w:tcW w:type="dxa" w:w="1331"/>
          </w:tcPr>
          <w:p>
            <w:pPr>
              <w:pStyle w:val="Compact"/>
              <w:spacing w:before="0" w:after="0" w:line="240" w:lineRule="auto"/>
              <w:jc w:val="left"/>
            </w:pPr>
            <w:r>
              <w:rPr>
                <w:sz w:val="21"/>
              </w:rPr>
              <w:t xml:space="preserve">8,000</w:t>
            </w:r>
          </w:p>
        </w:tc>
      </w:tr>
      <w:tr>
        <w:tc>
          <w:tcPr>
            <w:tcW w:type="dxa" w:w="1453"/>
          </w:tcPr>
          <w:p>
            <w:pPr>
              <w:pStyle w:val="Compact"/>
              <w:spacing w:before="0" w:after="0" w:line="240" w:lineRule="auto"/>
              <w:jc w:val="left"/>
            </w:pPr>
            <w:r>
              <w:rPr>
                <w:sz w:val="21"/>
              </w:rPr>
              <w:t xml:space="preserve">Net payable by RFD-05</w:t>
            </w:r>
          </w:p>
        </w:tc>
        <w:tc>
          <w:tcPr>
            <w:tcW w:type="dxa" w:w="6854"/>
          </w:tcPr>
          <w:p>
            <w:pPr>
              <w:pStyle w:val="Compact"/>
              <w:spacing w:before="0" w:after="0" w:line="240" w:lineRule="auto"/>
              <w:jc w:val="left"/>
            </w:pPr>
            <w:r>
              <w:rPr>
                <w:sz w:val="21"/>
              </w:rPr>
              <w:t xml:space="preserve">IGST 15,000; CGST 32,000; SGST 40,000</w:t>
            </w:r>
          </w:p>
        </w:tc>
        <w:tc>
          <w:tcPr>
            <w:tcW w:type="dxa" w:w="1331"/>
          </w:tcPr>
          <w:p>
            <w:pPr>
              <w:pStyle w:val="Compact"/>
              <w:spacing w:before="0" w:after="0" w:line="240" w:lineRule="auto"/>
              <w:jc w:val="left"/>
            </w:pPr>
            <w:r>
              <w:rPr>
                <w:sz w:val="21"/>
              </w:rPr>
              <w:t xml:space="preserve">87,000</w:t>
            </w:r>
          </w:p>
        </w:tc>
      </w:tr>
      <w:tr>
        <w:tc>
          <w:tcPr>
            <w:tcW w:type="dxa" w:w="1453"/>
          </w:tcPr>
          <w:p>
            <w:pPr>
              <w:pStyle w:val="Compact"/>
              <w:spacing w:before="0" w:after="0" w:line="240" w:lineRule="auto"/>
              <w:jc w:val="left"/>
            </w:pPr>
            <w:r>
              <w:rPr>
                <w:sz w:val="21"/>
              </w:rPr>
              <w:t xml:space="preserve">PMT-03</w:t>
            </w:r>
          </w:p>
        </w:tc>
        <w:tc>
          <w:tcPr>
            <w:tcW w:type="dxa" w:w="6854"/>
          </w:tcPr>
          <w:p>
            <w:pPr>
              <w:pStyle w:val="Compact"/>
              <w:spacing w:before="0" w:after="0" w:line="240" w:lineRule="auto"/>
              <w:jc w:val="left"/>
            </w:pPr>
            <w:r>
              <w:rPr>
                <w:sz w:val="21"/>
              </w:rPr>
              <w:t xml:space="preserve">IGST 10,000 re-credited to the cash ledger after the undertaking or final appeal</w:t>
            </w:r>
          </w:p>
        </w:tc>
        <w:tc>
          <w:tcPr>
            <w:tcW w:type="dxa" w:w="1331"/>
          </w:tcPr>
          <w:p>
            <w:pPr>
              <w:pStyle w:val="Compact"/>
              <w:spacing w:before="0" w:after="0" w:line="240" w:lineRule="auto"/>
              <w:jc w:val="left"/>
            </w:pPr>
            <w:r>
              <w:rPr>
                <w:sz w:val="21"/>
              </w:rPr>
              <w:t xml:space="preserve">10,000</w:t>
            </w:r>
          </w:p>
        </w:tc>
      </w:tr>
      <w:tr>
        <w:tc>
          <w:tcPr>
            <w:tcW w:type="dxa" w:w="1453"/>
          </w:tcPr>
          <w:p>
            <w:pPr>
              <w:pStyle w:val="Compact"/>
              <w:spacing w:before="0" w:after="0" w:line="240" w:lineRule="auto"/>
              <w:jc w:val="left"/>
            </w:pPr>
            <w:r>
              <w:rPr>
                <w:sz w:val="21"/>
              </w:rPr>
              <w:t xml:space="preserve">Check</w:t>
            </w:r>
          </w:p>
        </w:tc>
        <w:tc>
          <w:tcPr>
            <w:tcW w:type="dxa" w:w="6854"/>
          </w:tcPr>
          <w:p>
            <w:pPr>
              <w:pStyle w:val="Compact"/>
              <w:spacing w:before="0" w:after="0" w:line="240" w:lineRule="auto"/>
              <w:jc w:val="left"/>
            </w:pPr>
            <w:r>
              <w:rPr>
                <w:sz w:val="21"/>
              </w:rPr>
              <w:t xml:space="preserve">95,000 + 10,000 = 1,05,000; 8,000 + 87,000 = 95,000; each head at least ₹1,000</w:t>
            </w:r>
          </w:p>
        </w:tc>
        <w:tc>
          <w:tcPr>
            <w:tcW w:type="dxa" w:w="1331"/>
          </w:tcPr>
          <w:p>
            <w:pPr>
              <w:pStyle w:val="Compact"/>
              <w:spacing w:before="0" w:after="0" w:line="240" w:lineRule="auto"/>
            </w:pPr>
          </w:p>
        </w:tc>
      </w:tr>
    </w:tbl>
    <w:p>
      <w:pPr>
        <w:pStyle w:val="BlockText"/>
        <w:shd w:val="clear" w:color="auto" w:fill="E7E6E6"/>
        <w:spacing w:before="360"/>
      </w:pPr>
      <w:r>
        <w:rPr>
          <w:bCs/>
          <w:b/>
          <w:sz w:val="21"/>
        </w:rPr>
        <w:t xml:space="preserve">How to use this template.</w:t>
      </w:r>
      <w:r>
        <w:rPr>
          <w:sz w:val="21"/>
        </w:rPr>
        <w:t xml:space="preserve"> </w:t>
      </w:r>
      <w:r>
        <w:rPr>
          <w:sz w:val="21"/>
        </w:rPr>
        <w:t xml:space="preserve">Text in [square brackets] is to be filled in or chosen. Paragraphs marked</w:t>
      </w:r>
      <w:r>
        <w:rPr>
          <w:sz w:val="21"/>
        </w:rPr>
        <w:t xml:space="preserve"> </w:t>
      </w:r>
      <w:r>
        <w:rPr>
          <w:bCs/>
          <w:b/>
          <w:sz w:val="21"/>
        </w:rPr>
        <w:t xml:space="preserve">[Option A]</w:t>
      </w:r>
      <w:r>
        <w:rPr>
          <w:sz w:val="21"/>
        </w:rPr>
        <w:t xml:space="preserve">,</w:t>
      </w:r>
      <w:r>
        <w:rPr>
          <w:sz w:val="21"/>
        </w:rPr>
        <w:t xml:space="preserve"> </w:t>
      </w:r>
      <w:r>
        <w:rPr>
          <w:bCs/>
          <w:b/>
          <w:sz w:val="21"/>
        </w:rPr>
        <w:t xml:space="preserve">[Option B]</w:t>
      </w:r>
      <w:r>
        <w:rPr>
          <w:sz w:val="21"/>
        </w:rPr>
        <w:t xml:space="preserve"> </w:t>
      </w:r>
      <w:r>
        <w:rPr>
          <w:sz w:val="21"/>
        </w:rPr>
        <w:t xml:space="preserve">are alternatives: keep the one that fits and delete the rest.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box is guidance for the officer and must be deleted before the order is signed. Do not leave any bracket, blank date or drafting note in the issued order.</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T7: Refund of excess balance in the electronic cash ledger</dc:title>
  <dc:creator>Sangareddy CGST Division</dc:creator>
  <cp:keywords/>
  <dcterms:created xsi:type="dcterms:W3CDTF">2026-10-12T14:52:42Z</dcterms:created>
  <dcterms:modified xsi:type="dcterms:W3CDTF">2026-10-12T14:52:42Z</dcterms:modified>
</cp:coreProperties>
</file>

<file path=docProps/custom.xml><?xml version="1.0" encoding="utf-8"?>
<Properties xmlns="http://schemas.openxmlformats.org/officeDocument/2006/custom-properties" xmlns:vt="http://schemas.openxmlformats.org/officeDocument/2006/docPropsVTypes"/>
</file>