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BodyText"/>
        <w:spacing w:before="80" w:after="200" w:line="264" w:lineRule="auto"/>
        <w:jc w:val="center"/>
        <w:pBdr>
          <w:top w:val="single" w:sz="8" w:space="4" w:color="1F3864"/>
          <w:left w:val="single" w:sz="8" w:space="4" w:color="1F3864"/>
          <w:bottom w:val="single" w:sz="8" w:space="4" w:color="1F3864"/>
          <w:right w:val="single" w:sz="8" w:space="4" w:color="1F3864"/>
        </w:pBdr>
        <w:shd w:val="clear" w:color="auto" w:fill="EEF2F8"/>
      </w:pPr>
      <w:r>
        <w:rPr>
          <w:bCs/>
          <w:b/>
          <w:color w:val="1F3864"/>
        </w:rPr>
        <w:t xml:space="preserve">FORM GST RFD-06 [See rules 92(1), 92(3), 92(4), 92(5) and 96(7)]</w:t>
      </w:r>
      <w:r>
        <w:rPr>
          <w:color w:val="1F3864"/>
        </w:rPr>
        <w:br/>
      </w:r>
      <w:r>
        <w:rPr>
          <w:bCs/>
          <w:b/>
          <w:color w:val="1F3864"/>
        </w:rPr>
        <w:t xml:space="preserve">SPEAKING ORDER ANNEXED TO THE REFUND SANCTION / REJECTION ORDER</w:t>
      </w:r>
      <w:r>
        <w:rPr>
          <w:color w:val="1F3864"/>
        </w:rPr>
        <w:br/>
      </w:r>
      <w:r>
        <w:rPr>
          <w:bCs/>
          <w:b/>
          <w:color w:val="1F3864"/>
        </w:rPr>
        <w:t xml:space="preserve">REFUND CONSEQUENT TO ORDER-IN-APPEAL / TRIBUNAL ORDER (PRE-DEPOSIT UNDER SECTION 107(6) / 112(8), OR AMOUNT PAID UNDER THE ORDER SET ASIDE) [SECTION 54(1) READ WITH SECTION 54(8)(e) AND SECTION 115 OF THE CGST ACT]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471"/>
        <w:gridCol w:w="7167"/>
      </w:tblGrid>
      <w:tr>
        <w:trPr>
          <w:tblHeader w:val="true"/>
          <w:tblHeader/>
        </w:trPr>
        <w:tc>
          <w:tcPr>
            <w:tcW w:type="dxa" w:w="247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167"/>
            <w:shd w:val="clear" w:color="auto" w:fill="DCE6F1"/>
          </w:tcPr>
          <w:p>
            <w:pPr>
              <w:pStyle w:val="Compact"/>
              <w:spacing w:before="0" w:after="0" w:line="240" w:lineRule="auto"/>
              <w:jc w:val="left"/>
            </w:pPr>
            <w:r>
              <w:rPr>
                <w:b/>
                <w:color w:val="1F3864"/>
                <w:sz w:val="21"/>
              </w:rPr>
              <w:t xml:space="preserve">Details</w:t>
            </w:r>
          </w:p>
        </w:tc>
      </w:tr>
      <w:tr>
        <w:tc>
          <w:tcPr>
            <w:tcW w:type="dxa" w:w="2471"/>
            <w:shd w:val="clear" w:color="auto" w:fill="F5F8FC"/>
          </w:tcPr>
          <w:p>
            <w:pPr>
              <w:pStyle w:val="Compact"/>
              <w:spacing w:before="0" w:after="0" w:line="240" w:lineRule="auto"/>
              <w:jc w:val="left"/>
            </w:pPr>
            <w:r>
              <w:rPr>
                <w:b/>
                <w:sz w:val="21"/>
              </w:rPr>
              <w:t xml:space="preserve">Order No. and date</w:t>
            </w:r>
          </w:p>
        </w:tc>
        <w:tc>
          <w:tcPr>
            <w:tcW w:type="dxa" w:w="7167"/>
          </w:tcPr>
          <w:p>
            <w:pPr>
              <w:pStyle w:val="Compact"/>
              <w:spacing w:before="0" w:after="0" w:line="240" w:lineRule="auto"/>
              <w:jc w:val="left"/>
            </w:pPr>
            <w:r>
              <w:rPr>
                <w:sz w:val="21"/>
              </w:rPr>
              <w:t xml:space="preserve">[Order No.] dated [DD.MM.YYYY]</w:t>
            </w:r>
          </w:p>
        </w:tc>
      </w:tr>
      <w:tr>
        <w:tc>
          <w:tcPr>
            <w:tcW w:type="dxa" w:w="2471"/>
            <w:shd w:val="clear" w:color="auto" w:fill="F5F8FC"/>
          </w:tcPr>
          <w:p>
            <w:pPr>
              <w:pStyle w:val="Compact"/>
              <w:spacing w:before="0" w:after="0" w:line="240" w:lineRule="auto"/>
              <w:jc w:val="left"/>
            </w:pPr>
            <w:r>
              <w:rPr>
                <w:b/>
                <w:sz w:val="21"/>
              </w:rPr>
              <w:t xml:space="preserve">Reference No. (RFN) / DIN</w:t>
            </w:r>
          </w:p>
        </w:tc>
        <w:tc>
          <w:tcPr>
            <w:tcW w:type="dxa" w:w="7167"/>
          </w:tcPr>
          <w:p>
            <w:pPr>
              <w:pStyle w:val="Compact"/>
              <w:spacing w:before="0" w:after="0" w:line="240" w:lineRule="auto"/>
              <w:jc w:val="left"/>
            </w:pPr>
            <w:r>
              <w:rPr>
                <w:sz w:val="21"/>
              </w:rPr>
              <w:t xml:space="preserve">RFN [ ] generated on the common portal. [A DIN is not required on a communication served through the portal that bears an RFN (Circular No. 249/06/2025-GST); quote a DIN on any copy sent outside the portal, such as by e-mail.]</w:t>
            </w:r>
          </w:p>
        </w:tc>
      </w:tr>
      <w:tr>
        <w:tc>
          <w:tcPr>
            <w:tcW w:type="dxa" w:w="2471"/>
            <w:shd w:val="clear" w:color="auto" w:fill="F5F8FC"/>
          </w:tcPr>
          <w:p>
            <w:pPr>
              <w:pStyle w:val="Compact"/>
              <w:spacing w:before="0" w:after="0" w:line="240" w:lineRule="auto"/>
              <w:jc w:val="left"/>
            </w:pPr>
            <w:r>
              <w:rPr>
                <w:b/>
                <w:sz w:val="21"/>
              </w:rPr>
              <w:t xml:space="preserve">Name and address of the applicant</w:t>
            </w:r>
          </w:p>
        </w:tc>
        <w:tc>
          <w:tcPr>
            <w:tcW w:type="dxa" w:w="7167"/>
          </w:tcPr>
          <w:p>
            <w:pPr>
              <w:pStyle w:val="Compact"/>
              <w:spacing w:before="0" w:after="0" w:line="240" w:lineRule="auto"/>
              <w:jc w:val="left"/>
            </w:pPr>
            <w:r>
              <w:rPr>
                <w:sz w:val="21"/>
              </w:rPr>
              <w:t xml:space="preserve">[Legal name] ([trade name]), [principal place of business]</w:t>
            </w:r>
          </w:p>
        </w:tc>
      </w:tr>
      <w:tr>
        <w:tc>
          <w:tcPr>
            <w:tcW w:type="dxa" w:w="2471"/>
            <w:shd w:val="clear" w:color="auto" w:fill="F5F8FC"/>
          </w:tcPr>
          <w:p>
            <w:pPr>
              <w:pStyle w:val="Compact"/>
              <w:spacing w:before="0" w:after="0" w:line="240" w:lineRule="auto"/>
              <w:jc w:val="left"/>
            </w:pPr>
            <w:r>
              <w:rPr>
                <w:b/>
                <w:sz w:val="21"/>
              </w:rPr>
              <w:t xml:space="preserve">GSTIN</w:t>
            </w:r>
          </w:p>
        </w:tc>
        <w:tc>
          <w:tcPr>
            <w:tcW w:type="dxa" w:w="7167"/>
          </w:tcPr>
          <w:p>
            <w:pPr>
              <w:pStyle w:val="Compact"/>
              <w:spacing w:before="0" w:after="0" w:line="240" w:lineRule="auto"/>
              <w:jc w:val="left"/>
            </w:pPr>
            <w:r>
              <w:rPr>
                <w:sz w:val="21"/>
              </w:rPr>
              <w:t xml:space="preserve">[GSTIN]</w:t>
            </w:r>
          </w:p>
        </w:tc>
      </w:tr>
      <w:tr>
        <w:tc>
          <w:tcPr>
            <w:tcW w:type="dxa" w:w="2471"/>
            <w:shd w:val="clear" w:color="auto" w:fill="F5F8FC"/>
          </w:tcPr>
          <w:p>
            <w:pPr>
              <w:pStyle w:val="Compact"/>
              <w:spacing w:before="0" w:after="0" w:line="240" w:lineRule="auto"/>
              <w:jc w:val="left"/>
            </w:pPr>
            <w:r>
              <w:rPr>
                <w:b/>
                <w:sz w:val="21"/>
              </w:rPr>
              <w:t xml:space="preserve">Refund category as selected in RFD-01</w:t>
            </w:r>
          </w:p>
        </w:tc>
        <w:tc>
          <w:tcPr>
            <w:tcW w:type="dxa" w:w="7167"/>
          </w:tcPr>
          <w:p>
            <w:pPr>
              <w:pStyle w:val="Compact"/>
              <w:spacing w:before="0" w:after="0" w:line="240" w:lineRule="auto"/>
              <w:jc w:val="left"/>
            </w:pPr>
            <w:r>
              <w:rPr>
                <w:sz w:val="21"/>
              </w:rPr>
              <w:t xml:space="preserve">On account of assessment / provisional assessment / appeal / any other order [or the separate pre-deposit category, if the portal offers one]</w:t>
            </w:r>
          </w:p>
        </w:tc>
      </w:tr>
      <w:tr>
        <w:tc>
          <w:tcPr>
            <w:tcW w:type="dxa" w:w="2471"/>
            <w:shd w:val="clear" w:color="auto" w:fill="F5F8FC"/>
          </w:tcPr>
          <w:p>
            <w:pPr>
              <w:pStyle w:val="Compact"/>
              <w:spacing w:before="0" w:after="0" w:line="240" w:lineRule="auto"/>
              <w:jc w:val="left"/>
            </w:pPr>
            <w:r>
              <w:rPr>
                <w:b/>
                <w:sz w:val="21"/>
              </w:rPr>
              <w:t xml:space="preserve">Tax period(s)</w:t>
            </w:r>
          </w:p>
        </w:tc>
        <w:tc>
          <w:tcPr>
            <w:tcW w:type="dxa" w:w="7167"/>
          </w:tcPr>
          <w:p>
            <w:pPr>
              <w:pStyle w:val="Compact"/>
              <w:spacing w:before="0" w:after="0" w:line="240" w:lineRule="auto"/>
              <w:jc w:val="left"/>
            </w:pPr>
            <w:r>
              <w:rPr>
                <w:sz w:val="21"/>
              </w:rPr>
              <w:t xml:space="preserve">[Month YYYY] to [Month YYYY]</w:t>
            </w:r>
          </w:p>
        </w:tc>
      </w:tr>
      <w:tr>
        <w:tc>
          <w:tcPr>
            <w:tcW w:type="dxa" w:w="2471"/>
            <w:shd w:val="clear" w:color="auto" w:fill="F5F8FC"/>
          </w:tcPr>
          <w:p>
            <w:pPr>
              <w:pStyle w:val="Compact"/>
              <w:spacing w:before="0" w:after="0" w:line="240" w:lineRule="auto"/>
              <w:jc w:val="left"/>
            </w:pPr>
            <w:r>
              <w:rPr>
                <w:b/>
                <w:sz w:val="21"/>
              </w:rPr>
              <w:t xml:space="preserve">ARN and date of filing of RFD-01</w:t>
            </w:r>
          </w:p>
        </w:tc>
        <w:tc>
          <w:tcPr>
            <w:tcW w:type="dxa" w:w="7167"/>
          </w:tcPr>
          <w:p>
            <w:pPr>
              <w:pStyle w:val="Compact"/>
              <w:spacing w:before="0" w:after="0" w:line="240" w:lineRule="auto"/>
              <w:jc w:val="left"/>
            </w:pPr>
            <w:r>
              <w:rPr>
                <w:sz w:val="21"/>
              </w:rPr>
              <w:t xml:space="preserve">[ARN] dated [DD.MM.YYYY]</w:t>
            </w:r>
          </w:p>
        </w:tc>
      </w:tr>
      <w:tr>
        <w:tc>
          <w:tcPr>
            <w:tcW w:type="dxa" w:w="2471"/>
            <w:shd w:val="clear" w:color="auto" w:fill="F5F8FC"/>
          </w:tcPr>
          <w:p>
            <w:pPr>
              <w:pStyle w:val="Compact"/>
              <w:spacing w:before="0" w:after="0" w:line="240" w:lineRule="auto"/>
              <w:jc w:val="left"/>
            </w:pPr>
            <w:r>
              <w:rPr>
                <w:b/>
                <w:sz w:val="21"/>
              </w:rPr>
              <w:t xml:space="preserve">Acknowledgement (RFD-02)</w:t>
            </w:r>
          </w:p>
        </w:tc>
        <w:tc>
          <w:tcPr>
            <w:tcW w:type="dxa" w:w="7167"/>
          </w:tcPr>
          <w:p>
            <w:pPr>
              <w:pStyle w:val="Compact"/>
              <w:spacing w:before="0" w:after="0" w:line="240" w:lineRule="auto"/>
              <w:jc w:val="left"/>
            </w:pPr>
            <w:r>
              <w:rPr>
                <w:sz w:val="21"/>
              </w:rPr>
              <w:t xml:space="preserve">Issued on [DD.MM.YYYY] [Option: after deficiency memo RFD-03 dated [DD.MM.YYYY] on the earlier ARN [ARN] dated [DD.MM.YYYY]]</w:t>
            </w:r>
          </w:p>
        </w:tc>
      </w:tr>
      <w:tr>
        <w:tc>
          <w:tcPr>
            <w:tcW w:type="dxa" w:w="2471"/>
            <w:shd w:val="clear" w:color="auto" w:fill="F5F8FC"/>
          </w:tcPr>
          <w:p>
            <w:pPr>
              <w:pStyle w:val="Compact"/>
              <w:spacing w:before="0" w:after="0" w:line="240" w:lineRule="auto"/>
              <w:jc w:val="left"/>
            </w:pPr>
            <w:r>
              <w:rPr>
                <w:b/>
                <w:sz w:val="21"/>
              </w:rPr>
              <w:t xml:space="preserve">Date of receipt of the application for section 54(7) and section 56</w:t>
            </w:r>
          </w:p>
        </w:tc>
        <w:tc>
          <w:tcPr>
            <w:tcW w:type="dxa" w:w="7167"/>
          </w:tcPr>
          <w:p>
            <w:pPr>
              <w:pStyle w:val="Compact"/>
              <w:spacing w:before="0" w:after="0" w:line="240" w:lineRule="auto"/>
              <w:jc w:val="left"/>
            </w:pPr>
            <w:r>
              <w:rPr>
                <w:sz w:val="21"/>
              </w:rPr>
              <w:t xml:space="preserve">[DD.MM.YYYY], the date of filing (ARN), as indicated in RFD-02 (rule 90(2)); sixty days end on [DD.MM.YYYY]</w:t>
            </w:r>
          </w:p>
        </w:tc>
      </w:tr>
      <w:tr>
        <w:tc>
          <w:tcPr>
            <w:tcW w:type="dxa" w:w="2471"/>
            <w:shd w:val="clear" w:color="auto" w:fill="F5F8FC"/>
          </w:tcPr>
          <w:p>
            <w:pPr>
              <w:pStyle w:val="Compact"/>
              <w:spacing w:before="0" w:after="0" w:line="240" w:lineRule="auto"/>
              <w:jc w:val="left"/>
            </w:pPr>
            <w:r>
              <w:rPr>
                <w:b/>
                <w:sz w:val="21"/>
              </w:rPr>
              <w:t xml:space="preserve">Provisional refund (RFD-04)</w:t>
            </w:r>
          </w:p>
        </w:tc>
        <w:tc>
          <w:tcPr>
            <w:tcW w:type="dxa" w:w="7167"/>
          </w:tcPr>
          <w:p>
            <w:pPr>
              <w:pStyle w:val="Compact"/>
              <w:spacing w:before="0" w:after="0" w:line="240" w:lineRule="auto"/>
              <w:jc w:val="left"/>
            </w:pPr>
            <w:r>
              <w:rPr>
                <w:sz w:val="21"/>
              </w:rPr>
              <w:t xml:space="preserve">Not applicable (section 54(6) covers only zero-rated supplies)</w:t>
            </w:r>
          </w:p>
        </w:tc>
      </w:tr>
      <w:tr>
        <w:tc>
          <w:tcPr>
            <w:tcW w:type="dxa" w:w="2471"/>
            <w:shd w:val="clear" w:color="auto" w:fill="F5F8FC"/>
          </w:tcPr>
          <w:p>
            <w:pPr>
              <w:pStyle w:val="Compact"/>
              <w:spacing w:before="0" w:after="0" w:line="240" w:lineRule="auto"/>
              <w:jc w:val="left"/>
            </w:pPr>
            <w:r>
              <w:rPr>
                <w:b/>
                <w:sz w:val="21"/>
              </w:rPr>
              <w:t xml:space="preserve">Notice (RFD-08) and reply (RFD-09)</w:t>
            </w:r>
          </w:p>
        </w:tc>
        <w:tc>
          <w:tcPr>
            <w:tcW w:type="dxa" w:w="7167"/>
          </w:tcPr>
          <w:p>
            <w:pPr>
              <w:pStyle w:val="Compact"/>
              <w:spacing w:before="0" w:after="0" w:line="240" w:lineRule="auto"/>
              <w:jc w:val="left"/>
            </w:pPr>
            <w:r>
              <w:rPr>
                <w:sz w:val="21"/>
              </w:rPr>
              <w:t xml:space="preserve">[RFD-08 No. [ ] dated [DD.MM.YYYY]; reply dated [DD.MM.YYYY]] / [Not issued, as the claim is sanctioned in full]</w:t>
            </w:r>
          </w:p>
        </w:tc>
      </w:tr>
      <w:tr>
        <w:tc>
          <w:tcPr>
            <w:tcW w:type="dxa" w:w="2471"/>
            <w:shd w:val="clear" w:color="auto" w:fill="F5F8FC"/>
          </w:tcPr>
          <w:p>
            <w:pPr>
              <w:pStyle w:val="Compact"/>
              <w:spacing w:before="0" w:after="0" w:line="240" w:lineRule="auto"/>
              <w:jc w:val="left"/>
            </w:pPr>
            <w:r>
              <w:rPr>
                <w:b/>
                <w:sz w:val="21"/>
              </w:rPr>
              <w:t xml:space="preserve">Personal hearing</w:t>
            </w:r>
          </w:p>
        </w:tc>
        <w:tc>
          <w:tcPr>
            <w:tcW w:type="dxa" w:w="7167"/>
          </w:tcPr>
          <w:p>
            <w:pPr>
              <w:pStyle w:val="Compact"/>
              <w:spacing w:before="0" w:after="0" w:line="240" w:lineRule="auto"/>
              <w:jc w:val="left"/>
            </w:pPr>
            <w:r>
              <w:rPr>
                <w:sz w:val="21"/>
              </w:rPr>
              <w:t xml:space="preserve">[DD.MM.YYYY], attended by [designation of the authorised representative] / [Not required, as the claim is sanctioned in full]</w:t>
            </w:r>
          </w:p>
        </w:tc>
      </w:tr>
      <w:tr>
        <w:tc>
          <w:tcPr>
            <w:tcW w:type="dxa" w:w="2471"/>
            <w:shd w:val="clear" w:color="auto" w:fill="F5F8FC"/>
          </w:tcPr>
          <w:p>
            <w:pPr>
              <w:pStyle w:val="Compact"/>
              <w:spacing w:before="0" w:after="0" w:line="240" w:lineRule="auto"/>
              <w:jc w:val="left"/>
            </w:pPr>
            <w:r>
              <w:rPr>
                <w:b/>
                <w:sz w:val="21"/>
              </w:rPr>
              <w:t xml:space="preserve">Amount claimed</w:t>
            </w:r>
          </w:p>
        </w:tc>
        <w:tc>
          <w:tcPr>
            <w:tcW w:type="dxa" w:w="7167"/>
          </w:tcPr>
          <w:p>
            <w:pPr>
              <w:pStyle w:val="Compact"/>
              <w:spacing w:before="0" w:after="0" w:line="240" w:lineRule="auto"/>
              <w:jc w:val="left"/>
            </w:pPr>
            <w:r>
              <w:rPr>
                <w:sz w:val="21"/>
              </w:rPr>
              <w:t xml:space="preserve">IGST ₹[ ]; CGST ₹[ ]; SGST/UTGST ₹[ ]; Cess ₹[ ]; Total ₹[ ]</w:t>
            </w:r>
          </w:p>
        </w:tc>
      </w:tr>
      <w:tr>
        <w:tc>
          <w:tcPr>
            <w:tcW w:type="dxa" w:w="2471"/>
            <w:shd w:val="clear" w:color="auto" w:fill="F5F8FC"/>
          </w:tcPr>
          <w:p>
            <w:pPr>
              <w:pStyle w:val="Compact"/>
              <w:spacing w:before="0" w:after="0" w:line="240" w:lineRule="auto"/>
              <w:jc w:val="left"/>
            </w:pPr>
            <w:r>
              <w:rPr>
                <w:b/>
                <w:sz w:val="21"/>
              </w:rPr>
              <w:t xml:space="preserve">Result</w:t>
            </w:r>
          </w:p>
        </w:tc>
        <w:tc>
          <w:tcPr>
            <w:tcW w:type="dxa" w:w="7167"/>
          </w:tcPr>
          <w:p>
            <w:pPr>
              <w:pStyle w:val="Compact"/>
              <w:spacing w:before="0" w:after="0" w:line="240" w:lineRule="auto"/>
              <w:jc w:val="left"/>
            </w:pPr>
            <w:r>
              <w:rPr>
                <w:sz w:val="21"/>
              </w:rPr>
              <w:t xml:space="preserve">Sanctioned ₹[ ]; Rejected ₹[ ]; Adjusted against dues / withheld ₹[ ] (head-wise details in para 11)</w:t>
            </w:r>
          </w:p>
        </w:tc>
      </w:tr>
    </w:tbl>
    <w:p>
      <w:pPr>
        <w:pStyle w:val="BodyText"/>
        <w:keepNext/>
        <w:spacing w:before="240" w:after="80"/>
        <w:jc w:val="center"/>
        <w:pBdr>
          <w:bottom w:val="single" w:sz="6" w:space="1" w:color="B4C6E7"/>
        </w:pBdr>
      </w:pPr>
      <w:r>
        <w:rPr>
          <w:bCs/>
          <w:b/>
          <w:color w:val="1F3864"/>
          <w:sz w:val="25"/>
        </w:rPr>
        <w:t xml:space="preserve">IMPORTANT NOTE FOR THE APPLICANT</w:t>
      </w:r>
    </w:p>
    <w:p>
      <w:pPr>
        <w:numPr>
          <w:ilvl w:val="0"/>
          <w:numId w:val="1001"/>
        </w:numPr>
        <w:pStyle w:val="Compact"/>
        <w:spacing w:before="0" w:after="120" w:line="269" w:lineRule="auto"/>
      </w:pPr>
      <w:r>
        <w:t xml:space="preserve">This copy is granted free of charge for the private use of the person to whom it is issued.</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Under section 107(4), the Appellate Authority may allow a further period of</w:t>
      </w:r>
      <w:r>
        <w:t xml:space="preserve"> </w:t>
      </w:r>
      <w:r>
        <w:rPr>
          <w:bCs/>
          <w:b/>
        </w:rPr>
        <w:t xml:space="preserve">one month</w:t>
      </w:r>
      <w:r>
        <w:t xml:space="preserve"> </w:t>
      </w:r>
      <w:r>
        <w:t xml:space="preserve">if satisfied that there was sufficient cause.</w:t>
      </w:r>
    </w:p>
    <w:p>
      <w:pPr>
        <w:numPr>
          <w:ilvl w:val="0"/>
          <w:numId w:val="1001"/>
        </w:numPr>
        <w:pStyle w:val="Compact"/>
        <w:spacing w:before="0" w:after="120" w:line="269" w:lineRule="auto"/>
      </w:pPr>
      <w:r>
        <w:t xml:space="preserve">The appeal is to be filed</w:t>
      </w:r>
      <w:r>
        <w:t xml:space="preserve"> </w:t>
      </w:r>
      <w:r>
        <w:rPr>
          <w:bCs/>
          <w:b/>
        </w:rPr>
        <w:t xml:space="preserve">electronically in FORM GST APL-01 on the common portal</w:t>
      </w:r>
      <w:r>
        <w:t xml:space="preserve">, with the documents uploaded there (rule 108). No court fee stamp is required. As this order is available on the common portal, no copy of it need be filed; if it is not available there, a self-certified copy is to be submitted within seven days of filing APL-01, failing which the appeal is treated as filed on the date the copy is submitted (rule 108(3)).</w:t>
      </w:r>
    </w:p>
    <w:p>
      <w:pPr>
        <w:numPr>
          <w:ilvl w:val="0"/>
          <w:numId w:val="1001"/>
        </w:numPr>
        <w:pStyle w:val="Compact"/>
        <w:spacing w:before="0" w:after="120" w:line="269" w:lineRule="auto"/>
      </w:pPr>
      <w:r>
        <w:t xml:space="preserve">Under section 107(6), no appeal can be filed unless the appellant has paid (a) in full, the part of the tax, interest, fine, fee and penalty arising from this order that is admitted; and (b) ten per cent of the remaining</w:t>
      </w:r>
      <w:r>
        <w:t xml:space="preserve"> </w:t>
      </w:r>
      <w:r>
        <w:rPr>
          <w:bCs/>
          <w:b/>
        </w:rPr>
        <w:t xml:space="preserve">tax in dispute</w:t>
      </w:r>
      <w:r>
        <w:t xml:space="preserve"> </w:t>
      </w:r>
      <w:r>
        <w:t xml:space="preserve">arising from this order, subject to a maximum of twenty crore rupees. Where an order demands only a penalty without any demand of tax, ten per cent of that penalty is payable (proviso to section 107(6)). [Drafting note: where this order only sanctions or rejects a refund and confirms no demand, no tax is</w:t>
      </w:r>
      <w:r>
        <w:t xml:space="preserve"> </w:t>
      </w:r>
      <w:r>
        <w:t xml:space="preserve">“</w:t>
      </w:r>
      <w:r>
        <w:t xml:space="preserve">in dispute</w:t>
      </w:r>
      <w:r>
        <w:t xml:space="preserve">”</w:t>
      </w:r>
      <w:r>
        <w:t xml:space="preserve"> </w:t>
      </w:r>
      <w:r>
        <w:t xml:space="preserve">under section 107(6); keep this paragraph unchanged, as it is a general statement of the law.]</w:t>
      </w:r>
    </w:p>
    <w:p>
      <w:pPr>
        <w:numPr>
          <w:ilvl w:val="0"/>
          <w:numId w:val="1001"/>
        </w:numPr>
        <w:pStyle w:val="Compact"/>
        <w:spacing w:before="0" w:after="120" w:line="269" w:lineRule="auto"/>
      </w:pPr>
      <w:r>
        <w:t xml:space="preserve">This order is passed under the CGST Act and the CGST Rules, and also under the corresponding provisions of the [State] GST Act, 2017 / Union Territory GST Act, 2017 and the Integrated Goods and Services Tax Act, 2017 (the IGST Act), as applicable (the State or Union Territory portion is decided under section 6 of the State GST Act or the Union Territory GST Act, as the case may be; IGST under section 20 of the IGST Act). The sanction and payment orders for all tax heads are issued by this office, to which the application is assigned (para 27 of Circular No. 125/44/2019-GST). A reference to a provision of the CGST Act or Rules includes the corresponding provision of those Acts and Rules.</w:t>
      </w:r>
    </w:p>
    <w:p>
      <w:pPr>
        <w:pStyle w:val="FirstParagraph"/>
        <w:keepNext/>
        <w:spacing w:before="240" w:after="80"/>
        <w:pBdr>
          <w:bottom w:val="single" w:sz="6" w:space="1" w:color="B4C6E7"/>
        </w:pBdr>
      </w:pPr>
      <w:r>
        <w:rPr>
          <w:bCs/>
          <w:b/>
          <w:color w:val="1F3864"/>
          <w:sz w:val="25"/>
        </w:rPr>
        <w:t xml:space="preserve">1. Brief facts</w:t>
      </w:r>
    </w:p>
    <w:p>
      <w:pPr>
        <w:pStyle w:val="BodyText"/>
        <w:spacing w:before="0" w:after="120" w:line="269" w:lineRule="auto"/>
        <w:jc w:val="both"/>
      </w:pPr>
      <w:r>
        <w:t xml:space="preserve">1.1 [Legal name] (the applicant), registered under GSTIN [ ], was issued [Order-in-Original No. [ ] dated [DD.MM.YYYY] by [authority]] confirming a demand of tax of ₹[ ], interest and penalty of ₹[ ] for [period], on the ground that [one-line ground].</w:t>
      </w:r>
    </w:p>
    <w:p>
      <w:pPr>
        <w:pStyle w:val="BodyText"/>
        <w:spacing w:before="0" w:after="120" w:line="269" w:lineRule="auto"/>
        <w:jc w:val="both"/>
      </w:pPr>
      <w:r>
        <w:t xml:space="preserve">1.2 Against that order, the applicant filed an appeal in FORM GST APL-01 (ARN [ ] dated [DD.MM.YYYY]) and paid the pre-deposit under section 107(6) of ₹[ ] (IGST ₹[ ], CGST ₹[ ], SGST ₹[ ]) on [DD.MM.YYYY] by debit to the electronic [cash / credit] ledger (DRC-03 / APL-01 debit reference [ ]). [Option: It had also paid ₹[ ] towards the confirmed demand on [DD.MM.YYYY] by [DRC-03 No. [ ]].] [Option, Tribunal: Against the order of the Appellate Authority, it filed an appeal in FORM GST APL-05 on [DD.MM.YYYY] and paid the further pre-deposit under section 112(8) of ₹[ ] on [DD.MM.YYYY].]</w:t>
      </w:r>
    </w:p>
    <w:p>
      <w:pPr>
        <w:pStyle w:val="BodyText"/>
        <w:spacing w:before="0" w:after="120" w:line="269" w:lineRule="auto"/>
        <w:jc w:val="both"/>
      </w:pPr>
      <w:r>
        <w:t xml:space="preserve">1.3 The [Joint / Additional Commissioner (Appeals) / Commissioner (Appeals) / GST Appellate Tribunal], by Order No. [ ] dated [DD.MM.YYYY], communicated to the applicant on [DD.MM.YYYY], [set aside the order-in-original and allowed the appeal] / [allowed the appeal in part, reducing the tax demand to ₹[ ]], with [consequential relief].</w:t>
      </w:r>
    </w:p>
    <w:p>
      <w:pPr>
        <w:pStyle w:val="BodyText"/>
        <w:spacing w:before="0" w:after="120" w:line="269" w:lineRule="auto"/>
        <w:jc w:val="both"/>
      </w:pPr>
      <w:r>
        <w:t xml:space="preserve">1.4 The applicant filed FORM GST RFD-01 under ARN [ ] dated [DD.MM.YYYY] for refund of ₹[ ] (IGST ₹[ ], CGST ₹[ ], SGST ₹[ ]), with a copy of the appellate order and the payment references (rule 89(2)(a)), [and claimed interest]. The application was acknowledged in FORM GST RFD-02 on [DD.MM.YYYY].</w:t>
      </w:r>
    </w:p>
    <w:p>
      <w:pPr>
        <w:pStyle w:val="BodyText"/>
        <w:keepNext/>
        <w:spacing w:before="240" w:after="80"/>
        <w:pBdr>
          <w:bottom w:val="single" w:sz="6" w:space="1" w:color="B4C6E7"/>
        </w:pBdr>
      </w:pPr>
      <w:r>
        <w:rPr>
          <w:bCs/>
          <w:b/>
          <w:color w:val="1F3864"/>
          <w:sz w:val="25"/>
        </w:rPr>
        <w:t xml:space="preserve">2. Legal provisions</w:t>
      </w:r>
    </w:p>
    <w:p>
      <w:pPr>
        <w:pStyle w:val="BodyText"/>
        <w:spacing w:before="0" w:after="120" w:line="269" w:lineRule="auto"/>
        <w:jc w:val="both"/>
      </w:pPr>
      <w:r>
        <w:t xml:space="preserve">2.1 Under section 54(1) of the CGST Act, any person claiming refund of any tax and interest, if any, paid on such tax or any other amount paid by him, may apply within two years from the relevant date. Under clause (d) of Explanation 2 to section 54, where tax becomes refundable as a consequence of a judgment, decree, order or direction of the Appellate Authority, Appellate Tribunal or any court, the relevant date is the date of communication of that judgment, decree, order or direction. Under rule 89(2)(a), the application is accompanied by the reference number and a copy of the order resulting in the refund, or the reference number of the payment of the amount under section 107(6) or 112(8) claimed as refund.</w:t>
      </w:r>
    </w:p>
    <w:p>
      <w:pPr>
        <w:pStyle w:val="BodyText"/>
        <w:spacing w:before="0" w:after="120" w:line="269" w:lineRule="auto"/>
        <w:jc w:val="both"/>
      </w:pPr>
      <w:r>
        <w:t xml:space="preserve">2.2 Under section 54(8)(e), the refundable amount is paid to the applicant, instead of being credited to the Consumer Welfare Fund, if the applicant has not passed on the incidence of the tax and interest to any other person. Under rule 89(2)(l) and (m), the applicant furnishes a declaration (where the amount claimed does not exceed two lakh rupees) or a certificate from a Chartered Accountant or Cost Accountant (where it exceeds two lakh rupees) to that effect.</w:t>
      </w:r>
    </w:p>
    <w:p>
      <w:pPr>
        <w:pStyle w:val="BodyText"/>
        <w:spacing w:before="0" w:after="120" w:line="269" w:lineRule="auto"/>
        <w:jc w:val="both"/>
      </w:pPr>
      <w:r>
        <w:t xml:space="preserve">2.3 Under</w:t>
      </w:r>
      <w:r>
        <w:t xml:space="preserve"> </w:t>
      </w:r>
      <w:r>
        <w:rPr>
          <w:bCs/>
          <w:b/>
        </w:rPr>
        <w:t xml:space="preserve">section 115</w:t>
      </w:r>
      <w:r>
        <w:t xml:space="preserve">, where an amount paid by the appellant under section 107(6) or section 112(8) is required to be refunded consequent to any order of the Appellate Authority or the Appellate Tribunal, interest at the rate specified under section 56 (six per cent under the main part, or nine per cent under its proviso: Notification No. 13/2017-Central Tax, as amended; the rate adopted and its basis are recorded in para 9.6) is payable on such refund</w:t>
      </w:r>
      <w:r>
        <w:t xml:space="preserve"> </w:t>
      </w:r>
      <w:r>
        <w:rPr>
          <w:bCs/>
          <w:b/>
        </w:rPr>
        <w:t xml:space="preserve">from the date of payment of the amount till the date of refund</w:t>
      </w:r>
      <w:r>
        <w:t xml:space="preserve">. Under the proviso to section 56, where a refund arises from an order of an adjudicating authority, Appellate Authority, Appellate Tribunal or court which has attained finality and is not refunded within sixty days of the application, interest at nine per cent per annum (Notification No. 13/2017-Central Tax, as amended) is payable from the day after the sixty days until the date of refund.</w:t>
      </w:r>
    </w:p>
    <w:p>
      <w:pPr>
        <w:pStyle w:val="BodyText"/>
        <w:spacing w:before="0" w:after="120" w:line="269" w:lineRule="auto"/>
        <w:jc w:val="both"/>
      </w:pPr>
      <w:r>
        <w:t xml:space="preserve">2.4 Under rule 92(1A), where refund of an amount paid as tax (other than on zero-rated supplies or deemed exports) is sanctioned, the part debited in cash is paid in cash, proportionately, and the part debited from the electronic credit ledger is re-credited to that ledger by FORM GST PMT-03.</w:t>
      </w:r>
    </w:p>
    <w:p>
      <w:pPr>
        <w:pStyle w:val="BodyText"/>
        <w:keepNext/>
        <w:spacing w:before="240" w:after="80"/>
        <w:pBdr>
          <w:bottom w:val="single" w:sz="6" w:space="1" w:color="B4C6E7"/>
        </w:pBdr>
      </w:pPr>
      <w:r>
        <w:rPr>
          <w:bCs/>
          <w:b/>
          <w:color w:val="1F3864"/>
          <w:sz w:val="25"/>
        </w:rPr>
        <w:t xml:space="preserve">3. Limitation</w:t>
      </w:r>
    </w:p>
    <w:p>
      <w:pPr>
        <w:pStyle w:val="BodyText"/>
        <w:spacing w:before="0" w:after="120" w:line="269" w:lineRule="auto"/>
        <w:jc w:val="both"/>
      </w:pPr>
      <w:r>
        <w:t xml:space="preserve">3.1 The appellate order was communicated on [DD.MM.YYYY], which is the relevant date under clause (d) of Explanation 2 to section 54. Two years from it end on [DD.MM.YYYY]. The application, filed on [DD.MM.YYYY], is within time.</w:t>
      </w:r>
    </w:p>
    <w:p>
      <w:pPr>
        <w:pStyle w:val="BlockText"/>
        <w:shd w:val="clear" w:color="auto" w:fill="E7E6E6"/>
      </w:pPr>
      <w:r>
        <w:rPr>
          <w:bCs/>
          <w:b/>
          <w:sz w:val="21"/>
        </w:rPr>
        <w:t xml:space="preserve">Drafting note:</w:t>
      </w:r>
      <w:r>
        <w:rPr>
          <w:sz w:val="21"/>
        </w:rPr>
        <w:t xml:space="preserve"> </w:t>
      </w:r>
      <w:r>
        <w:rPr>
          <w:sz w:val="21"/>
        </w:rPr>
        <w:t xml:space="preserve">use the date of actual communication (portal upload or service), not the date of the appellate order. If the claim appears time-barred, check the view of the jurisdictional High Court on whether a pre-deposit, which is not tax, is subject to the time limit in section 54(1), before rejecting on that ground.</w:t>
      </w:r>
    </w:p>
    <w:p>
      <w:pPr>
        <w:pStyle w:val="FirstParagraph"/>
        <w:keepNext/>
        <w:spacing w:before="240" w:after="80"/>
        <w:pBdr>
          <w:bottom w:val="single" w:sz="6" w:space="1" w:color="B4C6E7"/>
        </w:pBdr>
      </w:pPr>
      <w:r>
        <w:rPr>
          <w:bCs/>
          <w:b/>
          <w:color w:val="1F3864"/>
          <w:sz w:val="25"/>
        </w:rPr>
        <w:t xml:space="preserve">4. Other conditions for admissibility</w:t>
      </w:r>
    </w:p>
    <w:p>
      <w:pPr>
        <w:pStyle w:val="BodyText"/>
        <w:spacing w:before="0" w:after="120" w:line="269" w:lineRule="auto"/>
        <w:jc w:val="both"/>
      </w:pPr>
      <w:r>
        <w:t xml:space="preserve">4.1 The application was complete in terms of rule 89(2) and was acknowledged in RFD-02 within fifteen days under rule 90(2). The payments claimed have been verified in the electronic [cash / credit] ledger and the Electronic Liability Register (Part II) against demand ID [ ]: pre-deposit of ₹[ ] debited on [DD.MM.YYYY] [and payment of ₹[ ] by DRC-03 No. [ ] dated [ ]]. The back-office refund history shows no earlier refund of these amounts. The applicant [has / has not] undergone Aadhaar authentication under rule 10B [if not, the application is not processed further until it is done (rule 89(1) read with rule 10B)].</w:t>
      </w:r>
    </w:p>
    <w:p>
      <w:pPr>
        <w:pStyle w:val="BodyText"/>
        <w:keepNext/>
        <w:spacing w:before="240" w:after="80"/>
        <w:pBdr>
          <w:bottom w:val="single" w:sz="6" w:space="1" w:color="B4C6E7"/>
        </w:pBdr>
      </w:pPr>
      <w:r>
        <w:rPr>
          <w:bCs/>
          <w:b/>
          <w:color w:val="1F3864"/>
          <w:sz w:val="25"/>
        </w:rPr>
        <w:t xml:space="preserve">5. Provisional refund</w:t>
      </w:r>
    </w:p>
    <w:p>
      <w:pPr>
        <w:pStyle w:val="BodyText"/>
        <w:spacing w:before="0" w:after="120" w:line="269" w:lineRule="auto"/>
      </w:pPr>
      <w:r>
        <w:t xml:space="preserve">5.1 Provisional refund under section 54(6) applies only to zero-rated supplies. It is not applicable to this category.</w:t>
      </w:r>
    </w:p>
    <w:p>
      <w:pPr>
        <w:pStyle w:val="BodyText"/>
        <w:keepNext/>
        <w:spacing w:before="240" w:after="80"/>
        <w:pBdr>
          <w:bottom w:val="single" w:sz="6" w:space="1" w:color="B4C6E7"/>
        </w:pBdr>
      </w:pPr>
      <w:r>
        <w:rPr>
          <w:bCs/>
          <w:b/>
          <w:color w:val="1F3864"/>
          <w:sz w:val="25"/>
        </w:rPr>
        <w:t xml:space="preserve">6. Verification of the appellate order and of the department’s position</w:t>
      </w:r>
    </w:p>
    <w:p>
      <w:pPr>
        <w:pStyle w:val="BodyText"/>
        <w:spacing w:before="0" w:after="120" w:line="269" w:lineRule="auto"/>
        <w:jc w:val="both"/>
      </w:pPr>
      <w:r>
        <w:t xml:space="preserve">6.1</w:t>
      </w:r>
      <w:r>
        <w:t xml:space="preserve"> </w:t>
      </w:r>
      <w:r>
        <w:rPr>
          <w:bCs/>
          <w:b/>
        </w:rPr>
        <w:t xml:space="preserve">Effect of the appellate order.</w:t>
      </w:r>
      <w:r>
        <w:t xml:space="preserve"> </w:t>
      </w:r>
      <w:r>
        <w:t xml:space="preserve">[Option A: The appellate order sets aside the demand in full.] [Option B: The appellate order reduces the tax in dispute from ₹[ ] to ₹[ ]; the pre-deposit counts towards the tax upheld to that extent.] [Option C: The Appellate Tribunal has set aside the order and remanded the matter for fresh adjudication. [State the basis adopted, following the jurisdictional High Court or any Board instruction, on whether the pre-deposit becomes refundable on remand or is retained till the fresh order.]] [Option D, refund rejected earlier and allowed in appeal: The applicant’s earlier claim of ₹[ ] under ARN [ ] was rejected by RFD-06 No. [ ] dated [DD.MM.YYYY]. The Appellate Authority has allowed that claim [in full / to the extent of ₹[ ]]. Under the Explanation to section 56, the appellate order is deemed to be an order under section 54(5); this claim is filed under para 24 of Circular No. 125/44/2019-GST. Use Table 1A in para 7 instead of Table 1.] The amount that has become refundable is worked out in para 7.</w:t>
      </w:r>
    </w:p>
    <w:p>
      <w:pPr>
        <w:pStyle w:val="BodyText"/>
        <w:spacing w:before="0" w:after="120" w:line="269" w:lineRule="auto"/>
        <w:jc w:val="both"/>
      </w:pPr>
      <w:r>
        <w:t xml:space="preserve">6.2</w:t>
      </w:r>
      <w:r>
        <w:t xml:space="preserve"> </w:t>
      </w:r>
      <w:r>
        <w:rPr>
          <w:bCs/>
          <w:b/>
        </w:rPr>
        <w:t xml:space="preserve">Mode of the original payment.</w:t>
      </w:r>
      <w:r>
        <w:t xml:space="preserve"> </w:t>
      </w:r>
      <w:r>
        <w:t xml:space="preserve">Of the amount refundable, ₹[ ] was paid in cash and ₹[ ] by debit to the electronic credit ledger. Under rule 92(1A), the cash portion is paid to the bank account and the credit portion is re-credited by PMT-03.</w:t>
      </w:r>
    </w:p>
    <w:p>
      <w:pPr>
        <w:pStyle w:val="BodyText"/>
        <w:spacing w:before="0" w:after="120" w:line="269" w:lineRule="auto"/>
        <w:jc w:val="both"/>
      </w:pPr>
      <w:r>
        <w:t xml:space="preserve">6.3</w:t>
      </w:r>
      <w:r>
        <w:t xml:space="preserve"> </w:t>
      </w:r>
      <w:r>
        <w:rPr>
          <w:bCs/>
          <w:b/>
        </w:rPr>
        <w:t xml:space="preserve">Department’s position on the appellate order.</w:t>
      </w:r>
      <w:r>
        <w:t xml:space="preserve"> </w:t>
      </w:r>
      <w:r>
        <w:t xml:space="preserve">[Option A: The order was accepted by the Commissioner on review under [section 112(3), for an order of the Appellate Authority] / [section 117, for an order of the Tribunal] on [DD.MM.YYYY] (letter No. [ ]), and no appeal has been or will be filed.] [Option B: The department has filed an appeal before [the Appellate Tribunal / High Court] on [DD.MM.YYYY]. An appeal by the department does not by itself stay the appellate order or bar the refund. [The Commissioner has / has not] ordered withholding under section 54(11), after giving the applicant an opportunity of being heard, on the ground that the grant of refund is likely to adversely affect the revenue in that appeal on account of malfeasance or fraud: see para 9.2.] [Option C: The period for the department’s review under section 112(3) [or for its appeal under section 117] has not yet expired. The refund is decided on the appellate order as it stands, which is binding on this office.]</w:t>
      </w:r>
    </w:p>
    <w:p>
      <w:pPr>
        <w:pStyle w:val="BlockText"/>
        <w:shd w:val="clear" w:color="auto" w:fill="E7E6E6"/>
      </w:pPr>
      <w:r>
        <w:rPr>
          <w:bCs/>
          <w:b/>
          <w:sz w:val="21"/>
        </w:rPr>
        <w:t xml:space="preserve">Drafting note:</w:t>
      </w:r>
      <w:r>
        <w:rPr>
          <w:sz w:val="21"/>
        </w:rPr>
        <w:t xml:space="preserve"> </w:t>
      </w:r>
      <w:r>
        <w:rPr>
          <w:sz w:val="21"/>
        </w:rPr>
        <w:t xml:space="preserve">the appellate order binds this office until it is stayed or set aside. Do not refuse or delay the refund only because the department may appeal; the only power to withhold on that account is section 54(11), and only the Commissioner can use it, with reasons and a hearing.</w:t>
      </w:r>
    </w:p>
    <w:p>
      <w:pPr>
        <w:pStyle w:val="FirstParagraph"/>
        <w:keepNext/>
        <w:spacing w:before="240" w:after="80"/>
        <w:pBdr>
          <w:bottom w:val="single" w:sz="6" w:space="1" w:color="B4C6E7"/>
        </w:pBdr>
      </w:pPr>
      <w:r>
        <w:rPr>
          <w:bCs/>
          <w:b/>
          <w:color w:val="1F3864"/>
          <w:sz w:val="25"/>
        </w:rPr>
        <w:t xml:space="preserve">7. Amount refundable</w:t>
      </w:r>
    </w:p>
    <w:p>
      <w:pPr>
        <w:pStyle w:val="BodyText"/>
        <w:spacing w:before="0" w:after="120" w:line="269" w:lineRule="auto"/>
      </w:pPr>
      <w:r>
        <w:rPr>
          <w:iCs/>
          <w:i/>
        </w:rPr>
        <w:t xml:space="preserve">Table 1: Amount refundable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5622"/>
        <w:gridCol w:w="803"/>
        <w:gridCol w:w="803"/>
        <w:gridCol w:w="803"/>
        <w:gridCol w:w="803"/>
        <w:gridCol w:w="803"/>
      </w:tblGrid>
      <w:tr>
        <w:trPr>
          <w:tblHeader w:val="true"/>
          <w:tblHeader/>
        </w:trPr>
        <w:tc>
          <w:tcPr>
            <w:tcW w:type="dxa" w:w="5622"/>
            <w:shd w:val="clear" w:color="auto" w:fill="DCE6F1"/>
          </w:tcPr>
          <w:p>
            <w:pPr>
              <w:pStyle w:val="Compact"/>
              <w:spacing w:before="0" w:after="0" w:line="240" w:lineRule="auto"/>
              <w:jc w:val="left"/>
            </w:pPr>
            <w:r>
              <w:rPr>
                <w:b/>
                <w:color w:val="1F3864"/>
                <w:sz w:val="21"/>
              </w:rPr>
              <w:t xml:space="preserve">Item</w:t>
            </w:r>
          </w:p>
        </w:tc>
        <w:tc>
          <w:tcPr>
            <w:tcW w:type="dxa" w:w="803"/>
            <w:shd w:val="clear" w:color="auto" w:fill="DCE6F1"/>
          </w:tcPr>
          <w:p>
            <w:pPr>
              <w:pStyle w:val="Compact"/>
              <w:spacing w:before="0" w:after="0" w:line="240" w:lineRule="auto"/>
              <w:jc w:val="left"/>
            </w:pPr>
            <w:r>
              <w:rPr>
                <w:b/>
                <w:color w:val="1F3864"/>
                <w:sz w:val="21"/>
              </w:rPr>
              <w:t xml:space="preserve">IGST (₹)</w:t>
            </w:r>
          </w:p>
        </w:tc>
        <w:tc>
          <w:tcPr>
            <w:tcW w:type="dxa" w:w="803"/>
            <w:shd w:val="clear" w:color="auto" w:fill="DCE6F1"/>
          </w:tcPr>
          <w:p>
            <w:pPr>
              <w:pStyle w:val="Compact"/>
              <w:spacing w:before="0" w:after="0" w:line="240" w:lineRule="auto"/>
              <w:jc w:val="left"/>
            </w:pPr>
            <w:r>
              <w:rPr>
                <w:b/>
                <w:color w:val="1F3864"/>
                <w:sz w:val="21"/>
              </w:rPr>
              <w:t xml:space="preserve">CGST (₹)</w:t>
            </w:r>
          </w:p>
        </w:tc>
        <w:tc>
          <w:tcPr>
            <w:tcW w:type="dxa" w:w="803"/>
            <w:shd w:val="clear" w:color="auto" w:fill="DCE6F1"/>
          </w:tcPr>
          <w:p>
            <w:pPr>
              <w:pStyle w:val="Compact"/>
              <w:spacing w:before="0" w:after="0" w:line="240" w:lineRule="auto"/>
              <w:jc w:val="left"/>
            </w:pPr>
            <w:r>
              <w:rPr>
                <w:b/>
                <w:color w:val="1F3864"/>
                <w:sz w:val="21"/>
              </w:rPr>
              <w:t xml:space="preserve">SGST (₹)</w:t>
            </w:r>
          </w:p>
        </w:tc>
        <w:tc>
          <w:tcPr>
            <w:tcW w:type="dxa" w:w="803"/>
            <w:shd w:val="clear" w:color="auto" w:fill="DCE6F1"/>
          </w:tcPr>
          <w:p>
            <w:pPr>
              <w:pStyle w:val="Compact"/>
              <w:spacing w:before="0" w:after="0" w:line="240" w:lineRule="auto"/>
              <w:jc w:val="left"/>
            </w:pPr>
            <w:r>
              <w:rPr>
                <w:b/>
                <w:color w:val="1F3864"/>
                <w:sz w:val="21"/>
              </w:rPr>
              <w:t xml:space="preserve">Cess (₹)</w:t>
            </w:r>
          </w:p>
        </w:tc>
        <w:tc>
          <w:tcPr>
            <w:tcW w:type="dxa" w:w="803"/>
            <w:shd w:val="clear" w:color="auto" w:fill="DCE6F1"/>
          </w:tcPr>
          <w:p>
            <w:pPr>
              <w:pStyle w:val="Compact"/>
              <w:spacing w:before="0" w:after="0" w:line="240" w:lineRule="auto"/>
              <w:jc w:val="left"/>
            </w:pPr>
            <w:r>
              <w:rPr>
                <w:b/>
                <w:color w:val="1F3864"/>
                <w:sz w:val="21"/>
              </w:rPr>
              <w:t xml:space="preserve">Total (₹)</w:t>
            </w:r>
          </w:p>
        </w:tc>
      </w:tr>
      <w:tr>
        <w:tc>
          <w:tcPr>
            <w:tcW w:type="dxa" w:w="5622"/>
          </w:tcPr>
          <w:p>
            <w:pPr>
              <w:pStyle w:val="Compact"/>
              <w:spacing w:before="0" w:after="0" w:line="240" w:lineRule="auto"/>
              <w:jc w:val="left"/>
            </w:pPr>
            <w:r>
              <w:rPr>
                <w:sz w:val="21"/>
              </w:rPr>
              <w:t xml:space="preserve">(a) Pre-deposit paid under section 107(6) [and 112(8)], date [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r>
      <w:tr>
        <w:tc>
          <w:tcPr>
            <w:tcW w:type="dxa" w:w="5622"/>
          </w:tcPr>
          <w:p>
            <w:pPr>
              <w:pStyle w:val="Compact"/>
              <w:spacing w:before="0" w:after="0" w:line="240" w:lineRule="auto"/>
              <w:jc w:val="left"/>
            </w:pPr>
            <w:r>
              <w:rPr>
                <w:sz w:val="21"/>
              </w:rPr>
              <w:t xml:space="preserve">(b) Other amounts paid towards the demand, date [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r>
      <w:tr>
        <w:tc>
          <w:tcPr>
            <w:tcW w:type="dxa" w:w="5622"/>
          </w:tcPr>
          <w:p>
            <w:pPr>
              <w:pStyle w:val="Compact"/>
              <w:spacing w:before="0" w:after="0" w:line="240" w:lineRule="auto"/>
              <w:jc w:val="left"/>
            </w:pPr>
            <w:r>
              <w:rPr>
                <w:sz w:val="21"/>
              </w:rPr>
              <w:t xml:space="preserve">(c) Part of (a) and (b)</w:t>
            </w:r>
            <w:r>
              <w:rPr>
                <w:sz w:val="21"/>
              </w:rPr>
              <w:t xml:space="preserve"> </w:t>
            </w:r>
            <w:r>
              <w:rPr>
                <w:bCs/>
                <w:b/>
                <w:sz w:val="21"/>
              </w:rPr>
              <w:t xml:space="preserve">not refundable</w:t>
            </w:r>
            <w:r>
              <w:rPr>
                <w:sz w:val="21"/>
              </w:rPr>
              <w:t xml:space="preserve"> </w:t>
            </w:r>
            <w:r>
              <w:rPr>
                <w:sz w:val="21"/>
              </w:rPr>
              <w:t xml:space="preserve">under the appellate order: (i) appropriated towards the tax, interest and penalty upheld, where no further appeal is filed; or (ii) where the upheld part is under appeal to the Tribunal, the pre-deposit under section 107(6) and other amounts paid towards that upheld part, which are retained pending that appeal (section 112(8)(b))</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r>
      <w:tr>
        <w:tc>
          <w:tcPr>
            <w:tcW w:type="dxa" w:w="5622"/>
          </w:tcPr>
          <w:p>
            <w:pPr>
              <w:pStyle w:val="Compact"/>
              <w:spacing w:before="0" w:after="0" w:line="240" w:lineRule="auto"/>
              <w:jc w:val="left"/>
            </w:pPr>
            <w:r>
              <w:rPr>
                <w:sz w:val="21"/>
              </w:rPr>
              <w:t xml:space="preserve">(d) Refundable as a consequence of the appellate order = (a) + (b) − (c)</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r>
      <w:tr>
        <w:tc>
          <w:tcPr>
            <w:tcW w:type="dxa" w:w="5622"/>
          </w:tcPr>
          <w:p>
            <w:pPr>
              <w:pStyle w:val="Compact"/>
              <w:spacing w:before="0" w:after="0" w:line="240" w:lineRule="auto"/>
              <w:jc w:val="left"/>
            </w:pPr>
            <w:r>
              <w:rPr>
                <w:sz w:val="21"/>
              </w:rPr>
              <w:t xml:space="preserve">(e) Claimed</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7.1 Row (c) is the part of the amounts paid that the appellate order has not required to be refunded. Where the upheld part is before the Tribunal, recovery of the</w:t>
      </w:r>
      <w:r>
        <w:t xml:space="preserve"> </w:t>
      </w:r>
      <w:r>
        <w:rPr>
          <w:bCs/>
          <w:b/>
        </w:rPr>
        <w:t xml:space="preserve">balance</w:t>
      </w:r>
      <w:r>
        <w:t xml:space="preserve"> </w:t>
      </w:r>
      <w:r>
        <w:t xml:space="preserve">is stayed (section 112(9)), but amounts already paid towards it are not refunded until the Tribunal decides (section 112(8)(b) requires the Tribunal pre-deposit</w:t>
      </w:r>
      <w:r>
        <w:t xml:space="preserve"> </w:t>
      </w:r>
      <w:r>
        <w:t xml:space="preserve">“</w:t>
      </w:r>
      <w:r>
        <w:t xml:space="preserve">in addition to</w:t>
      </w:r>
      <w:r>
        <w:t xml:space="preserve">”</w:t>
      </w:r>
      <w:r>
        <w:t xml:space="preserve"> </w:t>
      </w:r>
      <w:r>
        <w:t xml:space="preserve">the amount paid under section 107(6)). Row (c) is met first from [the pre-deposit in row (a)] / [the other amounts in row (b)] [state the basis]; the attribution decides whether the amount refunded carries interest under section 115 or under section 56 (para 9.6). Any</w:t>
      </w:r>
      <w:r>
        <w:t xml:space="preserve"> </w:t>
      </w:r>
      <w:r>
        <w:rPr>
          <w:bCs/>
          <w:b/>
        </w:rPr>
        <w:t xml:space="preserve">other</w:t>
      </w:r>
      <w:r>
        <w:t xml:space="preserve"> </w:t>
      </w:r>
      <w:r>
        <w:t xml:space="preserve">dues of the applicant (for example, under a different order) are not netted in this table; they can be adjusted only under section 54(10)(b) as set out in para 9.2, and only if not stayed by the specified date.</w:t>
      </w:r>
    </w:p>
    <w:p>
      <w:pPr>
        <w:pStyle w:val="BodyText"/>
        <w:spacing w:before="0" w:after="120" w:line="269" w:lineRule="auto"/>
      </w:pPr>
      <w:r>
        <w:rPr>
          <w:iCs/>
          <w:i/>
        </w:rPr>
        <w:t xml:space="preserve">Table 1A [Option D only]: Refund rejected earlier and allowed in appeal</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5622"/>
        <w:gridCol w:w="803"/>
        <w:gridCol w:w="803"/>
        <w:gridCol w:w="803"/>
        <w:gridCol w:w="803"/>
        <w:gridCol w:w="803"/>
      </w:tblGrid>
      <w:tr>
        <w:trPr>
          <w:tblHeader w:val="true"/>
          <w:tblHeader/>
        </w:trPr>
        <w:tc>
          <w:tcPr>
            <w:tcW w:type="dxa" w:w="5622"/>
            <w:shd w:val="clear" w:color="auto" w:fill="DCE6F1"/>
          </w:tcPr>
          <w:p>
            <w:pPr>
              <w:pStyle w:val="Compact"/>
              <w:spacing w:before="0" w:after="0" w:line="240" w:lineRule="auto"/>
              <w:jc w:val="left"/>
            </w:pPr>
            <w:r>
              <w:rPr>
                <w:b/>
                <w:color w:val="1F3864"/>
                <w:sz w:val="21"/>
              </w:rPr>
              <w:t xml:space="preserve">Item</w:t>
            </w:r>
          </w:p>
        </w:tc>
        <w:tc>
          <w:tcPr>
            <w:tcW w:type="dxa" w:w="803"/>
            <w:shd w:val="clear" w:color="auto" w:fill="DCE6F1"/>
          </w:tcPr>
          <w:p>
            <w:pPr>
              <w:pStyle w:val="Compact"/>
              <w:spacing w:before="0" w:after="0" w:line="240" w:lineRule="auto"/>
              <w:jc w:val="left"/>
            </w:pPr>
            <w:r>
              <w:rPr>
                <w:b/>
                <w:color w:val="1F3864"/>
                <w:sz w:val="21"/>
              </w:rPr>
              <w:t xml:space="preserve">IGST (₹)</w:t>
            </w:r>
          </w:p>
        </w:tc>
        <w:tc>
          <w:tcPr>
            <w:tcW w:type="dxa" w:w="803"/>
            <w:shd w:val="clear" w:color="auto" w:fill="DCE6F1"/>
          </w:tcPr>
          <w:p>
            <w:pPr>
              <w:pStyle w:val="Compact"/>
              <w:spacing w:before="0" w:after="0" w:line="240" w:lineRule="auto"/>
              <w:jc w:val="left"/>
            </w:pPr>
            <w:r>
              <w:rPr>
                <w:b/>
                <w:color w:val="1F3864"/>
                <w:sz w:val="21"/>
              </w:rPr>
              <w:t xml:space="preserve">CGST (₹)</w:t>
            </w:r>
          </w:p>
        </w:tc>
        <w:tc>
          <w:tcPr>
            <w:tcW w:type="dxa" w:w="803"/>
            <w:shd w:val="clear" w:color="auto" w:fill="DCE6F1"/>
          </w:tcPr>
          <w:p>
            <w:pPr>
              <w:pStyle w:val="Compact"/>
              <w:spacing w:before="0" w:after="0" w:line="240" w:lineRule="auto"/>
              <w:jc w:val="left"/>
            </w:pPr>
            <w:r>
              <w:rPr>
                <w:b/>
                <w:color w:val="1F3864"/>
                <w:sz w:val="21"/>
              </w:rPr>
              <w:t xml:space="preserve">SGST (₹)</w:t>
            </w:r>
          </w:p>
        </w:tc>
        <w:tc>
          <w:tcPr>
            <w:tcW w:type="dxa" w:w="803"/>
            <w:shd w:val="clear" w:color="auto" w:fill="DCE6F1"/>
          </w:tcPr>
          <w:p>
            <w:pPr>
              <w:pStyle w:val="Compact"/>
              <w:spacing w:before="0" w:after="0" w:line="240" w:lineRule="auto"/>
              <w:jc w:val="left"/>
            </w:pPr>
            <w:r>
              <w:rPr>
                <w:b/>
                <w:color w:val="1F3864"/>
                <w:sz w:val="21"/>
              </w:rPr>
              <w:t xml:space="preserve">Cess (₹)</w:t>
            </w:r>
          </w:p>
        </w:tc>
        <w:tc>
          <w:tcPr>
            <w:tcW w:type="dxa" w:w="803"/>
            <w:shd w:val="clear" w:color="auto" w:fill="DCE6F1"/>
          </w:tcPr>
          <w:p>
            <w:pPr>
              <w:pStyle w:val="Compact"/>
              <w:spacing w:before="0" w:after="0" w:line="240" w:lineRule="auto"/>
              <w:jc w:val="left"/>
            </w:pPr>
            <w:r>
              <w:rPr>
                <w:b/>
                <w:color w:val="1F3864"/>
                <w:sz w:val="21"/>
              </w:rPr>
              <w:t xml:space="preserve">Total (₹)</w:t>
            </w:r>
          </w:p>
        </w:tc>
      </w:tr>
      <w:tr>
        <w:tc>
          <w:tcPr>
            <w:tcW w:type="dxa" w:w="5622"/>
          </w:tcPr>
          <w:p>
            <w:pPr>
              <w:pStyle w:val="Compact"/>
              <w:spacing w:before="0" w:after="0" w:line="240" w:lineRule="auto"/>
              <w:jc w:val="left"/>
            </w:pPr>
            <w:r>
              <w:rPr>
                <w:sz w:val="21"/>
              </w:rPr>
              <w:t xml:space="preserve">(a’) Amount rejected in RFD-06 No. [ ] dated [ ] and allowed by the appellate order</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r>
      <w:tr>
        <w:tc>
          <w:tcPr>
            <w:tcW w:type="dxa" w:w="5622"/>
          </w:tcPr>
          <w:p>
            <w:pPr>
              <w:pStyle w:val="Compact"/>
              <w:spacing w:before="0" w:after="0" w:line="240" w:lineRule="auto"/>
              <w:jc w:val="left"/>
            </w:pPr>
            <w:r>
              <w:rPr>
                <w:sz w:val="21"/>
              </w:rPr>
              <w:t xml:space="preserve">(b’) Of which already re-credited by PMT-03 (should be nil: Explanation to rule 93)</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r>
      <w:tr>
        <w:tc>
          <w:tcPr>
            <w:tcW w:type="dxa" w:w="5622"/>
          </w:tcPr>
          <w:p>
            <w:pPr>
              <w:pStyle w:val="Compact"/>
              <w:spacing w:before="0" w:after="0" w:line="240" w:lineRule="auto"/>
              <w:jc w:val="left"/>
            </w:pPr>
            <w:r>
              <w:rPr>
                <w:sz w:val="21"/>
              </w:rPr>
              <w:t xml:space="preserve">(c’) Refundable now = (a’) − (b’), [in cash / by PMT-03 re-credit, as the original claim was an ITC refund debited from the credit ledger]</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c>
          <w:tcPr>
            <w:tcW w:type="dxa" w:w="803"/>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For Option D, no interest under section 115 arises (nothing was paid under section 107(6) towards this amount). Interest under section 56 at nine per cent is payable under its proviso from the date immediately after sixty days of the</w:t>
      </w:r>
      <w:r>
        <w:t xml:space="preserve"> </w:t>
      </w:r>
      <w:r>
        <w:rPr>
          <w:bCs/>
          <w:b/>
        </w:rPr>
        <w:t xml:space="preserve">original</w:t>
      </w:r>
      <w:r>
        <w:t xml:space="preserve"> </w:t>
      </w:r>
      <w:r>
        <w:t xml:space="preserve">application until the date of refund, as the refund arises from an appellate order that has attained finality [confirm finality, para 6.3].</w:t>
      </w:r>
    </w:p>
    <w:p>
      <w:pPr>
        <w:pStyle w:val="BodyText"/>
        <w:keepNext/>
        <w:spacing w:before="240" w:after="80"/>
        <w:pBdr>
          <w:bottom w:val="single" w:sz="6" w:space="1" w:color="B4C6E7"/>
        </w:pBdr>
      </w:pPr>
      <w:r>
        <w:rPr>
          <w:bCs/>
          <w:b/>
          <w:color w:val="1F3864"/>
          <w:sz w:val="25"/>
        </w:rPr>
        <w:t xml:space="preserve">8. Notice, reply and personal hearing</w:t>
      </w:r>
    </w:p>
    <w:p>
      <w:pPr>
        <w:pStyle w:val="BlockText"/>
        <w:shd w:val="clear" w:color="auto" w:fill="E7E6E6"/>
      </w:pPr>
      <w:r>
        <w:rPr>
          <w:bCs/>
          <w:b/>
          <w:sz w:val="21"/>
        </w:rPr>
        <w:t xml:space="preserve">Drafting note:</w:t>
      </w:r>
      <w:r>
        <w:rPr>
          <w:sz w:val="21"/>
        </w:rPr>
        <w:t xml:space="preserve"> </w:t>
      </w:r>
      <w:r>
        <w:rPr>
          <w:sz w:val="21"/>
        </w:rPr>
        <w:t xml:space="preserve">if the claim is sanctioned in full, replace this whole para with:</w:t>
      </w:r>
      <w:r>
        <w:rPr>
          <w:sz w:val="21"/>
        </w:rPr>
        <w:t xml:space="preserve"> </w:t>
      </w:r>
      <w:r>
        <w:rPr>
          <w:sz w:val="21"/>
        </w:rPr>
        <w:t xml:space="preserve">“</w:t>
      </w:r>
      <w:r>
        <w:rPr>
          <w:sz w:val="21"/>
        </w:rPr>
        <w:t xml:space="preserve">8.1 As the claim is found admissible in full, no notice in FORM GST RFD-08 was required.</w:t>
      </w:r>
      <w:r>
        <w:rPr>
          <w:sz w:val="21"/>
        </w:rPr>
        <w:t xml:space="preserve">”</w:t>
      </w:r>
      <w:r>
        <w:rPr>
          <w:sz w:val="21"/>
        </w:rPr>
        <w:t xml:space="preserve"> </w:t>
      </w:r>
      <w:r>
        <w:rPr>
          <w:sz w:val="21"/>
        </w:rPr>
        <w:t xml:space="preserve">Otherwise, the notice must state each actual ground found, with figures, and not template wording (rule 92(3) needs</w:t>
      </w:r>
      <w:r>
        <w:rPr>
          <w:sz w:val="21"/>
        </w:rPr>
        <w:t xml:space="preserve"> </w:t>
      </w:r>
      <w:r>
        <w:rPr>
          <w:sz w:val="21"/>
        </w:rPr>
        <w:t xml:space="preserve">“</w:t>
      </w:r>
      <w:r>
        <w:rPr>
          <w:sz w:val="21"/>
        </w:rPr>
        <w:t xml:space="preserve">reasons to be recorded in writing</w:t>
      </w:r>
      <w:r>
        <w:rPr>
          <w:sz w:val="21"/>
        </w:rPr>
        <w:t xml:space="preserve">”</w:t>
      </w:r>
      <w:r>
        <w:rPr>
          <w:sz w:val="21"/>
        </w:rPr>
        <w:t xml:space="preserve">). The order can reject only on a ground put to the applicant in the notice. Under rule 92(3) the applicant gets fifteen days to reply, and no application can be rejected without an opportunity of being heard.</w:t>
      </w:r>
    </w:p>
    <w:p>
      <w:pPr>
        <w:pStyle w:val="FirstParagraph"/>
        <w:spacing w:before="0" w:after="120" w:line="269" w:lineRule="auto"/>
        <w:jc w:val="both"/>
      </w:pPr>
      <w:r>
        <w:t xml:space="preserve">8.1 On scrutiny, the following grounds were noticed, and a notice in FORM GST RFD-08 No. [ ] dated [DD.MM.YYYY] was issued proposing to reject ₹[ ] of the claim and asking the applicant to reply in FORM GST RFD-09 within fifteen days: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44"/>
        <w:gridCol w:w="4539"/>
        <w:gridCol w:w="2856"/>
      </w:tblGrid>
      <w:tr>
        <w:trPr>
          <w:tblHeader w:val="true"/>
          <w:tblHeader/>
        </w:trPr>
        <w:tc>
          <w:tcPr>
            <w:tcW w:type="dxa" w:w="2244"/>
            <w:shd w:val="clear" w:color="auto" w:fill="DCE6F1"/>
          </w:tcPr>
          <w:p>
            <w:pPr>
              <w:pStyle w:val="Compact"/>
              <w:spacing w:before="0" w:after="0" w:line="240" w:lineRule="auto"/>
              <w:jc w:val="left"/>
            </w:pPr>
            <w:r>
              <w:rPr>
                <w:b/>
                <w:color w:val="1F3864"/>
                <w:sz w:val="21"/>
              </w:rPr>
              <w:t xml:space="preserve">Ground No.</w:t>
            </w:r>
          </w:p>
        </w:tc>
        <w:tc>
          <w:tcPr>
            <w:tcW w:type="dxa" w:w="4539"/>
            <w:shd w:val="clear" w:color="auto" w:fill="DCE6F1"/>
          </w:tcPr>
          <w:p>
            <w:pPr>
              <w:pStyle w:val="Compact"/>
              <w:spacing w:before="0" w:after="0" w:line="240" w:lineRule="auto"/>
              <w:jc w:val="left"/>
            </w:pPr>
            <w:r>
              <w:rPr>
                <w:b/>
                <w:color w:val="1F3864"/>
                <w:sz w:val="21"/>
              </w:rPr>
              <w:t xml:space="preserve">Ground stated in the notice</w:t>
            </w:r>
          </w:p>
        </w:tc>
        <w:tc>
          <w:tcPr>
            <w:tcW w:type="dxa" w:w="2856"/>
            <w:shd w:val="clear" w:color="auto" w:fill="DCE6F1"/>
          </w:tcPr>
          <w:p>
            <w:pPr>
              <w:pStyle w:val="Compact"/>
              <w:spacing w:before="0" w:after="0" w:line="240" w:lineRule="auto"/>
              <w:jc w:val="left"/>
            </w:pPr>
            <w:r>
              <w:rPr>
                <w:b/>
                <w:color w:val="1F3864"/>
                <w:sz w:val="21"/>
              </w:rPr>
              <w:t xml:space="preserve">Amount proposed for rejection (₹)</w:t>
            </w:r>
          </w:p>
        </w:tc>
      </w:tr>
      <w:tr>
        <w:tc>
          <w:tcPr>
            <w:tcW w:type="dxa" w:w="2244"/>
          </w:tcPr>
          <w:p>
            <w:pPr>
              <w:pStyle w:val="Compact"/>
              <w:spacing w:before="0" w:after="0" w:line="240" w:lineRule="auto"/>
              <w:jc w:val="left"/>
            </w:pPr>
            <w:r>
              <w:rPr>
                <w:sz w:val="21"/>
              </w:rPr>
              <w:t xml:space="preserve">1</w:t>
            </w:r>
          </w:p>
        </w:tc>
        <w:tc>
          <w:tcPr>
            <w:tcW w:type="dxa" w:w="4539"/>
          </w:tcPr>
          <w:p>
            <w:pPr>
              <w:pStyle w:val="Compact"/>
              <w:spacing w:before="0" w:after="0" w:line="240" w:lineRule="auto"/>
              <w:jc w:val="left"/>
            </w:pPr>
            <w:r>
              <w:rPr>
                <w:sz w:val="21"/>
              </w:rPr>
              <w:t xml:space="preserve">[ground, with the figures and the provision relied on]</w:t>
            </w:r>
          </w:p>
        </w:tc>
        <w:tc>
          <w:tcPr>
            <w:tcW w:type="dxa" w:w="2856"/>
          </w:tcPr>
          <w:p>
            <w:pPr>
              <w:pStyle w:val="Compact"/>
              <w:spacing w:before="0" w:after="0" w:line="240" w:lineRule="auto"/>
              <w:jc w:val="left"/>
            </w:pPr>
            <w:r>
              <w:rPr>
                <w:sz w:val="21"/>
              </w:rPr>
              <w:t xml:space="preserve">[ ]</w:t>
            </w:r>
          </w:p>
        </w:tc>
      </w:tr>
      <w:tr>
        <w:tc>
          <w:tcPr>
            <w:tcW w:type="dxa" w:w="2244"/>
          </w:tcPr>
          <w:p>
            <w:pPr>
              <w:pStyle w:val="Compact"/>
              <w:spacing w:before="0" w:after="0" w:line="240" w:lineRule="auto"/>
              <w:jc w:val="left"/>
            </w:pPr>
            <w:r>
              <w:rPr>
                <w:sz w:val="21"/>
              </w:rPr>
              <w:t xml:space="preserve">2</w:t>
            </w:r>
          </w:p>
        </w:tc>
        <w:tc>
          <w:tcPr>
            <w:tcW w:type="dxa" w:w="4539"/>
          </w:tcPr>
          <w:p>
            <w:pPr>
              <w:pStyle w:val="Compact"/>
              <w:spacing w:before="0" w:after="0" w:line="240" w:lineRule="auto"/>
              <w:jc w:val="left"/>
            </w:pPr>
            <w:r>
              <w:rPr>
                <w:sz w:val="21"/>
              </w:rPr>
              <w:t xml:space="preserve">[ ]</w:t>
            </w:r>
          </w:p>
        </w:tc>
        <w:tc>
          <w:tcPr>
            <w:tcW w:type="dxa" w:w="2856"/>
          </w:tcPr>
          <w:p>
            <w:pPr>
              <w:pStyle w:val="Compact"/>
              <w:spacing w:before="0" w:after="0" w:line="240" w:lineRule="auto"/>
              <w:jc w:val="left"/>
            </w:pPr>
            <w:r>
              <w:rPr>
                <w:sz w:val="21"/>
              </w:rPr>
              <w:t xml:space="preserve">[ ]</w:t>
            </w:r>
          </w:p>
        </w:tc>
      </w:tr>
      <w:tr>
        <w:tc>
          <w:tcPr>
            <w:tcW w:type="dxa" w:w="2244"/>
            <w:shd w:val="clear" w:color="auto" w:fill="F2F2F2"/>
          </w:tcPr>
          <w:p>
            <w:pPr>
              <w:pStyle w:val="Compact"/>
              <w:spacing w:before="0" w:after="0" w:line="240" w:lineRule="auto"/>
            </w:pPr>
          </w:p>
        </w:tc>
        <w:tc>
          <w:tcPr>
            <w:tcW w:type="dxa" w:w="4539"/>
            <w:shd w:val="clear" w:color="auto" w:fill="F2F2F2"/>
          </w:tcPr>
          <w:p>
            <w:pPr>
              <w:pStyle w:val="Compact"/>
              <w:spacing w:before="0" w:after="0" w:line="240" w:lineRule="auto"/>
              <w:jc w:val="left"/>
            </w:pPr>
            <w:r>
              <w:rPr>
                <w:bCs/>
                <w:b/>
                <w:sz w:val="21"/>
              </w:rPr>
              <w:t xml:space="preserve">Total</w:t>
            </w:r>
          </w:p>
        </w:tc>
        <w:tc>
          <w:tcPr>
            <w:tcW w:type="dxa" w:w="2856"/>
            <w:shd w:val="clear" w:color="auto" w:fill="F2F2F2"/>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8.2 The applicant replied in FORM GST RFD-09 on [DD.MM.YYYY] [Option: after the time extended on request dated [ ]] and submitted [list of documents]. A personal hearing was held on [DD.MM.YYYY], attended by [designation of the authorised representative, not the person’s name], who [reiterated the reply] / [made the following further submissions: …] and [filed additional documents on [DD.MM.YYYY]].</w:t>
      </w:r>
    </w:p>
    <w:p>
      <w:pPr>
        <w:pStyle w:val="BodyText"/>
        <w:spacing w:before="0" w:after="120" w:line="269" w:lineRule="auto"/>
        <w:jc w:val="both"/>
      </w:pPr>
      <w:r>
        <w:t xml:space="preserve">[Option, where the applicant did not respond] 8.2 No reply was received. Opportunities of personal hearing were given on [DD.MM.YYYY], [DD.MM.YYYY] and [DD.MM.YYYY] by letters served on the portal [and by e-mail], but no one appeared and no adjournment was sought. The matter is therefore decided on the records available, as each of the grounds below is examined on its merits.</w:t>
      </w:r>
    </w:p>
    <w:p>
      <w:pPr>
        <w:pStyle w:val="BodyText"/>
        <w:spacing w:before="0" w:after="120" w:line="269" w:lineRule="auto"/>
        <w:jc w:val="both"/>
      </w:pPr>
      <w:r>
        <w:t xml:space="preserve">8.3</w:t>
      </w:r>
      <w:r>
        <w:t xml:space="preserve"> </w:t>
      </w:r>
      <w:r>
        <w:rPr>
          <w:bCs/>
          <w:b/>
        </w:rPr>
        <w:t xml:space="preserve">Findings on each ground.</w:t>
      </w:r>
      <w:r>
        <w:t xml:space="preserve"> </w:t>
      </w:r>
      <w:r>
        <w:t xml:space="preserve">Each ground in the notice, each point in the reply and each submission made at the hearing is dealt with below.</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39"/>
        <w:gridCol w:w="1984"/>
        <w:gridCol w:w="1606"/>
        <w:gridCol w:w="2551"/>
        <w:gridCol w:w="1417"/>
        <w:gridCol w:w="1039"/>
      </w:tblGrid>
      <w:tr>
        <w:trPr>
          <w:tblHeader w:val="true"/>
          <w:tblHeader/>
        </w:trPr>
        <w:tc>
          <w:tcPr>
            <w:tcW w:type="dxa" w:w="1039"/>
            <w:shd w:val="clear" w:color="auto" w:fill="DCE6F1"/>
          </w:tcPr>
          <w:p>
            <w:pPr>
              <w:pStyle w:val="Compact"/>
              <w:spacing w:before="0" w:after="0" w:line="240" w:lineRule="auto"/>
              <w:jc w:val="left"/>
            </w:pPr>
            <w:r>
              <w:rPr>
                <w:b/>
                <w:color w:val="1F3864"/>
                <w:sz w:val="21"/>
              </w:rPr>
              <w:t xml:space="preserve">Ground</w:t>
            </w:r>
          </w:p>
        </w:tc>
        <w:tc>
          <w:tcPr>
            <w:tcW w:type="dxa" w:w="1984"/>
            <w:shd w:val="clear" w:color="auto" w:fill="DCE6F1"/>
          </w:tcPr>
          <w:p>
            <w:pPr>
              <w:pStyle w:val="Compact"/>
              <w:spacing w:before="0" w:after="0" w:line="240" w:lineRule="auto"/>
              <w:jc w:val="left"/>
            </w:pPr>
            <w:r>
              <w:rPr>
                <w:b/>
                <w:color w:val="1F3864"/>
                <w:sz w:val="21"/>
              </w:rPr>
              <w:t xml:space="preserve">Applicant’s reply / submission at hearing</w:t>
            </w:r>
          </w:p>
        </w:tc>
        <w:tc>
          <w:tcPr>
            <w:tcW w:type="dxa" w:w="1606"/>
            <w:shd w:val="clear" w:color="auto" w:fill="DCE6F1"/>
          </w:tcPr>
          <w:p>
            <w:pPr>
              <w:pStyle w:val="Compact"/>
              <w:spacing w:before="0" w:after="0" w:line="240" w:lineRule="auto"/>
              <w:jc w:val="left"/>
            </w:pPr>
            <w:r>
              <w:rPr>
                <w:b/>
                <w:color w:val="1F3864"/>
                <w:sz w:val="21"/>
              </w:rPr>
              <w:t xml:space="preserve">Verification done</w:t>
            </w:r>
          </w:p>
        </w:tc>
        <w:tc>
          <w:tcPr>
            <w:tcW w:type="dxa" w:w="2551"/>
            <w:shd w:val="clear" w:color="auto" w:fill="DCE6F1"/>
          </w:tcPr>
          <w:p>
            <w:pPr>
              <w:pStyle w:val="Compact"/>
              <w:spacing w:before="0" w:after="0" w:line="240" w:lineRule="auto"/>
              <w:jc w:val="left"/>
            </w:pPr>
            <w:r>
              <w:rPr>
                <w:b/>
                <w:color w:val="1F3864"/>
                <w:sz w:val="21"/>
              </w:rPr>
              <w:t xml:space="preserve">Finding and provision relied on</w:t>
            </w:r>
          </w:p>
        </w:tc>
        <w:tc>
          <w:tcPr>
            <w:tcW w:type="dxa" w:w="1417"/>
            <w:shd w:val="clear" w:color="auto" w:fill="DCE6F1"/>
          </w:tcPr>
          <w:p>
            <w:pPr>
              <w:pStyle w:val="Compact"/>
              <w:spacing w:before="0" w:after="0" w:line="240" w:lineRule="auto"/>
              <w:jc w:val="left"/>
            </w:pPr>
            <w:r>
              <w:rPr>
                <w:b/>
                <w:color w:val="1F3864"/>
                <w:sz w:val="21"/>
              </w:rPr>
              <w:t xml:space="preserve">Amount found not admissible on this ground (₹)</w:t>
            </w:r>
          </w:p>
        </w:tc>
        <w:tc>
          <w:tcPr>
            <w:tcW w:type="dxa" w:w="1039"/>
            <w:shd w:val="clear" w:color="auto" w:fill="DCE6F1"/>
          </w:tcPr>
          <w:p>
            <w:pPr>
              <w:pStyle w:val="Compact"/>
              <w:spacing w:before="0" w:after="0" w:line="240" w:lineRule="auto"/>
              <w:jc w:val="left"/>
            </w:pPr>
            <w:r>
              <w:rPr>
                <w:b/>
                <w:color w:val="1F3864"/>
                <w:sz w:val="21"/>
              </w:rPr>
              <w:t xml:space="preserve">Effect on refund (₹)</w:t>
            </w:r>
          </w:p>
        </w:tc>
      </w:tr>
      <w:tr>
        <w:tc>
          <w:tcPr>
            <w:tcW w:type="dxa" w:w="1039"/>
          </w:tcPr>
          <w:p>
            <w:pPr>
              <w:pStyle w:val="Compact"/>
              <w:spacing w:before="0" w:after="0" w:line="240" w:lineRule="auto"/>
              <w:jc w:val="left"/>
            </w:pPr>
            <w:r>
              <w:rPr>
                <w:sz w:val="21"/>
              </w:rPr>
              <w:t xml:space="preserve">1</w:t>
            </w:r>
          </w:p>
        </w:tc>
        <w:tc>
          <w:tcPr>
            <w:tcW w:type="dxa" w:w="1984"/>
          </w:tcPr>
          <w:p>
            <w:pPr>
              <w:pStyle w:val="Compact"/>
              <w:spacing w:before="0" w:after="0" w:line="240" w:lineRule="auto"/>
              <w:jc w:val="left"/>
            </w:pPr>
            <w:r>
              <w:rPr>
                <w:sz w:val="21"/>
              </w:rPr>
              <w:t xml:space="preserve">[summary of the reply on this ground]</w:t>
            </w:r>
          </w:p>
        </w:tc>
        <w:tc>
          <w:tcPr>
            <w:tcW w:type="dxa" w:w="1606"/>
          </w:tcPr>
          <w:p>
            <w:pPr>
              <w:pStyle w:val="Compact"/>
              <w:spacing w:before="0" w:after="0" w:line="240" w:lineRule="auto"/>
              <w:jc w:val="left"/>
            </w:pPr>
            <w:r>
              <w:rPr>
                <w:sz w:val="21"/>
              </w:rPr>
              <w:t xml:space="preserve">[what was checked, against which record]</w:t>
            </w:r>
          </w:p>
        </w:tc>
        <w:tc>
          <w:tcPr>
            <w:tcW w:type="dxa" w:w="2551"/>
          </w:tcPr>
          <w:p>
            <w:pPr>
              <w:pStyle w:val="Compact"/>
              <w:spacing w:before="0" w:after="0" w:line="240" w:lineRule="auto"/>
              <w:jc w:val="left"/>
            </w:pPr>
            <w:r>
              <w:rPr>
                <w:sz w:val="21"/>
              </w:rPr>
              <w:t xml:space="preserve">[Accepted / Partly accepted / Not accepted, because …; section or rule]</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r>
        <w:tc>
          <w:tcPr>
            <w:tcW w:type="dxa" w:w="1039"/>
          </w:tcPr>
          <w:p>
            <w:pPr>
              <w:pStyle w:val="Compact"/>
              <w:spacing w:before="0" w:after="0" w:line="240" w:lineRule="auto"/>
              <w:jc w:val="left"/>
            </w:pPr>
            <w:r>
              <w:rPr>
                <w:sz w:val="21"/>
              </w:rPr>
              <w:t xml:space="preserve">2</w:t>
            </w:r>
          </w:p>
        </w:tc>
        <w:tc>
          <w:tcPr>
            <w:tcW w:type="dxa" w:w="1984"/>
          </w:tcPr>
          <w:p>
            <w:pPr>
              <w:pStyle w:val="Compact"/>
              <w:spacing w:before="0" w:after="0" w:line="240" w:lineRule="auto"/>
              <w:jc w:val="left"/>
            </w:pPr>
            <w:r>
              <w:rPr>
                <w:sz w:val="21"/>
              </w:rPr>
              <w:t xml:space="preserve">[ ]</w:t>
            </w:r>
          </w:p>
        </w:tc>
        <w:tc>
          <w:tcPr>
            <w:tcW w:type="dxa" w:w="1606"/>
          </w:tcPr>
          <w:p>
            <w:pPr>
              <w:pStyle w:val="Compact"/>
              <w:spacing w:before="0" w:after="0" w:line="240" w:lineRule="auto"/>
              <w:jc w:val="left"/>
            </w:pPr>
            <w:r>
              <w:rPr>
                <w:sz w:val="21"/>
              </w:rPr>
              <w:t xml:space="preserve">[ ]</w:t>
            </w:r>
          </w:p>
        </w:tc>
        <w:tc>
          <w:tcPr>
            <w:tcW w:type="dxa" w:w="2551"/>
          </w:tcPr>
          <w:p>
            <w:pPr>
              <w:pStyle w:val="Compact"/>
              <w:spacing w:before="0" w:after="0" w:line="240" w:lineRule="auto"/>
              <w:jc w:val="left"/>
            </w:pPr>
            <w:r>
              <w:rPr>
                <w:sz w:val="21"/>
              </w:rPr>
              <w:t xml:space="preserve">[ ]</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r>
        <w:tc>
          <w:tcPr>
            <w:tcW w:type="dxa" w:w="1039"/>
          </w:tcPr>
          <w:p>
            <w:pPr>
              <w:pStyle w:val="Compact"/>
              <w:spacing w:before="0" w:after="0" w:line="240" w:lineRule="auto"/>
              <w:jc w:val="left"/>
            </w:pPr>
            <w:r>
              <w:rPr>
                <w:sz w:val="21"/>
              </w:rPr>
              <w:t xml:space="preserve">Further submission at hearing</w:t>
            </w:r>
          </w:p>
        </w:tc>
        <w:tc>
          <w:tcPr>
            <w:tcW w:type="dxa" w:w="1984"/>
          </w:tcPr>
          <w:p>
            <w:pPr>
              <w:pStyle w:val="Compact"/>
              <w:spacing w:before="0" w:after="0" w:line="240" w:lineRule="auto"/>
              <w:jc w:val="left"/>
            </w:pPr>
            <w:r>
              <w:rPr>
                <w:sz w:val="21"/>
              </w:rPr>
              <w:t xml:space="preserve">[ ]</w:t>
            </w:r>
          </w:p>
        </w:tc>
        <w:tc>
          <w:tcPr>
            <w:tcW w:type="dxa" w:w="1606"/>
          </w:tcPr>
          <w:p>
            <w:pPr>
              <w:pStyle w:val="Compact"/>
              <w:spacing w:before="0" w:after="0" w:line="240" w:lineRule="auto"/>
              <w:jc w:val="left"/>
            </w:pPr>
            <w:r>
              <w:rPr>
                <w:sz w:val="21"/>
              </w:rPr>
              <w:t xml:space="preserve">[ ]</w:t>
            </w:r>
          </w:p>
        </w:tc>
        <w:tc>
          <w:tcPr>
            <w:tcW w:type="dxa" w:w="2551"/>
          </w:tcPr>
          <w:p>
            <w:pPr>
              <w:pStyle w:val="Compact"/>
              <w:spacing w:before="0" w:after="0" w:line="240" w:lineRule="auto"/>
              <w:jc w:val="left"/>
            </w:pPr>
            <w:r>
              <w:rPr>
                <w:sz w:val="21"/>
              </w:rPr>
              <w:t xml:space="preserve">[ ]</w:t>
            </w:r>
          </w:p>
        </w:tc>
        <w:tc>
          <w:tcPr>
            <w:tcW w:type="dxa" w:w="1417"/>
          </w:tcPr>
          <w:p>
            <w:pPr>
              <w:pStyle w:val="Compact"/>
              <w:spacing w:before="0" w:after="0" w:line="240" w:lineRule="auto"/>
              <w:jc w:val="left"/>
            </w:pPr>
            <w:r>
              <w:rPr>
                <w:sz w:val="21"/>
              </w:rPr>
              <w:t xml:space="preserve">[ ]</w:t>
            </w:r>
          </w:p>
        </w:tc>
        <w:tc>
          <w:tcPr>
            <w:tcW w:type="dxa" w:w="1039"/>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write a separate paragraph under the table for any ground that needs more than three lines of reasoning. Keep the amount found not admissible on each ground separate from its effect on the head-wise refund, and do not count an amount twice where two grounds overlap. Decide every ground, including one that becomes moot because of the finding on another ground (say</w:t>
      </w:r>
      <w:r>
        <w:rPr>
          <w:sz w:val="21"/>
        </w:rPr>
        <w:t xml:space="preserve"> </w:t>
      </w:r>
      <w:r>
        <w:rPr>
          <w:sz w:val="21"/>
        </w:rPr>
        <w:t xml:space="preserve">“</w:t>
      </w:r>
      <w:r>
        <w:rPr>
          <w:sz w:val="21"/>
        </w:rPr>
        <w:t xml:space="preserve">This ground does not survive, in view of the finding on ground [ ]</w:t>
      </w:r>
      <w:r>
        <w:rPr>
          <w:sz w:val="21"/>
        </w:rPr>
        <w:t xml:space="preserve">”</w:t>
      </w:r>
      <w:r>
        <w:rPr>
          <w:sz w:val="21"/>
        </w:rPr>
        <w:t xml:space="preserve">). If a ground is dropped, say so and why.</w:t>
      </w:r>
    </w:p>
    <w:p>
      <w:pPr>
        <w:pStyle w:val="FirstParagraph"/>
        <w:keepNext/>
        <w:spacing w:before="240" w:after="80"/>
        <w:pBdr>
          <w:bottom w:val="single" w:sz="6" w:space="1" w:color="B4C6E7"/>
        </w:pBdr>
      </w:pPr>
      <w:r>
        <w:rPr>
          <w:bCs/>
          <w:b/>
          <w:color w:val="1F3864"/>
          <w:sz w:val="25"/>
        </w:rPr>
        <w:t xml:space="preserve">9. Other conditions for payment of the refund</w:t>
      </w:r>
    </w:p>
    <w:p>
      <w:pPr>
        <w:pStyle w:val="BodyText"/>
        <w:spacing w:before="0" w:after="120" w:line="269" w:lineRule="auto"/>
        <w:jc w:val="both"/>
      </w:pPr>
      <w:r>
        <w:t xml:space="preserve">9.1</w:t>
      </w:r>
      <w:r>
        <w:t xml:space="preserve"> </w:t>
      </w:r>
      <w:r>
        <w:rPr>
          <w:bCs/>
          <w:b/>
        </w:rPr>
        <w:t xml:space="preserve">Unjust enrichment.</w:t>
      </w:r>
      <w:r>
        <w:t xml:space="preserve"> </w:t>
      </w:r>
      <w:r>
        <w:t xml:space="preserve">[Option A, amount up to ₹2 lakh: The applicant has filed the declaration under rule 89(2)(l) that the incidence of the amount claimed has not been passed on to any other person.] [Option B, amount above ₹2 lakh: The applicant has filed a certificate in Annexure 2 of FORM GST RFD-01 from a Chartered Accountant / Cost Accountant under rule 89(2)(m) that the incidence has not been passed on.] Nothing on record (the invoices of the period, the books of account or the financial statements) shows that the amount was recovered from customers. The refund is therefore payable to the applicant under section 54(8)(e). [Drafting note: for a pure pre-deposit made to file the appeal, the incidence is rarely in question, but the rule still requires the declaration or certificate; ask for it in RFD-03 if missing.]</w:t>
      </w:r>
    </w:p>
    <w:p>
      <w:pPr>
        <w:pStyle w:val="BodyText"/>
        <w:spacing w:before="0" w:after="120" w:line="269" w:lineRule="auto"/>
        <w:jc w:val="both"/>
      </w:pPr>
      <w:r>
        <w:t xml:space="preserve">9.2</w:t>
      </w:r>
      <w:r>
        <w:t xml:space="preserve"> </w:t>
      </w:r>
      <w:r>
        <w:rPr>
          <w:bCs/>
          <w:b/>
        </w:rPr>
        <w:t xml:space="preserve">Dues and withholding (section 54(10) and 54(11)).</w:t>
      </w:r>
      <w:r>
        <w:t xml:space="preserve"> </w:t>
      </w:r>
      <w:r>
        <w:t xml:space="preserve">The [range report dated [DD.MM.YYYY]], the arrears and liability register of the Division, the back-office demand and recovery ledger and the portal (Electronic Liability Register Part II) were checked on [DD.MM.YYYY].</w:t>
      </w:r>
    </w:p>
    <w:p>
      <w:pPr>
        <w:pStyle w:val="BodyText"/>
        <w:spacing w:before="0" w:after="120" w:line="269" w:lineRule="auto"/>
        <w:jc w:val="both"/>
      </w:pPr>
      <w:r>
        <w:t xml:space="preserve">[Option A] No return was pending and no tax, interest, penalty or other amount was payable by the applicant under the CGST Act or the existing law that had not been stayed by the specified date. No amount is withheld or deducted.</w:t>
      </w:r>
    </w:p>
    <w:p>
      <w:pPr>
        <w:pStyle w:val="BodyText"/>
        <w:spacing w:before="0" w:after="120" w:line="269" w:lineRule="auto"/>
        <w:jc w:val="both"/>
      </w:pPr>
      <w:r>
        <w:t xml:space="preserve">[Option B] The applicant owes ₹[ ] under [Order No. [ ] dated [ ] / demand ID [ ]]. That amount was not stayed by any court, Tribunal or Appellate Authority by the specified date (the last date for filing an appeal), [and no appeal with the pre-deposit under section 107(6) is on record]. Under section 54(10)(b), ₹[ ] is deducted from the refund and</w:t>
      </w:r>
      <w:r>
        <w:t xml:space="preserve"> </w:t>
      </w:r>
      <w:r>
        <w:rPr>
          <w:bCs/>
          <w:b/>
        </w:rPr>
        <w:t xml:space="preserve">adjusted in this order</w:t>
      </w:r>
      <w:r>
        <w:t xml:space="preserve"> </w:t>
      </w:r>
      <w:r>
        <w:t xml:space="preserve">against that demand (rule 92(1); para 35 of Circular No. 125/44/2019-GST). [Under section 54(10)(a), ₹[ ] is withheld until the return for [period] is filed, by order in Part A of FORM GST RFD-07 dated [DD.MM.YYYY] (rule 92(2)).]</w:t>
      </w:r>
    </w:p>
    <w:p>
      <w:pPr>
        <w:pStyle w:val="BodyText"/>
        <w:spacing w:before="0" w:after="120" w:line="269" w:lineRule="auto"/>
        <w:jc w:val="both"/>
      </w:pPr>
      <w:r>
        <w:t xml:space="preserve">[Option C] By order dated [DD.MM.YYYY], the Commissioner, being of the opinion that the grant of this refund is likely to adversely affect the revenue in [the appeal / proceedings [No.] pending under section [ ]] on account of [malfeasance / fraud], namely [ ], has, after giving the applicant an opportunity of being heard, withheld ₹[ ] until [ ] under section 54(11). The withholding is recorded in Part A of FORM GST RFD-07 dated [DD.MM.YYYY] (rule 92(2)). If the applicant becomes entitled to the amount as a result of those proceedings, interest is payable under section 54(12).</w:t>
      </w:r>
    </w:p>
    <w:p>
      <w:pPr>
        <w:pStyle w:val="BlockText"/>
        <w:shd w:val="clear" w:color="auto" w:fill="E7E6E6"/>
      </w:pPr>
      <w:r>
        <w:rPr>
          <w:bCs/>
          <w:b/>
          <w:sz w:val="21"/>
        </w:rPr>
        <w:t xml:space="preserve">Drafting note:</w:t>
      </w:r>
      <w:r>
        <w:rPr>
          <w:sz w:val="21"/>
        </w:rPr>
        <w:t xml:space="preserve"> </w:t>
      </w:r>
      <w:r>
        <w:rPr>
          <w:sz w:val="21"/>
        </w:rPr>
        <w:t xml:space="preserve">only a confirmed amount not stayed by the specified date can be deducted or withheld under section 54(10). A demand set aside in appeal, a demand under appeal with the pre-deposit paid (deemed stayed under section 107(7)), or a mere show cause notice cannot be. An adjustment under section 54(10)(b) is made in this RFD-06 itself; RFD-07 Part A is only for withholding (section 54(10)(a) or 54(11)), and Part B for its release. Never reject a refund in place of adjusting or withholding it.</w:t>
      </w:r>
    </w:p>
    <w:p>
      <w:pPr>
        <w:pStyle w:val="FirstParagraph"/>
        <w:spacing w:before="0" w:after="120" w:line="269" w:lineRule="auto"/>
        <w:jc w:val="both"/>
      </w:pPr>
      <w:r>
        <w:t xml:space="preserve">9.3</w:t>
      </w:r>
      <w:r>
        <w:t xml:space="preserve"> </w:t>
      </w:r>
      <w:r>
        <w:rPr>
          <w:bCs/>
          <w:b/>
        </w:rPr>
        <w:t xml:space="preserve">Minimum amount (section 54(14)).</w:t>
      </w:r>
      <w:r>
        <w:t xml:space="preserve"> </w:t>
      </w:r>
      <w:r>
        <w:t xml:space="preserve">The amount sanctioned under each tax head is not less than one thousand rupees. [Option: The amount found admissible under [head] is ₹[ ], which is less than one thousand rupees, and is therefore not paid (section 54(14); para 60 of Circular No. 125/44/2019-GST, which applies the limit to each tax head separately).]</w:t>
      </w:r>
    </w:p>
    <w:p>
      <w:pPr>
        <w:pStyle w:val="BlockText"/>
        <w:shd w:val="clear" w:color="auto" w:fill="E7E6E6"/>
      </w:pPr>
      <w:r>
        <w:rPr>
          <w:bCs/>
          <w:b/>
          <w:sz w:val="21"/>
        </w:rPr>
        <w:t xml:space="preserve">Drafting note (amount below ₹1,000 under a head):</w:t>
      </w:r>
      <w:r>
        <w:rPr>
          <w:sz w:val="21"/>
        </w:rPr>
        <w:t xml:space="preserve"> </w:t>
      </w:r>
      <w:r>
        <w:rPr>
          <w:sz w:val="21"/>
        </w:rPr>
        <w:t xml:space="preserve">say in para 11 what becomes of it. Show it in the</w:t>
      </w:r>
      <w:r>
        <w:rPr>
          <w:sz w:val="21"/>
        </w:rPr>
        <w:t xml:space="preserve"> </w:t>
      </w:r>
      <w:r>
        <w:rPr>
          <w:sz w:val="21"/>
        </w:rPr>
        <w:t xml:space="preserve">“</w:t>
      </w:r>
      <w:r>
        <w:rPr>
          <w:sz w:val="21"/>
        </w:rPr>
        <w:t xml:space="preserve">Rejected</w:t>
      </w:r>
      <w:r>
        <w:rPr>
          <w:sz w:val="21"/>
        </w:rPr>
        <w:t xml:space="preserve">”</w:t>
      </w:r>
      <w:r>
        <w:rPr>
          <w:sz w:val="21"/>
        </w:rPr>
        <w:t xml:space="preserve"> </w:t>
      </w:r>
      <w:r>
        <w:rPr>
          <w:sz w:val="21"/>
        </w:rPr>
        <w:t xml:space="preserve">column of the 11.1 table with the words</w:t>
      </w:r>
      <w:r>
        <w:rPr>
          <w:sz w:val="21"/>
        </w:rPr>
        <w:t xml:space="preserve"> </w:t>
      </w:r>
      <w:r>
        <w:rPr>
          <w:sz w:val="21"/>
        </w:rPr>
        <w:t xml:space="preserve">“</w:t>
      </w:r>
      <w:r>
        <w:rPr>
          <w:sz w:val="21"/>
        </w:rPr>
        <w:t xml:space="preserve">not paid under section 54(14)</w:t>
      </w:r>
      <w:r>
        <w:rPr>
          <w:sz w:val="21"/>
        </w:rPr>
        <w:t xml:space="preserve">”</w:t>
      </w:r>
      <w:r>
        <w:rPr>
          <w:sz w:val="21"/>
        </w:rPr>
        <w:t xml:space="preserve">, so the table balances. Where it was debited from the electronic credit or cash ledger on filing, direct its re-credit by PMT-03 with the rest of the rejected amount [confirm the Commissionerate’s practice].</w:t>
      </w:r>
    </w:p>
    <w:p>
      <w:pPr>
        <w:pStyle w:val="FirstParagraph"/>
        <w:spacing w:before="0" w:after="120" w:line="269" w:lineRule="auto"/>
        <w:jc w:val="both"/>
      </w:pPr>
      <w:r>
        <w:t xml:space="preserve">9.4</w:t>
      </w:r>
      <w:r>
        <w:t xml:space="preserve"> </w:t>
      </w:r>
      <w:r>
        <w:rPr>
          <w:bCs/>
          <w:b/>
        </w:rPr>
        <w:t xml:space="preserve">Bank account.</w:t>
      </w:r>
      <w:r>
        <w:t xml:space="preserve"> </w:t>
      </w:r>
      <w:r>
        <w:t xml:space="preserve">The refund will be credited to the bank account [ending [XXXX]] declared in the application, which is one of the accounts in the applicant’s registration particulars and has been validated on the portal (rule 92(4)).</w:t>
      </w:r>
    </w:p>
    <w:p>
      <w:pPr>
        <w:pStyle w:val="BodyText"/>
        <w:spacing w:before="0" w:after="120" w:line="269" w:lineRule="auto"/>
        <w:jc w:val="both"/>
      </w:pPr>
      <w:r>
        <w:t xml:space="preserve">9.5</w:t>
      </w:r>
      <w:r>
        <w:t xml:space="preserve"> </w:t>
      </w:r>
      <w:r>
        <w:rPr>
          <w:bCs/>
          <w:b/>
        </w:rPr>
        <w:t xml:space="preserve">Time limit (section 54(7)).</w:t>
      </w:r>
      <w:r>
        <w:t xml:space="preserve"> </w:t>
      </w:r>
      <w:r>
        <w:t xml:space="preserve">The application was filed on [DD.MM.YYYY] (the ARN date, rule 90(2)), and sixty days from that date end on [DD.MM.YYYY]. Interest on this refund is dealt with in para 9.6: interest under section 115 on the pre-deposit, and interest under section 56 only on the other amounts in Table 1, row (b). No interest under section 56 is payable on the pre-deposit.</w:t>
      </w:r>
    </w:p>
    <w:p>
      <w:pPr>
        <w:pStyle w:val="BodyText"/>
        <w:spacing w:before="0" w:after="120" w:line="269" w:lineRule="auto"/>
        <w:jc w:val="both"/>
      </w:pPr>
      <w:r>
        <w:t xml:space="preserve">9.6</w:t>
      </w:r>
      <w:r>
        <w:t xml:space="preserve"> </w:t>
      </w:r>
      <w:r>
        <w:rPr>
          <w:bCs/>
          <w:b/>
        </w:rPr>
        <w:t xml:space="preserve">Interest under section 115 (pre-deposit).</w:t>
      </w:r>
      <w:r>
        <w:t xml:space="preserve"> </w:t>
      </w:r>
      <w:r>
        <w:t xml:space="preserve">Interest is payable on the pre-deposit of ₹[ ] at the rate specified under section 56, from the date of payment, [DD.MM.YYYY], to the date of refund (the date the amount is credited to the applicant’s bank account: para 34 of Circular No. 125/44/2019-GST). [The rate of six per cent per annum under the main part of section 56 (Notification No. 13/2017-Central Tax) is adopted, because [state the basis, e.g. Board instruction No. [ ] / jurisdictional High Court ruling]; if the nine per cent rate under the proviso to section 56 is held applicable to refunds arising from an appellate order that has attained finality, record that basis instead.] Up to the expected date of credit, it works out to:</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339"/>
        <w:gridCol w:w="2142"/>
        <w:gridCol w:w="1339"/>
        <w:gridCol w:w="1740"/>
        <w:gridCol w:w="1339"/>
        <w:gridCol w:w="1740"/>
      </w:tblGrid>
      <w:tr>
        <w:trPr>
          <w:tblHeader w:val="true"/>
          <w:tblHeader/>
        </w:trPr>
        <w:tc>
          <w:tcPr>
            <w:tcW w:type="dxa" w:w="1339"/>
            <w:shd w:val="clear" w:color="auto" w:fill="DCE6F1"/>
          </w:tcPr>
          <w:p>
            <w:pPr>
              <w:pStyle w:val="Compact"/>
              <w:spacing w:before="0" w:after="0" w:line="240" w:lineRule="auto"/>
              <w:jc w:val="left"/>
            </w:pPr>
            <w:r>
              <w:rPr>
                <w:b/>
                <w:color w:val="1F3864"/>
                <w:sz w:val="21"/>
              </w:rPr>
              <w:t xml:space="preserve">Head</w:t>
            </w:r>
          </w:p>
        </w:tc>
        <w:tc>
          <w:tcPr>
            <w:tcW w:type="dxa" w:w="2142"/>
            <w:shd w:val="clear" w:color="auto" w:fill="DCE6F1"/>
          </w:tcPr>
          <w:p>
            <w:pPr>
              <w:pStyle w:val="Compact"/>
              <w:spacing w:before="0" w:after="0" w:line="240" w:lineRule="auto"/>
              <w:jc w:val="left"/>
            </w:pPr>
            <w:r>
              <w:rPr>
                <w:b/>
                <w:color w:val="1F3864"/>
                <w:sz w:val="21"/>
              </w:rPr>
              <w:t xml:space="preserve">Pre-deposit (₹)</w:t>
            </w:r>
          </w:p>
        </w:tc>
        <w:tc>
          <w:tcPr>
            <w:tcW w:type="dxa" w:w="1339"/>
            <w:shd w:val="clear" w:color="auto" w:fill="DCE6F1"/>
          </w:tcPr>
          <w:p>
            <w:pPr>
              <w:pStyle w:val="Compact"/>
              <w:spacing w:before="0" w:after="0" w:line="240" w:lineRule="auto"/>
              <w:jc w:val="left"/>
            </w:pPr>
            <w:r>
              <w:rPr>
                <w:b/>
                <w:color w:val="1F3864"/>
                <w:sz w:val="21"/>
              </w:rPr>
              <w:t xml:space="preserve">Paid on</w:t>
            </w:r>
          </w:p>
        </w:tc>
        <w:tc>
          <w:tcPr>
            <w:tcW w:type="dxa" w:w="1740"/>
            <w:shd w:val="clear" w:color="auto" w:fill="DCE6F1"/>
          </w:tcPr>
          <w:p>
            <w:pPr>
              <w:pStyle w:val="Compact"/>
              <w:spacing w:before="0" w:after="0" w:line="240" w:lineRule="auto"/>
              <w:jc w:val="left"/>
            </w:pPr>
            <w:r>
              <w:rPr>
                <w:b/>
                <w:color w:val="1F3864"/>
                <w:sz w:val="21"/>
              </w:rPr>
              <w:t xml:space="preserve">Expected date of credit</w:t>
            </w:r>
          </w:p>
        </w:tc>
        <w:tc>
          <w:tcPr>
            <w:tcW w:type="dxa" w:w="1339"/>
            <w:shd w:val="clear" w:color="auto" w:fill="DCE6F1"/>
          </w:tcPr>
          <w:p>
            <w:pPr>
              <w:pStyle w:val="Compact"/>
              <w:spacing w:before="0" w:after="0" w:line="240" w:lineRule="auto"/>
              <w:jc w:val="left"/>
            </w:pPr>
            <w:r>
              <w:rPr>
                <w:b/>
                <w:color w:val="1F3864"/>
                <w:sz w:val="21"/>
              </w:rPr>
              <w:t xml:space="preserve">Days</w:t>
            </w:r>
          </w:p>
        </w:tc>
        <w:tc>
          <w:tcPr>
            <w:tcW w:type="dxa" w:w="1740"/>
            <w:shd w:val="clear" w:color="auto" w:fill="DCE6F1"/>
          </w:tcPr>
          <w:p>
            <w:pPr>
              <w:pStyle w:val="Compact"/>
              <w:spacing w:before="0" w:after="0" w:line="240" w:lineRule="auto"/>
              <w:jc w:val="left"/>
            </w:pPr>
            <w:r>
              <w:rPr>
                <w:b/>
                <w:color w:val="1F3864"/>
                <w:sz w:val="21"/>
              </w:rPr>
              <w:t xml:space="preserve">Interest at [6]% p.a. (₹)</w:t>
            </w:r>
          </w:p>
        </w:tc>
      </w:tr>
      <w:tr>
        <w:tc>
          <w:tcPr>
            <w:tcW w:type="dxa" w:w="1339"/>
          </w:tcPr>
          <w:p>
            <w:pPr>
              <w:pStyle w:val="Compact"/>
              <w:spacing w:before="0" w:after="0" w:line="240" w:lineRule="auto"/>
              <w:jc w:val="left"/>
            </w:pPr>
            <w:r>
              <w:rPr>
                <w:sz w:val="21"/>
              </w:rPr>
              <w:t xml:space="preserve">IGST</w:t>
            </w:r>
          </w:p>
        </w:tc>
        <w:tc>
          <w:tcPr>
            <w:tcW w:type="dxa" w:w="2142"/>
          </w:tcPr>
          <w:p>
            <w:pPr>
              <w:pStyle w:val="Compact"/>
              <w:spacing w:before="0" w:after="0" w:line="240" w:lineRule="auto"/>
              <w:jc w:val="left"/>
            </w:pPr>
            <w:r>
              <w:rPr>
                <w:sz w:val="21"/>
              </w:rPr>
              <w:t xml:space="preserve">[ ]</w:t>
            </w:r>
          </w:p>
        </w:tc>
        <w:tc>
          <w:tcPr>
            <w:tcW w:type="dxa" w:w="1339"/>
          </w:tcPr>
          <w:p>
            <w:pPr>
              <w:pStyle w:val="Compact"/>
              <w:spacing w:before="0" w:after="0" w:line="240" w:lineRule="auto"/>
              <w:jc w:val="left"/>
            </w:pPr>
            <w:r>
              <w:rPr>
                <w:sz w:val="21"/>
              </w:rPr>
              <w:t xml:space="preserve">[ ]</w:t>
            </w:r>
          </w:p>
        </w:tc>
        <w:tc>
          <w:tcPr>
            <w:tcW w:type="dxa" w:w="1740"/>
          </w:tcPr>
          <w:p>
            <w:pPr>
              <w:pStyle w:val="Compact"/>
              <w:spacing w:before="0" w:after="0" w:line="240" w:lineRule="auto"/>
              <w:jc w:val="left"/>
            </w:pPr>
            <w:r>
              <w:rPr>
                <w:sz w:val="21"/>
              </w:rPr>
              <w:t xml:space="preserve">[ ]</w:t>
            </w:r>
          </w:p>
        </w:tc>
        <w:tc>
          <w:tcPr>
            <w:tcW w:type="dxa" w:w="1339"/>
          </w:tcPr>
          <w:p>
            <w:pPr>
              <w:pStyle w:val="Compact"/>
              <w:spacing w:before="0" w:after="0" w:line="240" w:lineRule="auto"/>
              <w:jc w:val="left"/>
            </w:pPr>
            <w:r>
              <w:rPr>
                <w:sz w:val="21"/>
              </w:rPr>
              <w:t xml:space="preserve">[ ]</w:t>
            </w:r>
          </w:p>
        </w:tc>
        <w:tc>
          <w:tcPr>
            <w:tcW w:type="dxa" w:w="1740"/>
          </w:tcPr>
          <w:p>
            <w:pPr>
              <w:pStyle w:val="Compact"/>
              <w:spacing w:before="0" w:after="0" w:line="240" w:lineRule="auto"/>
              <w:jc w:val="left"/>
            </w:pPr>
            <w:r>
              <w:rPr>
                <w:sz w:val="21"/>
              </w:rPr>
              <w:t xml:space="preserve">[ ]</w:t>
            </w:r>
          </w:p>
        </w:tc>
      </w:tr>
      <w:tr>
        <w:tc>
          <w:tcPr>
            <w:tcW w:type="dxa" w:w="1339"/>
          </w:tcPr>
          <w:p>
            <w:pPr>
              <w:pStyle w:val="Compact"/>
              <w:spacing w:before="0" w:after="0" w:line="240" w:lineRule="auto"/>
              <w:jc w:val="left"/>
            </w:pPr>
            <w:r>
              <w:rPr>
                <w:sz w:val="21"/>
              </w:rPr>
              <w:t xml:space="preserve">CGST</w:t>
            </w:r>
          </w:p>
        </w:tc>
        <w:tc>
          <w:tcPr>
            <w:tcW w:type="dxa" w:w="2142"/>
          </w:tcPr>
          <w:p>
            <w:pPr>
              <w:pStyle w:val="Compact"/>
              <w:spacing w:before="0" w:after="0" w:line="240" w:lineRule="auto"/>
              <w:jc w:val="left"/>
            </w:pPr>
            <w:r>
              <w:rPr>
                <w:sz w:val="21"/>
              </w:rPr>
              <w:t xml:space="preserve">[ ]</w:t>
            </w:r>
          </w:p>
        </w:tc>
        <w:tc>
          <w:tcPr>
            <w:tcW w:type="dxa" w:w="1339"/>
          </w:tcPr>
          <w:p>
            <w:pPr>
              <w:pStyle w:val="Compact"/>
              <w:spacing w:before="0" w:after="0" w:line="240" w:lineRule="auto"/>
              <w:jc w:val="left"/>
            </w:pPr>
            <w:r>
              <w:rPr>
                <w:sz w:val="21"/>
              </w:rPr>
              <w:t xml:space="preserve">[ ]</w:t>
            </w:r>
          </w:p>
        </w:tc>
        <w:tc>
          <w:tcPr>
            <w:tcW w:type="dxa" w:w="1740"/>
          </w:tcPr>
          <w:p>
            <w:pPr>
              <w:pStyle w:val="Compact"/>
              <w:spacing w:before="0" w:after="0" w:line="240" w:lineRule="auto"/>
              <w:jc w:val="left"/>
            </w:pPr>
            <w:r>
              <w:rPr>
                <w:sz w:val="21"/>
              </w:rPr>
              <w:t xml:space="preserve">[ ]</w:t>
            </w:r>
          </w:p>
        </w:tc>
        <w:tc>
          <w:tcPr>
            <w:tcW w:type="dxa" w:w="1339"/>
          </w:tcPr>
          <w:p>
            <w:pPr>
              <w:pStyle w:val="Compact"/>
              <w:spacing w:before="0" w:after="0" w:line="240" w:lineRule="auto"/>
              <w:jc w:val="left"/>
            </w:pPr>
            <w:r>
              <w:rPr>
                <w:sz w:val="21"/>
              </w:rPr>
              <w:t xml:space="preserve">[ ]</w:t>
            </w:r>
          </w:p>
        </w:tc>
        <w:tc>
          <w:tcPr>
            <w:tcW w:type="dxa" w:w="1740"/>
          </w:tcPr>
          <w:p>
            <w:pPr>
              <w:pStyle w:val="Compact"/>
              <w:spacing w:before="0" w:after="0" w:line="240" w:lineRule="auto"/>
              <w:jc w:val="left"/>
            </w:pPr>
            <w:r>
              <w:rPr>
                <w:sz w:val="21"/>
              </w:rPr>
              <w:t xml:space="preserve">[ ]</w:t>
            </w:r>
          </w:p>
        </w:tc>
      </w:tr>
      <w:tr>
        <w:tc>
          <w:tcPr>
            <w:tcW w:type="dxa" w:w="1339"/>
          </w:tcPr>
          <w:p>
            <w:pPr>
              <w:pStyle w:val="Compact"/>
              <w:spacing w:before="0" w:after="0" w:line="240" w:lineRule="auto"/>
              <w:jc w:val="left"/>
            </w:pPr>
            <w:r>
              <w:rPr>
                <w:sz w:val="21"/>
              </w:rPr>
              <w:t xml:space="preserve">SGST</w:t>
            </w:r>
          </w:p>
        </w:tc>
        <w:tc>
          <w:tcPr>
            <w:tcW w:type="dxa" w:w="2142"/>
          </w:tcPr>
          <w:p>
            <w:pPr>
              <w:pStyle w:val="Compact"/>
              <w:spacing w:before="0" w:after="0" w:line="240" w:lineRule="auto"/>
              <w:jc w:val="left"/>
            </w:pPr>
            <w:r>
              <w:rPr>
                <w:sz w:val="21"/>
              </w:rPr>
              <w:t xml:space="preserve">[ ]</w:t>
            </w:r>
          </w:p>
        </w:tc>
        <w:tc>
          <w:tcPr>
            <w:tcW w:type="dxa" w:w="1339"/>
          </w:tcPr>
          <w:p>
            <w:pPr>
              <w:pStyle w:val="Compact"/>
              <w:spacing w:before="0" w:after="0" w:line="240" w:lineRule="auto"/>
              <w:jc w:val="left"/>
            </w:pPr>
            <w:r>
              <w:rPr>
                <w:sz w:val="21"/>
              </w:rPr>
              <w:t xml:space="preserve">[ ]</w:t>
            </w:r>
          </w:p>
        </w:tc>
        <w:tc>
          <w:tcPr>
            <w:tcW w:type="dxa" w:w="1740"/>
          </w:tcPr>
          <w:p>
            <w:pPr>
              <w:pStyle w:val="Compact"/>
              <w:spacing w:before="0" w:after="0" w:line="240" w:lineRule="auto"/>
              <w:jc w:val="left"/>
            </w:pPr>
            <w:r>
              <w:rPr>
                <w:sz w:val="21"/>
              </w:rPr>
              <w:t xml:space="preserve">[ ]</w:t>
            </w:r>
          </w:p>
        </w:tc>
        <w:tc>
          <w:tcPr>
            <w:tcW w:type="dxa" w:w="1339"/>
          </w:tcPr>
          <w:p>
            <w:pPr>
              <w:pStyle w:val="Compact"/>
              <w:spacing w:before="0" w:after="0" w:line="240" w:lineRule="auto"/>
              <w:jc w:val="left"/>
            </w:pPr>
            <w:r>
              <w:rPr>
                <w:sz w:val="21"/>
              </w:rPr>
              <w:t xml:space="preserve">[ ]</w:t>
            </w:r>
          </w:p>
        </w:tc>
        <w:tc>
          <w:tcPr>
            <w:tcW w:type="dxa" w:w="1740"/>
          </w:tcPr>
          <w:p>
            <w:pPr>
              <w:pStyle w:val="Compact"/>
              <w:spacing w:before="0" w:after="0" w:line="240" w:lineRule="auto"/>
              <w:jc w:val="left"/>
            </w:pPr>
            <w:r>
              <w:rPr>
                <w:sz w:val="21"/>
              </w:rPr>
              <w:t xml:space="preserve">[ ]</w:t>
            </w:r>
          </w:p>
        </w:tc>
      </w:tr>
      <w:tr>
        <w:tc>
          <w:tcPr>
            <w:tcW w:type="dxa" w:w="1339"/>
          </w:tcPr>
          <w:p>
            <w:pPr>
              <w:pStyle w:val="Compact"/>
              <w:spacing w:before="0" w:after="0" w:line="240" w:lineRule="auto"/>
              <w:jc w:val="left"/>
            </w:pPr>
            <w:r>
              <w:rPr>
                <w:sz w:val="21"/>
              </w:rPr>
              <w:t xml:space="preserve">Cess</w:t>
            </w:r>
          </w:p>
        </w:tc>
        <w:tc>
          <w:tcPr>
            <w:tcW w:type="dxa" w:w="2142"/>
          </w:tcPr>
          <w:p>
            <w:pPr>
              <w:pStyle w:val="Compact"/>
              <w:spacing w:before="0" w:after="0" w:line="240" w:lineRule="auto"/>
              <w:jc w:val="left"/>
            </w:pPr>
            <w:r>
              <w:rPr>
                <w:sz w:val="21"/>
              </w:rPr>
              <w:t xml:space="preserve">[ ]</w:t>
            </w:r>
          </w:p>
        </w:tc>
        <w:tc>
          <w:tcPr>
            <w:tcW w:type="dxa" w:w="1339"/>
          </w:tcPr>
          <w:p>
            <w:pPr>
              <w:pStyle w:val="Compact"/>
              <w:spacing w:before="0" w:after="0" w:line="240" w:lineRule="auto"/>
              <w:jc w:val="left"/>
            </w:pPr>
            <w:r>
              <w:rPr>
                <w:sz w:val="21"/>
              </w:rPr>
              <w:t xml:space="preserve">[ ]</w:t>
            </w:r>
          </w:p>
        </w:tc>
        <w:tc>
          <w:tcPr>
            <w:tcW w:type="dxa" w:w="1740"/>
          </w:tcPr>
          <w:p>
            <w:pPr>
              <w:pStyle w:val="Compact"/>
              <w:spacing w:before="0" w:after="0" w:line="240" w:lineRule="auto"/>
              <w:jc w:val="left"/>
            </w:pPr>
            <w:r>
              <w:rPr>
                <w:sz w:val="21"/>
              </w:rPr>
              <w:t xml:space="preserve">[ ]</w:t>
            </w:r>
          </w:p>
        </w:tc>
        <w:tc>
          <w:tcPr>
            <w:tcW w:type="dxa" w:w="1339"/>
          </w:tcPr>
          <w:p>
            <w:pPr>
              <w:pStyle w:val="Compact"/>
              <w:spacing w:before="0" w:after="0" w:line="240" w:lineRule="auto"/>
              <w:jc w:val="left"/>
            </w:pPr>
            <w:r>
              <w:rPr>
                <w:sz w:val="21"/>
              </w:rPr>
              <w:t xml:space="preserve">[ ]</w:t>
            </w:r>
          </w:p>
        </w:tc>
        <w:tc>
          <w:tcPr>
            <w:tcW w:type="dxa" w:w="1740"/>
          </w:tcPr>
          <w:p>
            <w:pPr>
              <w:pStyle w:val="Compact"/>
              <w:spacing w:before="0" w:after="0" w:line="240" w:lineRule="auto"/>
              <w:jc w:val="left"/>
            </w:pPr>
            <w:r>
              <w:rPr>
                <w:sz w:val="21"/>
              </w:rPr>
              <w:t xml:space="preserve">[ ]</w:t>
            </w:r>
          </w:p>
        </w:tc>
      </w:tr>
      <w:tr>
        <w:tc>
          <w:tcPr>
            <w:tcW w:type="dxa" w:w="1339"/>
            <w:shd w:val="clear" w:color="auto" w:fill="F2F2F2"/>
          </w:tcPr>
          <w:p>
            <w:pPr>
              <w:pStyle w:val="Compact"/>
              <w:spacing w:before="0" w:after="0" w:line="240" w:lineRule="auto"/>
              <w:jc w:val="left"/>
            </w:pPr>
            <w:r>
              <w:rPr>
                <w:bCs/>
                <w:b/>
                <w:sz w:val="21"/>
              </w:rPr>
              <w:t xml:space="preserve">Total</w:t>
            </w:r>
          </w:p>
        </w:tc>
        <w:tc>
          <w:tcPr>
            <w:tcW w:type="dxa" w:w="2142"/>
            <w:shd w:val="clear" w:color="auto" w:fill="F2F2F2"/>
          </w:tcPr>
          <w:p>
            <w:pPr>
              <w:pStyle w:val="Compact"/>
              <w:spacing w:before="0" w:after="0" w:line="240" w:lineRule="auto"/>
              <w:jc w:val="left"/>
            </w:pPr>
            <w:r>
              <w:rPr>
                <w:bCs/>
                <w:b/>
                <w:sz w:val="21"/>
              </w:rPr>
              <w:t xml:space="preserve">[ ]</w:t>
            </w:r>
          </w:p>
        </w:tc>
        <w:tc>
          <w:tcPr>
            <w:tcW w:type="dxa" w:w="1339"/>
            <w:shd w:val="clear" w:color="auto" w:fill="F2F2F2"/>
          </w:tcPr>
          <w:p>
            <w:pPr>
              <w:pStyle w:val="Compact"/>
              <w:spacing w:before="0" w:after="0" w:line="240" w:lineRule="auto"/>
            </w:pPr>
          </w:p>
        </w:tc>
        <w:tc>
          <w:tcPr>
            <w:tcW w:type="dxa" w:w="1740"/>
            <w:shd w:val="clear" w:color="auto" w:fill="F2F2F2"/>
          </w:tcPr>
          <w:p>
            <w:pPr>
              <w:pStyle w:val="Compact"/>
              <w:spacing w:before="0" w:after="0" w:line="240" w:lineRule="auto"/>
            </w:pPr>
          </w:p>
        </w:tc>
        <w:tc>
          <w:tcPr>
            <w:tcW w:type="dxa" w:w="1339"/>
            <w:shd w:val="clear" w:color="auto" w:fill="F2F2F2"/>
          </w:tcPr>
          <w:p>
            <w:pPr>
              <w:pStyle w:val="Compact"/>
              <w:spacing w:before="0" w:after="0" w:line="240" w:lineRule="auto"/>
            </w:pPr>
          </w:p>
        </w:tc>
        <w:tc>
          <w:tcPr>
            <w:tcW w:type="dxa" w:w="1740"/>
            <w:shd w:val="clear" w:color="auto" w:fill="F2F2F2"/>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Interest under section 56 is not payable on the pre-deposit, on which interest is paid under section 115 for the whole period from payment to refund; section 56 applies only to the other amounts in Table 1, row (b). [Option: On those other amounts, interest under section 56 is payable only for any delay beyond sixty days from the date of receipt of this application: at nine per cent per annum under the proviso to section 56 if the appellate order has attained finality, and at six per cent otherwise.]</w:t>
      </w:r>
    </w:p>
    <w:p>
      <w:pPr>
        <w:pStyle w:val="BlockText"/>
        <w:shd w:val="clear" w:color="auto" w:fill="E7E6E6"/>
      </w:pPr>
      <w:r>
        <w:rPr>
          <w:bCs/>
          <w:b/>
          <w:sz w:val="21"/>
        </w:rPr>
        <w:t xml:space="preserve">Drafting note:</w:t>
      </w:r>
      <w:r>
        <w:rPr>
          <w:sz w:val="21"/>
        </w:rPr>
        <w:t xml:space="preserve"> </w:t>
      </w:r>
      <w:r>
        <w:rPr>
          <w:sz w:val="21"/>
        </w:rPr>
        <w:t xml:space="preserve">compute section 115 interest from the day after the debit of the pre-deposit up to and including the date of credit to the bank account (para 34 of Circular 125), as amount × rate × days ÷ 365, rounded to the rupee separately for each head (section 170). Where the credit is later than the expected date used in the table, sanction the extra days by a supplementary order. Interest is computed only on the part of row (a) that remains in row (d). Interest under section 115 is not reduced by the sixty-day period: it runs from the date of payment. Section 115 does not say whether interest is payable on the part of a pre-deposit that is restored to the credit ledger by PMT-03. Follow any Board instruction or jurisdictional High Court ruling on the point, and record in this para the basis adopted.</w:t>
      </w:r>
    </w:p>
    <w:p>
      <w:pPr>
        <w:pStyle w:val="FirstParagraph"/>
        <w:keepNext/>
        <w:spacing w:before="240" w:after="80"/>
        <w:pBdr>
          <w:bottom w:val="single" w:sz="6" w:space="1" w:color="B4C6E7"/>
        </w:pBdr>
      </w:pPr>
      <w:r>
        <w:rPr>
          <w:bCs/>
          <w:b/>
          <w:color w:val="1F3864"/>
          <w:sz w:val="25"/>
        </w:rPr>
        <w:t xml:space="preserve">10. Conclusion</w:t>
      </w:r>
    </w:p>
    <w:p>
      <w:pPr>
        <w:pStyle w:val="BodyText"/>
        <w:spacing w:before="0" w:after="120" w:line="269" w:lineRule="auto"/>
        <w:jc w:val="both"/>
      </w:pPr>
      <w:r>
        <w:t xml:space="preserve">10.1 In view of the above, I find that ₹[ ] has become refundable to the applicant as a consequence of the appellate order, with interest of ₹[ ] under section 115, and that ₹[ ] is not refundable for the reasons in paras [7 and 8]. Accordingly, I pass the following order.</w:t>
      </w:r>
    </w:p>
    <w:p>
      <w:pPr>
        <w:pStyle w:val="BodyText"/>
        <w:keepNext/>
        <w:spacing w:before="240" w:after="80"/>
        <w:pBdr>
          <w:bottom w:val="single" w:sz="6" w:space="1" w:color="B4C6E7"/>
        </w:pBdr>
        <w:jc w:val="center"/>
      </w:pPr>
      <w:r>
        <w:rPr>
          <w:bCs/>
          <w:b/>
          <w:color w:val="1F3864"/>
          <w:sz w:val="25"/>
        </w:rPr>
        <w:t xml:space="preserve">11. ORDER</w:t>
      </w:r>
    </w:p>
    <w:p>
      <w:pPr>
        <w:pStyle w:val="BodyText"/>
        <w:spacing w:before="0" w:after="120" w:line="269" w:lineRule="auto"/>
        <w:jc w:val="both"/>
      </w:pPr>
      <w:r>
        <w:t xml:space="preserve">11.1 Under section 54(5) of the CGST Act read with rules 92(1), 92(1A) and 92(4), I sanction refund of</w:t>
      </w:r>
      <w:r>
        <w:t xml:space="preserve"> </w:t>
      </w:r>
      <w:r>
        <w:rPr>
          <w:bCs/>
          <w:b/>
        </w:rPr>
        <w:t xml:space="preserve">₹[ ] (Rupees [amount in words] only)</w:t>
      </w:r>
      <w:r>
        <w:t xml:space="preserve"> </w:t>
      </w:r>
      <w:r>
        <w:t xml:space="preserve">to the applicant, payable under section 54(8)(e), as follows: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55"/>
        <w:gridCol w:w="1266"/>
        <w:gridCol w:w="1583"/>
        <w:gridCol w:w="1161"/>
        <w:gridCol w:w="1688"/>
        <w:gridCol w:w="1513"/>
        <w:gridCol w:w="1372"/>
      </w:tblGrid>
      <w:tr>
        <w:trPr>
          <w:tblHeader w:val="true"/>
          <w:tblHeader/>
        </w:trPr>
        <w:tc>
          <w:tcPr>
            <w:tcW w:type="dxa" w:w="1055"/>
            <w:shd w:val="clear" w:color="auto" w:fill="DCE6F1"/>
          </w:tcPr>
          <w:p>
            <w:pPr>
              <w:pStyle w:val="Compact"/>
              <w:spacing w:before="0" w:after="0" w:line="240" w:lineRule="auto"/>
              <w:jc w:val="left"/>
            </w:pPr>
            <w:r>
              <w:rPr>
                <w:b/>
                <w:color w:val="1F3864"/>
                <w:sz w:val="18"/>
              </w:rPr>
              <w:t xml:space="preserve">Head</w:t>
            </w:r>
          </w:p>
        </w:tc>
        <w:tc>
          <w:tcPr>
            <w:tcW w:type="dxa" w:w="1266"/>
            <w:shd w:val="clear" w:color="auto" w:fill="DCE6F1"/>
          </w:tcPr>
          <w:p>
            <w:pPr>
              <w:pStyle w:val="Compact"/>
              <w:spacing w:before="0" w:after="0" w:line="240" w:lineRule="auto"/>
              <w:jc w:val="left"/>
            </w:pPr>
            <w:r>
              <w:rPr>
                <w:b/>
                <w:color w:val="1F3864"/>
                <w:sz w:val="18"/>
              </w:rPr>
              <w:t xml:space="preserve">Claimed (₹)</w:t>
            </w:r>
          </w:p>
        </w:tc>
        <w:tc>
          <w:tcPr>
            <w:tcW w:type="dxa" w:w="1583"/>
            <w:shd w:val="clear" w:color="auto" w:fill="DCE6F1"/>
          </w:tcPr>
          <w:p>
            <w:pPr>
              <w:pStyle w:val="Compact"/>
              <w:spacing w:before="0" w:after="0" w:line="240" w:lineRule="auto"/>
              <w:jc w:val="left"/>
            </w:pPr>
            <w:r>
              <w:rPr>
                <w:b/>
                <w:color w:val="1F3864"/>
                <w:sz w:val="18"/>
              </w:rPr>
              <w:t xml:space="preserve">Admissible (₹)</w:t>
            </w:r>
          </w:p>
        </w:tc>
        <w:tc>
          <w:tcPr>
            <w:tcW w:type="dxa" w:w="1161"/>
            <w:shd w:val="clear" w:color="auto" w:fill="DCE6F1"/>
          </w:tcPr>
          <w:p>
            <w:pPr>
              <w:pStyle w:val="Compact"/>
              <w:spacing w:before="0" w:after="0" w:line="240" w:lineRule="auto"/>
              <w:jc w:val="left"/>
            </w:pPr>
            <w:r>
              <w:rPr>
                <w:b/>
                <w:color w:val="1F3864"/>
                <w:sz w:val="18"/>
              </w:rPr>
              <w:t xml:space="preserve">Paid in cash by RFD-05 (₹)</w:t>
            </w:r>
          </w:p>
        </w:tc>
        <w:tc>
          <w:tcPr>
            <w:tcW w:type="dxa" w:w="1688"/>
            <w:shd w:val="clear" w:color="auto" w:fill="DCE6F1"/>
          </w:tcPr>
          <w:p>
            <w:pPr>
              <w:pStyle w:val="Compact"/>
              <w:spacing w:before="0" w:after="0" w:line="240" w:lineRule="auto"/>
              <w:jc w:val="left"/>
            </w:pPr>
            <w:r>
              <w:rPr>
                <w:b/>
                <w:color w:val="1F3864"/>
                <w:sz w:val="18"/>
              </w:rPr>
              <w:t xml:space="preserve">Re-credited to credit ledger by PMT-03 (₹)</w:t>
            </w:r>
          </w:p>
        </w:tc>
        <w:tc>
          <w:tcPr>
            <w:tcW w:type="dxa" w:w="1513"/>
            <w:shd w:val="clear" w:color="auto" w:fill="DCE6F1"/>
          </w:tcPr>
          <w:p>
            <w:pPr>
              <w:pStyle w:val="Compact"/>
              <w:spacing w:before="0" w:after="0" w:line="240" w:lineRule="auto"/>
              <w:jc w:val="left"/>
            </w:pPr>
            <w:r>
              <w:rPr>
                <w:b/>
                <w:color w:val="1F3864"/>
                <w:sz w:val="18"/>
              </w:rPr>
              <w:t xml:space="preserve">Adjusted under section 54(10)(b) in this order / withheld by RFD-07 (₹)</w:t>
            </w:r>
          </w:p>
        </w:tc>
        <w:tc>
          <w:tcPr>
            <w:tcW w:type="dxa" w:w="1372"/>
            <w:shd w:val="clear" w:color="auto" w:fill="DCE6F1"/>
          </w:tcPr>
          <w:p>
            <w:pPr>
              <w:pStyle w:val="Compact"/>
              <w:spacing w:before="0" w:after="0" w:line="240" w:lineRule="auto"/>
              <w:jc w:val="left"/>
            </w:pPr>
            <w:r>
              <w:rPr>
                <w:b/>
                <w:color w:val="1F3864"/>
                <w:sz w:val="18"/>
              </w:rPr>
              <w:t xml:space="preserve">Rejected (₹)</w:t>
            </w:r>
          </w:p>
        </w:tc>
      </w:tr>
      <w:tr>
        <w:tc>
          <w:tcPr>
            <w:tcW w:type="dxa" w:w="1055"/>
          </w:tcPr>
          <w:p>
            <w:pPr>
              <w:pStyle w:val="Compact"/>
              <w:spacing w:before="0" w:after="0" w:line="240" w:lineRule="auto"/>
              <w:jc w:val="left"/>
            </w:pPr>
            <w:r>
              <w:rPr>
                <w:sz w:val="18"/>
              </w:rPr>
              <w:t xml:space="preserve">IGST</w:t>
            </w:r>
          </w:p>
        </w:tc>
        <w:tc>
          <w:tcPr>
            <w:tcW w:type="dxa" w:w="1266"/>
          </w:tcPr>
          <w:p>
            <w:pPr>
              <w:pStyle w:val="Compact"/>
              <w:spacing w:before="0" w:after="0" w:line="240" w:lineRule="auto"/>
              <w:jc w:val="left"/>
            </w:pPr>
            <w:r>
              <w:rPr>
                <w:sz w:val="18"/>
              </w:rPr>
              <w:t xml:space="preserve">[ ]</w:t>
            </w:r>
          </w:p>
        </w:tc>
        <w:tc>
          <w:tcPr>
            <w:tcW w:type="dxa" w:w="1583"/>
          </w:tcPr>
          <w:p>
            <w:pPr>
              <w:pStyle w:val="Compact"/>
              <w:spacing w:before="0" w:after="0" w:line="240" w:lineRule="auto"/>
              <w:jc w:val="left"/>
            </w:pPr>
            <w:r>
              <w:rPr>
                <w:sz w:val="18"/>
              </w:rPr>
              <w:t xml:space="preserve">[ ]</w:t>
            </w:r>
          </w:p>
        </w:tc>
        <w:tc>
          <w:tcPr>
            <w:tcW w:type="dxa" w:w="1161"/>
          </w:tcPr>
          <w:p>
            <w:pPr>
              <w:pStyle w:val="Compact"/>
              <w:spacing w:before="0" w:after="0" w:line="240" w:lineRule="auto"/>
              <w:jc w:val="left"/>
            </w:pPr>
            <w:r>
              <w:rPr>
                <w:sz w:val="18"/>
              </w:rPr>
              <w:t xml:space="preserve">[ ]</w:t>
            </w:r>
          </w:p>
        </w:tc>
        <w:tc>
          <w:tcPr>
            <w:tcW w:type="dxa" w:w="1688"/>
          </w:tcPr>
          <w:p>
            <w:pPr>
              <w:pStyle w:val="Compact"/>
              <w:spacing w:before="0" w:after="0" w:line="240" w:lineRule="auto"/>
              <w:jc w:val="left"/>
            </w:pPr>
            <w:r>
              <w:rPr>
                <w:sz w:val="18"/>
              </w:rPr>
              <w:t xml:space="preserve">[ ]</w:t>
            </w:r>
          </w:p>
        </w:tc>
        <w:tc>
          <w:tcPr>
            <w:tcW w:type="dxa" w:w="1513"/>
          </w:tcPr>
          <w:p>
            <w:pPr>
              <w:pStyle w:val="Compact"/>
              <w:spacing w:before="0" w:after="0" w:line="240" w:lineRule="auto"/>
              <w:jc w:val="left"/>
            </w:pPr>
            <w:r>
              <w:rPr>
                <w:sz w:val="18"/>
              </w:rPr>
              <w:t xml:space="preserve">[ ]</w:t>
            </w:r>
          </w:p>
        </w:tc>
        <w:tc>
          <w:tcPr>
            <w:tcW w:type="dxa" w:w="1372"/>
          </w:tcPr>
          <w:p>
            <w:pPr>
              <w:pStyle w:val="Compact"/>
              <w:spacing w:before="0" w:after="0" w:line="240" w:lineRule="auto"/>
              <w:jc w:val="left"/>
            </w:pPr>
            <w:r>
              <w:rPr>
                <w:sz w:val="18"/>
              </w:rPr>
              <w:t xml:space="preserve">[ ]</w:t>
            </w:r>
          </w:p>
        </w:tc>
      </w:tr>
      <w:tr>
        <w:tc>
          <w:tcPr>
            <w:tcW w:type="dxa" w:w="1055"/>
          </w:tcPr>
          <w:p>
            <w:pPr>
              <w:pStyle w:val="Compact"/>
              <w:spacing w:before="0" w:after="0" w:line="240" w:lineRule="auto"/>
              <w:jc w:val="left"/>
            </w:pPr>
            <w:r>
              <w:rPr>
                <w:sz w:val="18"/>
              </w:rPr>
              <w:t xml:space="preserve">CGST</w:t>
            </w:r>
          </w:p>
        </w:tc>
        <w:tc>
          <w:tcPr>
            <w:tcW w:type="dxa" w:w="1266"/>
          </w:tcPr>
          <w:p>
            <w:pPr>
              <w:pStyle w:val="Compact"/>
              <w:spacing w:before="0" w:after="0" w:line="240" w:lineRule="auto"/>
              <w:jc w:val="left"/>
            </w:pPr>
            <w:r>
              <w:rPr>
                <w:sz w:val="18"/>
              </w:rPr>
              <w:t xml:space="preserve">[ ]</w:t>
            </w:r>
          </w:p>
        </w:tc>
        <w:tc>
          <w:tcPr>
            <w:tcW w:type="dxa" w:w="1583"/>
          </w:tcPr>
          <w:p>
            <w:pPr>
              <w:pStyle w:val="Compact"/>
              <w:spacing w:before="0" w:after="0" w:line="240" w:lineRule="auto"/>
              <w:jc w:val="left"/>
            </w:pPr>
            <w:r>
              <w:rPr>
                <w:sz w:val="18"/>
              </w:rPr>
              <w:t xml:space="preserve">[ ]</w:t>
            </w:r>
          </w:p>
        </w:tc>
        <w:tc>
          <w:tcPr>
            <w:tcW w:type="dxa" w:w="1161"/>
          </w:tcPr>
          <w:p>
            <w:pPr>
              <w:pStyle w:val="Compact"/>
              <w:spacing w:before="0" w:after="0" w:line="240" w:lineRule="auto"/>
              <w:jc w:val="left"/>
            </w:pPr>
            <w:r>
              <w:rPr>
                <w:sz w:val="18"/>
              </w:rPr>
              <w:t xml:space="preserve">[ ]</w:t>
            </w:r>
          </w:p>
        </w:tc>
        <w:tc>
          <w:tcPr>
            <w:tcW w:type="dxa" w:w="1688"/>
          </w:tcPr>
          <w:p>
            <w:pPr>
              <w:pStyle w:val="Compact"/>
              <w:spacing w:before="0" w:after="0" w:line="240" w:lineRule="auto"/>
              <w:jc w:val="left"/>
            </w:pPr>
            <w:r>
              <w:rPr>
                <w:sz w:val="18"/>
              </w:rPr>
              <w:t xml:space="preserve">[ ]</w:t>
            </w:r>
          </w:p>
        </w:tc>
        <w:tc>
          <w:tcPr>
            <w:tcW w:type="dxa" w:w="1513"/>
          </w:tcPr>
          <w:p>
            <w:pPr>
              <w:pStyle w:val="Compact"/>
              <w:spacing w:before="0" w:after="0" w:line="240" w:lineRule="auto"/>
              <w:jc w:val="left"/>
            </w:pPr>
            <w:r>
              <w:rPr>
                <w:sz w:val="18"/>
              </w:rPr>
              <w:t xml:space="preserve">[ ]</w:t>
            </w:r>
          </w:p>
        </w:tc>
        <w:tc>
          <w:tcPr>
            <w:tcW w:type="dxa" w:w="1372"/>
          </w:tcPr>
          <w:p>
            <w:pPr>
              <w:pStyle w:val="Compact"/>
              <w:spacing w:before="0" w:after="0" w:line="240" w:lineRule="auto"/>
              <w:jc w:val="left"/>
            </w:pPr>
            <w:r>
              <w:rPr>
                <w:sz w:val="18"/>
              </w:rPr>
              <w:t xml:space="preserve">[ ]</w:t>
            </w:r>
          </w:p>
        </w:tc>
      </w:tr>
      <w:tr>
        <w:tc>
          <w:tcPr>
            <w:tcW w:type="dxa" w:w="1055"/>
          </w:tcPr>
          <w:p>
            <w:pPr>
              <w:pStyle w:val="Compact"/>
              <w:spacing w:before="0" w:after="0" w:line="240" w:lineRule="auto"/>
              <w:jc w:val="left"/>
            </w:pPr>
            <w:r>
              <w:rPr>
                <w:sz w:val="18"/>
              </w:rPr>
              <w:t xml:space="preserve">SGST</w:t>
            </w:r>
          </w:p>
        </w:tc>
        <w:tc>
          <w:tcPr>
            <w:tcW w:type="dxa" w:w="1266"/>
          </w:tcPr>
          <w:p>
            <w:pPr>
              <w:pStyle w:val="Compact"/>
              <w:spacing w:before="0" w:after="0" w:line="240" w:lineRule="auto"/>
              <w:jc w:val="left"/>
            </w:pPr>
            <w:r>
              <w:rPr>
                <w:sz w:val="18"/>
              </w:rPr>
              <w:t xml:space="preserve">[ ]</w:t>
            </w:r>
          </w:p>
        </w:tc>
        <w:tc>
          <w:tcPr>
            <w:tcW w:type="dxa" w:w="1583"/>
          </w:tcPr>
          <w:p>
            <w:pPr>
              <w:pStyle w:val="Compact"/>
              <w:spacing w:before="0" w:after="0" w:line="240" w:lineRule="auto"/>
              <w:jc w:val="left"/>
            </w:pPr>
            <w:r>
              <w:rPr>
                <w:sz w:val="18"/>
              </w:rPr>
              <w:t xml:space="preserve">[ ]</w:t>
            </w:r>
          </w:p>
        </w:tc>
        <w:tc>
          <w:tcPr>
            <w:tcW w:type="dxa" w:w="1161"/>
          </w:tcPr>
          <w:p>
            <w:pPr>
              <w:pStyle w:val="Compact"/>
              <w:spacing w:before="0" w:after="0" w:line="240" w:lineRule="auto"/>
              <w:jc w:val="left"/>
            </w:pPr>
            <w:r>
              <w:rPr>
                <w:sz w:val="18"/>
              </w:rPr>
              <w:t xml:space="preserve">[ ]</w:t>
            </w:r>
          </w:p>
        </w:tc>
        <w:tc>
          <w:tcPr>
            <w:tcW w:type="dxa" w:w="1688"/>
          </w:tcPr>
          <w:p>
            <w:pPr>
              <w:pStyle w:val="Compact"/>
              <w:spacing w:before="0" w:after="0" w:line="240" w:lineRule="auto"/>
              <w:jc w:val="left"/>
            </w:pPr>
            <w:r>
              <w:rPr>
                <w:sz w:val="18"/>
              </w:rPr>
              <w:t xml:space="preserve">[ ]</w:t>
            </w:r>
          </w:p>
        </w:tc>
        <w:tc>
          <w:tcPr>
            <w:tcW w:type="dxa" w:w="1513"/>
          </w:tcPr>
          <w:p>
            <w:pPr>
              <w:pStyle w:val="Compact"/>
              <w:spacing w:before="0" w:after="0" w:line="240" w:lineRule="auto"/>
              <w:jc w:val="left"/>
            </w:pPr>
            <w:r>
              <w:rPr>
                <w:sz w:val="18"/>
              </w:rPr>
              <w:t xml:space="preserve">[ ]</w:t>
            </w:r>
          </w:p>
        </w:tc>
        <w:tc>
          <w:tcPr>
            <w:tcW w:type="dxa" w:w="1372"/>
          </w:tcPr>
          <w:p>
            <w:pPr>
              <w:pStyle w:val="Compact"/>
              <w:spacing w:before="0" w:after="0" w:line="240" w:lineRule="auto"/>
              <w:jc w:val="left"/>
            </w:pPr>
            <w:r>
              <w:rPr>
                <w:sz w:val="18"/>
              </w:rPr>
              <w:t xml:space="preserve">[ ]</w:t>
            </w:r>
          </w:p>
        </w:tc>
      </w:tr>
      <w:tr>
        <w:tc>
          <w:tcPr>
            <w:tcW w:type="dxa" w:w="1055"/>
          </w:tcPr>
          <w:p>
            <w:pPr>
              <w:pStyle w:val="Compact"/>
              <w:spacing w:before="0" w:after="0" w:line="240" w:lineRule="auto"/>
              <w:jc w:val="left"/>
            </w:pPr>
            <w:r>
              <w:rPr>
                <w:sz w:val="18"/>
              </w:rPr>
              <w:t xml:space="preserve">Cess</w:t>
            </w:r>
          </w:p>
        </w:tc>
        <w:tc>
          <w:tcPr>
            <w:tcW w:type="dxa" w:w="1266"/>
          </w:tcPr>
          <w:p>
            <w:pPr>
              <w:pStyle w:val="Compact"/>
              <w:spacing w:before="0" w:after="0" w:line="240" w:lineRule="auto"/>
              <w:jc w:val="left"/>
            </w:pPr>
            <w:r>
              <w:rPr>
                <w:sz w:val="18"/>
              </w:rPr>
              <w:t xml:space="preserve">[ ]</w:t>
            </w:r>
          </w:p>
        </w:tc>
        <w:tc>
          <w:tcPr>
            <w:tcW w:type="dxa" w:w="1583"/>
          </w:tcPr>
          <w:p>
            <w:pPr>
              <w:pStyle w:val="Compact"/>
              <w:spacing w:before="0" w:after="0" w:line="240" w:lineRule="auto"/>
              <w:jc w:val="left"/>
            </w:pPr>
            <w:r>
              <w:rPr>
                <w:sz w:val="18"/>
              </w:rPr>
              <w:t xml:space="preserve">[ ]</w:t>
            </w:r>
          </w:p>
        </w:tc>
        <w:tc>
          <w:tcPr>
            <w:tcW w:type="dxa" w:w="1161"/>
          </w:tcPr>
          <w:p>
            <w:pPr>
              <w:pStyle w:val="Compact"/>
              <w:spacing w:before="0" w:after="0" w:line="240" w:lineRule="auto"/>
              <w:jc w:val="left"/>
            </w:pPr>
            <w:r>
              <w:rPr>
                <w:sz w:val="18"/>
              </w:rPr>
              <w:t xml:space="preserve">[ ]</w:t>
            </w:r>
          </w:p>
        </w:tc>
        <w:tc>
          <w:tcPr>
            <w:tcW w:type="dxa" w:w="1688"/>
          </w:tcPr>
          <w:p>
            <w:pPr>
              <w:pStyle w:val="Compact"/>
              <w:spacing w:before="0" w:after="0" w:line="240" w:lineRule="auto"/>
              <w:jc w:val="left"/>
            </w:pPr>
            <w:r>
              <w:rPr>
                <w:sz w:val="18"/>
              </w:rPr>
              <w:t xml:space="preserve">[ ]</w:t>
            </w:r>
          </w:p>
        </w:tc>
        <w:tc>
          <w:tcPr>
            <w:tcW w:type="dxa" w:w="1513"/>
          </w:tcPr>
          <w:p>
            <w:pPr>
              <w:pStyle w:val="Compact"/>
              <w:spacing w:before="0" w:after="0" w:line="240" w:lineRule="auto"/>
              <w:jc w:val="left"/>
            </w:pPr>
            <w:r>
              <w:rPr>
                <w:sz w:val="18"/>
              </w:rPr>
              <w:t xml:space="preserve">[ ]</w:t>
            </w:r>
          </w:p>
        </w:tc>
        <w:tc>
          <w:tcPr>
            <w:tcW w:type="dxa" w:w="1372"/>
          </w:tcPr>
          <w:p>
            <w:pPr>
              <w:pStyle w:val="Compact"/>
              <w:spacing w:before="0" w:after="0" w:line="240" w:lineRule="auto"/>
              <w:jc w:val="left"/>
            </w:pPr>
            <w:r>
              <w:rPr>
                <w:sz w:val="18"/>
              </w:rPr>
              <w:t xml:space="preserve">[ ]</w:t>
            </w:r>
          </w:p>
        </w:tc>
      </w:tr>
      <w:tr>
        <w:tc>
          <w:tcPr>
            <w:tcW w:type="dxa" w:w="1055"/>
            <w:shd w:val="clear" w:color="auto" w:fill="F2F2F2"/>
          </w:tcPr>
          <w:p>
            <w:pPr>
              <w:pStyle w:val="Compact"/>
              <w:spacing w:before="0" w:after="0" w:line="240" w:lineRule="auto"/>
              <w:jc w:val="left"/>
            </w:pPr>
            <w:r>
              <w:rPr>
                <w:bCs/>
                <w:b/>
                <w:sz w:val="18"/>
              </w:rPr>
              <w:t xml:space="preserve">Total</w:t>
            </w:r>
          </w:p>
        </w:tc>
        <w:tc>
          <w:tcPr>
            <w:tcW w:type="dxa" w:w="1266"/>
            <w:shd w:val="clear" w:color="auto" w:fill="F2F2F2"/>
          </w:tcPr>
          <w:p>
            <w:pPr>
              <w:pStyle w:val="Compact"/>
              <w:spacing w:before="0" w:after="0" w:line="240" w:lineRule="auto"/>
              <w:jc w:val="left"/>
            </w:pPr>
            <w:r>
              <w:rPr>
                <w:bCs/>
                <w:b/>
                <w:sz w:val="18"/>
              </w:rPr>
              <w:t xml:space="preserve">[ ]</w:t>
            </w:r>
          </w:p>
        </w:tc>
        <w:tc>
          <w:tcPr>
            <w:tcW w:type="dxa" w:w="1583"/>
            <w:shd w:val="clear" w:color="auto" w:fill="F2F2F2"/>
          </w:tcPr>
          <w:p>
            <w:pPr>
              <w:pStyle w:val="Compact"/>
              <w:spacing w:before="0" w:after="0" w:line="240" w:lineRule="auto"/>
              <w:jc w:val="left"/>
            </w:pPr>
            <w:r>
              <w:rPr>
                <w:bCs/>
                <w:b/>
                <w:sz w:val="18"/>
              </w:rPr>
              <w:t xml:space="preserve">[ ]</w:t>
            </w:r>
          </w:p>
        </w:tc>
        <w:tc>
          <w:tcPr>
            <w:tcW w:type="dxa" w:w="1161"/>
            <w:shd w:val="clear" w:color="auto" w:fill="F2F2F2"/>
          </w:tcPr>
          <w:p>
            <w:pPr>
              <w:pStyle w:val="Compact"/>
              <w:spacing w:before="0" w:after="0" w:line="240" w:lineRule="auto"/>
              <w:jc w:val="left"/>
            </w:pPr>
            <w:r>
              <w:rPr>
                <w:bCs/>
                <w:b/>
                <w:sz w:val="18"/>
              </w:rPr>
              <w:t xml:space="preserve">[ ]</w:t>
            </w:r>
          </w:p>
        </w:tc>
        <w:tc>
          <w:tcPr>
            <w:tcW w:type="dxa" w:w="1688"/>
            <w:shd w:val="clear" w:color="auto" w:fill="F2F2F2"/>
          </w:tcPr>
          <w:p>
            <w:pPr>
              <w:pStyle w:val="Compact"/>
              <w:spacing w:before="0" w:after="0" w:line="240" w:lineRule="auto"/>
              <w:jc w:val="left"/>
            </w:pPr>
            <w:r>
              <w:rPr>
                <w:bCs/>
                <w:b/>
                <w:sz w:val="18"/>
              </w:rPr>
              <w:t xml:space="preserve">[ ]</w:t>
            </w:r>
          </w:p>
        </w:tc>
        <w:tc>
          <w:tcPr>
            <w:tcW w:type="dxa" w:w="1513"/>
            <w:shd w:val="clear" w:color="auto" w:fill="F2F2F2"/>
          </w:tcPr>
          <w:p>
            <w:pPr>
              <w:pStyle w:val="Compact"/>
              <w:spacing w:before="0" w:after="0" w:line="240" w:lineRule="auto"/>
              <w:jc w:val="left"/>
            </w:pPr>
            <w:r>
              <w:rPr>
                <w:bCs/>
                <w:b/>
                <w:sz w:val="18"/>
              </w:rPr>
              <w:t xml:space="preserve">[ ]</w:t>
            </w:r>
          </w:p>
        </w:tc>
        <w:tc>
          <w:tcPr>
            <w:tcW w:type="dxa" w:w="1372"/>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11.2 The amount of ₹[ ] in the</w:t>
      </w:r>
      <w:r>
        <w:t xml:space="preserve"> </w:t>
      </w:r>
      <w:r>
        <w:t xml:space="preserve">“</w:t>
      </w:r>
      <w:r>
        <w:t xml:space="preserve">cash</w:t>
      </w:r>
      <w:r>
        <w:t xml:space="preserve">”</w:t>
      </w:r>
      <w:r>
        <w:t xml:space="preserve"> </w:t>
      </w:r>
      <w:r>
        <w:t xml:space="preserve">column shall be credited to the applicant’s bank account by payment order in FORM GST RFD-05 (rule 92(4)), and the amount of ₹[ ] in the</w:t>
      </w:r>
      <w:r>
        <w:t xml:space="preserve"> </w:t>
      </w:r>
      <w:r>
        <w:t xml:space="preserve">“</w:t>
      </w:r>
      <w:r>
        <w:t xml:space="preserve">credit ledger</w:t>
      </w:r>
      <w:r>
        <w:t xml:space="preserve">”</w:t>
      </w:r>
      <w:r>
        <w:t xml:space="preserve"> </w:t>
      </w:r>
      <w:r>
        <w:t xml:space="preserve">column shall be re-credited to the electronic credit ledger by FORM GST PMT-03 (rule 92(1A)).</w:t>
      </w:r>
    </w:p>
    <w:p>
      <w:pPr>
        <w:pStyle w:val="BodyText"/>
        <w:spacing w:before="0" w:after="120" w:line="269" w:lineRule="auto"/>
        <w:jc w:val="both"/>
      </w:pPr>
      <w:r>
        <w:t xml:space="preserve">11.3 Under section 115, I sanction interest of</w:t>
      </w:r>
      <w:r>
        <w:t xml:space="preserve"> </w:t>
      </w:r>
      <w:r>
        <w:rPr>
          <w:bCs/>
          <w:b/>
        </w:rPr>
        <w:t xml:space="preserve">₹[ ] (Rupees [amount in words] only)</w:t>
      </w:r>
      <w:r>
        <w:t xml:space="preserve"> </w:t>
      </w:r>
      <w:r>
        <w:t xml:space="preserve">on the pre-deposit, computed in para 9.6 up to [the expected date of credit], to be paid by payment order in FORM GST RFD-05. If the refund is credited after that date, interest for the further period up to the date of credit shall be sanctioned by a supplementary order. [Option: Interest under section 56 on the other amounts, as stated in para 9.6, shall be paid by a separate order under rule 94.]</w:t>
      </w:r>
    </w:p>
    <w:p>
      <w:pPr>
        <w:pStyle w:val="BodyText"/>
        <w:spacing w:before="0" w:after="120" w:line="269" w:lineRule="auto"/>
        <w:jc w:val="both"/>
      </w:pPr>
      <w:r>
        <w:t xml:space="preserve">11.4 [Option: Under rule 92(3), I reject refund of ₹[ ] (Rupees [amount in words] only), being [an amount claimed that was not in fact paid] / [the part of the claim in row (e) that exceeds row (d) of Table 1, that is, the amount in row (c)], for the reasons in paras [7 and 8]. The amount in row (c) itself stands appropriated towards the dues upheld [or is retained pending the Tribunal appeal]. Nothing was debited from a ledger on filing this claim, so no PMT-03 re-credit arises from this rejection.]</w:t>
      </w:r>
    </w:p>
    <w:p>
      <w:pPr>
        <w:pStyle w:val="BodyText"/>
        <w:spacing w:before="0" w:after="120" w:line="269" w:lineRule="auto"/>
        <w:jc w:val="both"/>
      </w:pPr>
      <w:r>
        <w:t xml:space="preserve">11.5 This order is subject to the outcome of any appeal by the department against the appellate order. If that order is modified or set aside, the amount refunded, with interest, will be recoverable under the provisions of the Act.</w:t>
      </w:r>
    </w:p>
    <w:p>
      <w:pPr>
        <w:pStyle w:val="BlockText"/>
        <w:shd w:val="clear" w:color="auto" w:fill="E7E6E6"/>
      </w:pPr>
      <w:r>
        <w:rPr>
          <w:bCs/>
          <w:b/>
          <w:sz w:val="21"/>
        </w:rPr>
        <w:t xml:space="preserve">Drafting note: final check before signing.</w:t>
      </w:r>
      <w:r>
        <w:rPr>
          <w:sz w:val="21"/>
        </w:rPr>
        <w:t xml:space="preserve"> </w:t>
      </w:r>
      <w:r>
        <w:rPr>
          <w:sz w:val="21"/>
        </w:rPr>
        <w:t xml:space="preserve">(1) The admissible amount in the computation, the head-wise table in para 11, the figures in the ORDER and the amount in words all agree. (2) Under every tax head, admissible + rejected = amount claimed, and admissible = paid in cash by RFD-05 + re-credited by PMT-03 + adjusted or withheld. (3) The cash and PMT-03 amounts are in the proportion in which the amounts in Table 1 were originally paid (rule 92(1A)), and any adjustment is taken from the cash portion first [or state the basis]; interest under section 115 is computed day by day to the expected date of credit, and rounded head-wise. (4) Every ground in the RFD-08 notice has a finding. (5) No bracket, blank date, drafting note or another case’s figures remain. (6) Figures are rounded to the nearest rupee (section 170). (7) Paragraph numbers run in order.</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applicant] (GSTIN [ ]), [address] (through the common portal and by e-mail to the registered e-mail address)</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(by name to the Assistant Commissioner (Review – Refunds), Headquarters), for review under section 107(2).</w:t>
      </w:r>
    </w:p>
    <w:p>
      <w:pPr>
        <w:numPr>
          <w:ilvl w:val="0"/>
          <w:numId w:val="1002"/>
        </w:numPr>
        <w:pStyle w:val="Compact"/>
        <w:spacing w:before="0" w:after="120" w:line="269" w:lineRule="auto"/>
      </w:pPr>
      <w:r>
        <w:t xml:space="preserve">The Assistant / Deputy Commissioner (Post-Audit), Medchal CGST Commissionerate, for post-audit of refund orders.</w:t>
      </w:r>
    </w:p>
    <w:p>
      <w:pPr>
        <w:numPr>
          <w:ilvl w:val="0"/>
          <w:numId w:val="1002"/>
        </w:numPr>
        <w:pStyle w:val="Compact"/>
        <w:spacing w:before="0" w:after="120" w:line="269" w:lineRule="auto"/>
      </w:pPr>
      <w:r>
        <w:t xml:space="preserve">The Superintendent, [Range], Sangareddy CGST Division, for information and for updating the refund register.</w:t>
      </w:r>
    </w:p>
    <w:p>
      <w:pPr>
        <w:numPr>
          <w:ilvl w:val="0"/>
          <w:numId w:val="1002"/>
        </w:numPr>
        <w:pStyle w:val="Compact"/>
        <w:spacing w:before="0" w:after="120" w:line="269" w:lineRule="auto"/>
      </w:pPr>
      <w:r>
        <w:t xml:space="preserve">The Assistant / Deputy Commissioner (Legal / Review), Medchal CGST Commissionerate, with reference to the department’s decision on review or appeal against the order of the Appellate Authority.</w:t>
      </w:r>
    </w:p>
    <w:p>
      <w:pPr>
        <w:numPr>
          <w:ilvl w:val="0"/>
          <w:numId w:val="1002"/>
        </w:numPr>
        <w:pStyle w:val="Compact"/>
        <w:spacing w:before="0" w:after="120" w:line="269" w:lineRule="auto"/>
      </w:pPr>
      <w:r>
        <w:t xml:space="preserve">Guard file / Office copy.</w:t>
      </w:r>
    </w:p>
    <w:p>
      <w:pPr>
        <w:pStyle w:val="FirstParagraph"/>
        <w:keepNext/>
        <w:spacing w:before="240" w:after="80"/>
        <w:pBdr>
          <w:bottom w:val="single" w:sz="6" w:space="1" w:color="B4C6E7"/>
        </w:pBdr>
      </w:pPr>
      <w:r>
        <w:rPr>
          <w:bCs/>
          <w:b/>
          <w:color w:val="1F3864"/>
          <w:sz w:val="25"/>
        </w:rPr>
        <w:t xml:space="preserve">Annexure for the drafting officer (delete before signing): worked example with hypothetical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468"/>
        <w:gridCol w:w="7060"/>
        <w:gridCol w:w="1109"/>
      </w:tblGrid>
      <w:tr>
        <w:trPr>
          <w:tblHeader w:val="true"/>
          <w:tblHeader/>
        </w:trPr>
        <w:tc>
          <w:tcPr>
            <w:tcW w:type="dxa" w:w="1468"/>
            <w:shd w:val="clear" w:color="auto" w:fill="DCE6F1"/>
          </w:tcPr>
          <w:p>
            <w:pPr>
              <w:pStyle w:val="Compact"/>
              <w:spacing w:before="0" w:after="0" w:line="240" w:lineRule="auto"/>
              <w:jc w:val="left"/>
            </w:pPr>
            <w:r>
              <w:rPr>
                <w:b/>
                <w:color w:val="1F3864"/>
                <w:sz w:val="21"/>
              </w:rPr>
              <w:t xml:space="preserve">Step</w:t>
            </w:r>
          </w:p>
        </w:tc>
        <w:tc>
          <w:tcPr>
            <w:tcW w:type="dxa" w:w="7060"/>
            <w:shd w:val="clear" w:color="auto" w:fill="DCE6F1"/>
          </w:tcPr>
          <w:p>
            <w:pPr>
              <w:pStyle w:val="Compact"/>
              <w:spacing w:before="0" w:after="0" w:line="240" w:lineRule="auto"/>
              <w:jc w:val="left"/>
            </w:pPr>
            <w:r>
              <w:rPr>
                <w:b/>
                <w:color w:val="1F3864"/>
                <w:sz w:val="21"/>
              </w:rPr>
              <w:t xml:space="preserve">Working</w:t>
            </w:r>
          </w:p>
        </w:tc>
        <w:tc>
          <w:tcPr>
            <w:tcW w:type="dxa" w:w="1109"/>
            <w:shd w:val="clear" w:color="auto" w:fill="DCE6F1"/>
          </w:tcPr>
          <w:p>
            <w:pPr>
              <w:pStyle w:val="Compact"/>
              <w:spacing w:before="0" w:after="0" w:line="240" w:lineRule="auto"/>
              <w:jc w:val="left"/>
            </w:pPr>
            <w:r>
              <w:rPr>
                <w:b/>
                <w:color w:val="1F3864"/>
                <w:sz w:val="21"/>
              </w:rPr>
              <w:t xml:space="preserve">Amount (₹)</w:t>
            </w:r>
          </w:p>
        </w:tc>
      </w:tr>
      <w:tr>
        <w:tc>
          <w:tcPr>
            <w:tcW w:type="dxa" w:w="1468"/>
          </w:tcPr>
          <w:p>
            <w:pPr>
              <w:pStyle w:val="Compact"/>
              <w:spacing w:before="0" w:after="0" w:line="240" w:lineRule="auto"/>
              <w:jc w:val="left"/>
            </w:pPr>
            <w:r>
              <w:rPr>
                <w:sz w:val="21"/>
              </w:rPr>
              <w:t xml:space="preserve">Order-in-original</w:t>
            </w:r>
          </w:p>
        </w:tc>
        <w:tc>
          <w:tcPr>
            <w:tcW w:type="dxa" w:w="7060"/>
          </w:tcPr>
          <w:p>
            <w:pPr>
              <w:pStyle w:val="Compact"/>
              <w:spacing w:before="0" w:after="0" w:line="240" w:lineRule="auto"/>
              <w:jc w:val="left"/>
            </w:pPr>
            <w:r>
              <w:rPr>
                <w:sz w:val="21"/>
              </w:rPr>
              <w:t xml:space="preserve">Tax 10,00,000 (CGST 5,00,000, SGST 5,00,000), with interest and penalty</w:t>
            </w:r>
          </w:p>
        </w:tc>
        <w:tc>
          <w:tcPr>
            <w:tcW w:type="dxa" w:w="1109"/>
          </w:tcPr>
          <w:p>
            <w:pPr>
              <w:pStyle w:val="Compact"/>
              <w:spacing w:before="0" w:after="0" w:line="240" w:lineRule="auto"/>
            </w:pPr>
          </w:p>
        </w:tc>
      </w:tr>
      <w:tr>
        <w:tc>
          <w:tcPr>
            <w:tcW w:type="dxa" w:w="1468"/>
          </w:tcPr>
          <w:p>
            <w:pPr>
              <w:pStyle w:val="Compact"/>
              <w:spacing w:before="0" w:after="0" w:line="240" w:lineRule="auto"/>
              <w:jc w:val="left"/>
            </w:pPr>
            <w:r>
              <w:rPr>
                <w:sz w:val="21"/>
              </w:rPr>
              <w:t xml:space="preserve">Pre-deposit (row (a))</w:t>
            </w:r>
          </w:p>
        </w:tc>
        <w:tc>
          <w:tcPr>
            <w:tcW w:type="dxa" w:w="7060"/>
          </w:tcPr>
          <w:p>
            <w:pPr>
              <w:pStyle w:val="Compact"/>
              <w:spacing w:before="0" w:after="0" w:line="240" w:lineRule="auto"/>
              <w:jc w:val="left"/>
            </w:pPr>
            <w:r>
              <w:rPr>
                <w:sz w:val="21"/>
              </w:rPr>
              <w:t xml:space="preserve">10% of tax, paid in cash on 15.01.2026 (CGST 50,000, SGST 50,000)</w:t>
            </w:r>
          </w:p>
        </w:tc>
        <w:tc>
          <w:tcPr>
            <w:tcW w:type="dxa" w:w="1109"/>
          </w:tcPr>
          <w:p>
            <w:pPr>
              <w:pStyle w:val="Compact"/>
              <w:spacing w:before="0" w:after="0" w:line="240" w:lineRule="auto"/>
              <w:jc w:val="left"/>
            </w:pPr>
            <w:r>
              <w:rPr>
                <w:sz w:val="21"/>
              </w:rPr>
              <w:t xml:space="preserve">1,00,000</w:t>
            </w:r>
          </w:p>
        </w:tc>
      </w:tr>
      <w:tr>
        <w:tc>
          <w:tcPr>
            <w:tcW w:type="dxa" w:w="1468"/>
          </w:tcPr>
          <w:p>
            <w:pPr>
              <w:pStyle w:val="Compact"/>
              <w:spacing w:before="0" w:after="0" w:line="240" w:lineRule="auto"/>
              <w:jc w:val="left"/>
            </w:pPr>
            <w:r>
              <w:rPr>
                <w:sz w:val="21"/>
              </w:rPr>
              <w:t xml:space="preserve">Appellate order</w:t>
            </w:r>
          </w:p>
        </w:tc>
        <w:tc>
          <w:tcPr>
            <w:tcW w:type="dxa" w:w="7060"/>
          </w:tcPr>
          <w:p>
            <w:pPr>
              <w:pStyle w:val="Compact"/>
              <w:spacing w:before="0" w:after="0" w:line="240" w:lineRule="auto"/>
              <w:jc w:val="left"/>
            </w:pPr>
            <w:r>
              <w:rPr>
                <w:sz w:val="21"/>
              </w:rPr>
              <w:t xml:space="preserve">Demand set aside in full; communicated 12.06.2026 (relevant date); accepted on review under section 112(3); RFD-01 filed 01.07.2026</w:t>
            </w:r>
          </w:p>
        </w:tc>
        <w:tc>
          <w:tcPr>
            <w:tcW w:type="dxa" w:w="1109"/>
          </w:tcPr>
          <w:p>
            <w:pPr>
              <w:pStyle w:val="Compact"/>
              <w:spacing w:before="0" w:after="0" w:line="240" w:lineRule="auto"/>
            </w:pPr>
          </w:p>
        </w:tc>
      </w:tr>
      <w:tr>
        <w:tc>
          <w:tcPr>
            <w:tcW w:type="dxa" w:w="1468"/>
          </w:tcPr>
          <w:p>
            <w:pPr>
              <w:pStyle w:val="Compact"/>
              <w:spacing w:before="0" w:after="0" w:line="240" w:lineRule="auto"/>
              <w:jc w:val="left"/>
            </w:pPr>
            <w:r>
              <w:rPr>
                <w:sz w:val="21"/>
              </w:rPr>
              <w:t xml:space="preserve">Refundable (row (d))</w:t>
            </w:r>
          </w:p>
        </w:tc>
        <w:tc>
          <w:tcPr>
            <w:tcW w:type="dxa" w:w="7060"/>
          </w:tcPr>
          <w:p>
            <w:pPr>
              <w:pStyle w:val="Compact"/>
              <w:spacing w:before="0" w:after="0" w:line="240" w:lineRule="auto"/>
              <w:jc w:val="left"/>
            </w:pPr>
            <w:r>
              <w:rPr>
                <w:sz w:val="21"/>
              </w:rPr>
              <w:t xml:space="preserve">(a) + (b) − (c) = 1,00,000 + 0 − 0, all in cash (rule 92(1A))</w:t>
            </w:r>
          </w:p>
        </w:tc>
        <w:tc>
          <w:tcPr>
            <w:tcW w:type="dxa" w:w="1109"/>
          </w:tcPr>
          <w:p>
            <w:pPr>
              <w:pStyle w:val="Compact"/>
              <w:spacing w:before="0" w:after="0" w:line="240" w:lineRule="auto"/>
              <w:jc w:val="left"/>
            </w:pPr>
            <w:r>
              <w:rPr>
                <w:sz w:val="21"/>
              </w:rPr>
              <w:t xml:space="preserve">1,00,000</w:t>
            </w:r>
          </w:p>
        </w:tc>
      </w:tr>
      <w:tr>
        <w:tc>
          <w:tcPr>
            <w:tcW w:type="dxa" w:w="1468"/>
          </w:tcPr>
          <w:p>
            <w:pPr>
              <w:pStyle w:val="Compact"/>
              <w:spacing w:before="0" w:after="0" w:line="240" w:lineRule="auto"/>
              <w:jc w:val="left"/>
            </w:pPr>
            <w:r>
              <w:rPr>
                <w:sz w:val="21"/>
              </w:rPr>
              <w:t xml:space="preserve">Days</w:t>
            </w:r>
          </w:p>
        </w:tc>
        <w:tc>
          <w:tcPr>
            <w:tcW w:type="dxa" w:w="7060"/>
          </w:tcPr>
          <w:p>
            <w:pPr>
              <w:pStyle w:val="Compact"/>
              <w:spacing w:before="0" w:after="0" w:line="240" w:lineRule="auto"/>
              <w:jc w:val="left"/>
            </w:pPr>
            <w:r>
              <w:rPr>
                <w:sz w:val="21"/>
              </w:rPr>
              <w:t xml:space="preserve">From 16.01.2026 to the expected credit on 20.08.2026: 16 + 28 + 31 + 30 + 31 + 30 + 31 + 20</w:t>
            </w:r>
          </w:p>
        </w:tc>
        <w:tc>
          <w:tcPr>
            <w:tcW w:type="dxa" w:w="1109"/>
          </w:tcPr>
          <w:p>
            <w:pPr>
              <w:pStyle w:val="Compact"/>
              <w:spacing w:before="0" w:after="0" w:line="240" w:lineRule="auto"/>
              <w:jc w:val="left"/>
            </w:pPr>
            <w:r>
              <w:rPr>
                <w:sz w:val="21"/>
              </w:rPr>
              <w:t xml:space="preserve">217</w:t>
            </w:r>
          </w:p>
        </w:tc>
      </w:tr>
      <w:tr>
        <w:tc>
          <w:tcPr>
            <w:tcW w:type="dxa" w:w="1468"/>
          </w:tcPr>
          <w:p>
            <w:pPr>
              <w:pStyle w:val="Compact"/>
              <w:spacing w:before="0" w:after="0" w:line="240" w:lineRule="auto"/>
              <w:jc w:val="left"/>
            </w:pPr>
            <w:r>
              <w:rPr>
                <w:sz w:val="21"/>
              </w:rPr>
              <w:t xml:space="preserve">Section 115 interest</w:t>
            </w:r>
          </w:p>
        </w:tc>
        <w:tc>
          <w:tcPr>
            <w:tcW w:type="dxa" w:w="7060"/>
          </w:tcPr>
          <w:p>
            <w:pPr>
              <w:pStyle w:val="Compact"/>
              <w:spacing w:before="0" w:after="0" w:line="240" w:lineRule="auto"/>
              <w:jc w:val="left"/>
            </w:pPr>
            <w:r>
              <w:rPr>
                <w:sz w:val="21"/>
              </w:rPr>
              <w:t xml:space="preserve">Each head: 50,000 × 6% × 217 ÷ 365 = 1,783.56 → 1,784 (round each head)</w:t>
            </w:r>
          </w:p>
        </w:tc>
        <w:tc>
          <w:tcPr>
            <w:tcW w:type="dxa" w:w="1109"/>
          </w:tcPr>
          <w:p>
            <w:pPr>
              <w:pStyle w:val="Compact"/>
              <w:spacing w:before="0" w:after="0" w:line="240" w:lineRule="auto"/>
              <w:jc w:val="left"/>
            </w:pPr>
            <w:r>
              <w:rPr>
                <w:sz w:val="21"/>
              </w:rPr>
              <w:t xml:space="preserve">3,568</w:t>
            </w:r>
          </w:p>
        </w:tc>
      </w:tr>
      <w:tr>
        <w:tc>
          <w:tcPr>
            <w:tcW w:type="dxa" w:w="1468"/>
          </w:tcPr>
          <w:p>
            <w:pPr>
              <w:pStyle w:val="Compact"/>
              <w:spacing w:before="0" w:after="0" w:line="240" w:lineRule="auto"/>
              <w:jc w:val="left"/>
            </w:pPr>
            <w:r>
              <w:rPr>
                <w:sz w:val="21"/>
              </w:rPr>
              <w:t xml:space="preserve">If 9% is adopted</w:t>
            </w:r>
          </w:p>
        </w:tc>
        <w:tc>
          <w:tcPr>
            <w:tcW w:type="dxa" w:w="7060"/>
          </w:tcPr>
          <w:p>
            <w:pPr>
              <w:pStyle w:val="Compact"/>
              <w:spacing w:before="0" w:after="0" w:line="240" w:lineRule="auto"/>
              <w:jc w:val="left"/>
            </w:pPr>
            <w:r>
              <w:rPr>
                <w:sz w:val="21"/>
              </w:rPr>
              <w:t xml:space="preserve">Each head 2,675.34 → 2,675</w:t>
            </w:r>
          </w:p>
        </w:tc>
        <w:tc>
          <w:tcPr>
            <w:tcW w:type="dxa" w:w="1109"/>
          </w:tcPr>
          <w:p>
            <w:pPr>
              <w:pStyle w:val="Compact"/>
              <w:spacing w:before="0" w:after="0" w:line="240" w:lineRule="auto"/>
              <w:jc w:val="left"/>
            </w:pPr>
            <w:r>
              <w:rPr>
                <w:sz w:val="21"/>
              </w:rPr>
              <w:t xml:space="preserve">5,350</w:t>
            </w:r>
          </w:p>
        </w:tc>
      </w:tr>
      <w:tr>
        <w:tc>
          <w:tcPr>
            <w:tcW w:type="dxa" w:w="1468"/>
          </w:tcPr>
          <w:p>
            <w:pPr>
              <w:pStyle w:val="Compact"/>
              <w:spacing w:before="0" w:after="0" w:line="240" w:lineRule="auto"/>
              <w:jc w:val="left"/>
            </w:pPr>
            <w:r>
              <w:rPr>
                <w:sz w:val="21"/>
              </w:rPr>
              <w:t xml:space="preserve">Partial relief</w:t>
            </w:r>
          </w:p>
        </w:tc>
        <w:tc>
          <w:tcPr>
            <w:tcW w:type="dxa" w:w="7060"/>
          </w:tcPr>
          <w:p>
            <w:pPr>
              <w:pStyle w:val="Compact"/>
              <w:spacing w:before="0" w:after="0" w:line="240" w:lineRule="auto"/>
              <w:jc w:val="left"/>
            </w:pPr>
            <w:r>
              <w:rPr>
                <w:sz w:val="21"/>
              </w:rPr>
              <w:t xml:space="preserve">Pre-deposit 1,00,000 + DRC-03 2,00,000 = 3,00,000; upheld 2,10,000 with no further appeal; row (c) met first from the pre-deposit, so (d) 90,000 comes from row (b) and carries section 56 interest only</w:t>
            </w:r>
          </w:p>
        </w:tc>
        <w:tc>
          <w:tcPr>
            <w:tcW w:type="dxa" w:w="1109"/>
          </w:tcPr>
          <w:p>
            <w:pPr>
              <w:pStyle w:val="Compact"/>
              <w:spacing w:before="0" w:after="0" w:line="240" w:lineRule="auto"/>
              <w:jc w:val="left"/>
            </w:pPr>
            <w:r>
              <w:rPr>
                <w:sz w:val="21"/>
              </w:rPr>
              <w:t xml:space="preserve">90,000</w:t>
            </w:r>
          </w:p>
        </w:tc>
      </w:tr>
    </w:tbl>
    <w:p>
      <w:pPr>
        <w:pStyle w:val="BlockText"/>
        <w:shd w:val="clear" w:color="auto" w:fill="E7E6E6"/>
        <w:spacing w:before="360"/>
      </w:pPr>
      <w:r>
        <w:rPr>
          <w:bCs/>
          <w:b/>
          <w:sz w:val="21"/>
        </w:rPr>
        <w:t xml:space="preserve">How to use this template.</w:t>
      </w:r>
      <w:r>
        <w:rPr>
          <w:sz w:val="21"/>
        </w:rPr>
        <w:t xml:space="preserve"> </w:t>
      </w:r>
      <w:r>
        <w:rPr>
          <w:sz w:val="21"/>
        </w:rPr>
        <w:t xml:space="preserve">Text in [square brackets] is to be filled in or chosen. Paragraphs marked</w:t>
      </w:r>
      <w:r>
        <w:rPr>
          <w:sz w:val="21"/>
        </w:rPr>
        <w:t xml:space="preserve"> </w:t>
      </w:r>
      <w:r>
        <w:rPr>
          <w:bCs/>
          <w:b/>
          <w:sz w:val="21"/>
        </w:rPr>
        <w:t xml:space="preserve">[Option A]</w:t>
      </w:r>
      <w:r>
        <w:rPr>
          <w:sz w:val="21"/>
        </w:rPr>
        <w:t xml:space="preserve">,</w:t>
      </w:r>
      <w:r>
        <w:rPr>
          <w:sz w:val="21"/>
        </w:rPr>
        <w:t xml:space="preserve"> </w:t>
      </w:r>
      <w:r>
        <w:rPr>
          <w:bCs/>
          <w:b/>
          <w:sz w:val="21"/>
        </w:rPr>
        <w:t xml:space="preserve">[Option B]</w:t>
      </w:r>
      <w:r>
        <w:rPr>
          <w:sz w:val="21"/>
        </w:rPr>
        <w:t xml:space="preserve"> </w:t>
      </w:r>
      <w:r>
        <w:rPr>
          <w:sz w:val="21"/>
        </w:rPr>
        <w:t xml:space="preserve">are alternatives: keep the one that fits and delete the rest.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box is guidance for the officer and must be deleted before the order is signed. Do not leave any bracket, blank date or drafting note in the issued order.</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T8: Refund of pre-deposit, or of tax paid, consequent to an appellate order</dc:title>
  <dc:creator>Sangareddy CGST Division</dc:creator>
  <cp:keywords/>
  <dcterms:created xsi:type="dcterms:W3CDTF">2026-10-12T14:52:42Z</dcterms:created>
  <dcterms:modified xsi:type="dcterms:W3CDTF">2026-10-12T14:52:42Z</dcterms:modified>
</cp:coreProperties>
</file>

<file path=docProps/custom.xml><?xml version="1.0" encoding="utf-8"?>
<Properties xmlns="http://schemas.openxmlformats.org/officeDocument/2006/custom-properties" xmlns:vt="http://schemas.openxmlformats.org/officeDocument/2006/docPropsVTypes"/>
</file>