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Santosh Jammi</w:t>
      </w:r>
    </w:p>
    <w:p>
      <w:pPr>
        <w:spacing w:after="40"/>
        <w:jc w:val="center"/>
      </w:pPr>
      <w:r>
        <w:rPr>
          <w:rFonts w:ascii="Calibri" w:hAnsi="Calibri"/>
          <w:color w:val="6B68F0"/>
          <w:sz w:val="21"/>
        </w:rPr>
        <w:t>Principal Data Architect | GenAI &amp; Lakehouse Systems</w:t>
        <w:br/>
        <w:t>Microsoft Fabric (DP-600) &amp; Azure Native | Cloud FinOps Specialist</w:t>
      </w:r>
    </w:p>
    <w:p>
      <w:pPr>
        <w:spacing w:after="80"/>
        <w:jc w:val="center"/>
      </w:pPr>
      <w:r>
        <w:rPr>
          <w:rFonts w:ascii="Calibri" w:hAnsi="Calibri"/>
          <w:color w:val="475569"/>
          <w:sz w:val="18"/>
        </w:rPr>
        <w:t>Hyderabad, India  ·  santu.jammi@gmail.com  ·  +91-9110580037  ·  linkedin.com/in/santoshjammi29  ·  github.com/santoshjammi29</w:t>
      </w:r>
    </w:p>
    <w:p>
      <w:pPr>
        <w:spacing w:after="120"/>
        <w:jc w:val="center"/>
      </w:pPr>
      <w:r>
        <w:rPr>
          <w:rFonts w:ascii="Calibri" w:hAnsi="Calibri"/>
          <w:b/>
          <w:color w:val="6B68F0"/>
          <w:sz w:val="17"/>
        </w:rPr>
        <w:t>DP-600 Fabric Analytics Engineer  |  DP-203 Azure Data Engineer  |  PL-300 Power BI Analyst  |  AI-900 Azure AI Fundamentals  |  DP-900 Data Fundamentals  |  AZ-900 Azure Fundamentals</w:t>
      </w:r>
    </w:p>
    <w:p>
      <w:pPr>
        <w:spacing w:before="40" w:after="120"/>
        <w:pBdr>
          <w:bottom w:val="single" w:sz="4" w:space="1" w:color="E2E8F0"/>
        </w:pBdr>
      </w:pPr>
    </w:p>
    <w:p>
      <w:pPr>
        <w:spacing w:before="280" w:after="80"/>
      </w:pPr>
      <w:r>
        <w:rPr>
          <w:rFonts w:ascii="Calibri" w:hAnsi="Calibri"/>
          <w:b/>
          <w:color w:val="6B68F0"/>
          <w:sz w:val="19"/>
        </w:rPr>
        <w:t>PROFESSIONAL SUMMARY</w:t>
      </w:r>
    </w:p>
    <w:p>
      <w:pPr>
        <w:spacing w:before="40" w:after="120"/>
        <w:pBdr>
          <w:bottom w:val="single" w:sz="4" w:space="1" w:color="E2E8F0"/>
        </w:pBdr>
      </w:pPr>
    </w:p>
    <w:p>
      <w:pPr>
        <w:spacing w:after="80"/>
      </w:pPr>
      <w:r>
        <w:rPr>
          <w:rFonts w:ascii="Calibri" w:hAnsi="Calibri"/>
          <w:color w:val="0F172A"/>
          <w:sz w:val="19"/>
        </w:rPr>
        <w:t>Strategic Principal Data Architect with 8+ years of experience and a proven 5-year track record of leading high-performance engineering squads and managing direct executive stakeholder engagements. Expert in architecting scalable Medallion Lakehouse platforms on Microsoft Azure and Microsoft Fabric, designing enterprise GenAI / RAG data pipelines, and bridging technical delivery with executive business vision. Pioneer in Cloud FinOps, slashing operational spend and latency by 40%+ through dynamic DIU allocation and Fabric Capacity Unit (CU) optimization. Deep domain expertise in the EU BFSI sector, enforcing rigorous GDPR, data sovereignty, and Zero Trust governance while delivering 99.9% mission-critical platform reliability.</w:t>
      </w:r>
    </w:p>
    <w:p>
      <w:pPr>
        <w:spacing w:before="280" w:after="80"/>
      </w:pPr>
      <w:r>
        <w:rPr>
          <w:rFonts w:ascii="Calibri" w:hAnsi="Calibri"/>
          <w:b/>
          <w:color w:val="6B68F0"/>
          <w:sz w:val="19"/>
        </w:rPr>
        <w:t>CORE TECHNICAL COMPETENCIES</w:t>
      </w:r>
    </w:p>
    <w:p>
      <w:pPr>
        <w:spacing w:before="40" w:after="120"/>
        <w:pBdr>
          <w:bottom w:val="single" w:sz="4" w:space="1" w:color="E2E8F0"/>
        </w:pBdr>
      </w:pPr>
    </w:p>
    <w:p>
      <w:pPr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Core &amp; GenAI Architecture: </w:t>
      </w:r>
      <w:r>
        <w:rPr>
          <w:rFonts w:ascii="Calibri" w:hAnsi="Calibri"/>
          <w:color w:val="475569"/>
          <w:sz w:val="19"/>
        </w:rPr>
        <w:t>Medallion Architecture, GenAI Data Pipelines, RAG Architecture, Vector Search (Azure AI Search), Microsoft Fabric Copilot, Semantic Caching, Data Mesh, Zero-Copy Architecture, Cloud FinOps, Disaster Recovery (DR), Kimball Modeling, Data Vault 2.0, Star / Snowflake Schemas, SCDs</w:t>
      </w:r>
    </w:p>
    <w:p>
      <w:pPr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Microsoft Fabric &amp; Azure: </w:t>
      </w:r>
      <w:r>
        <w:rPr>
          <w:rFonts w:ascii="Calibri" w:hAnsi="Calibri"/>
          <w:color w:val="475569"/>
          <w:sz w:val="19"/>
        </w:rPr>
        <w:t>Microsoft Fabric (DP-600), OneLake &amp; Direct Lake Mode, Capacity Unit (CU) Optimization, F-SKU Capacity Planning, Azure Synapse Analytics, Azure Data Factory (ADF), ADLS Gen2, Azure Purview, Real-Time Intelligence, Azure OpenAI Integration, Azure SQL, Cosmos DB, Azure Monitor / KQL</w:t>
      </w:r>
    </w:p>
    <w:p>
      <w:pPr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Big Data, Databricks &amp; Pipelines: </w:t>
      </w:r>
      <w:r>
        <w:rPr>
          <w:rFonts w:ascii="Calibri" w:hAnsi="Calibri"/>
          <w:color w:val="475569"/>
          <w:sz w:val="19"/>
        </w:rPr>
        <w:t>Databricks &amp; Unity Catalog, Apache Spark 3.5+, PySpark, Apache Iceberg, Delta Lake UniForm, Liquid Clustering, Z-Ordering, Spark Structured Streaming, Event Hubs &amp; Kafka, dbt Core &amp; dbt Mesh, Apache Airflow, ADF Mapping Data Flows, Idempotent Pipeline Design, SCD Type 2, ACID Delta Lake, MERGE INTO</w:t>
      </w:r>
    </w:p>
    <w:p>
      <w:pPr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DevOps, DataOps &amp; Governance: </w:t>
      </w:r>
      <w:r>
        <w:rPr>
          <w:rFonts w:ascii="Calibri" w:hAnsi="Calibri"/>
          <w:color w:val="475569"/>
          <w:sz w:val="19"/>
        </w:rPr>
        <w:t>Azure DevOps CI/CD (YAML), GitOps, Automated Data Observability, Great Expectations, Row/Column-Level Security (RLS/CLS), GDPR Compliance, Data Sovereignty, EU AI Act, Azure Key Vault, Service Principals, Entra ID (Azure AD), RBAC, Advanced T-SQL, KQL, ARM Templates, Schema Evolution, 99.9% Platform SLA</w:t>
      </w:r>
    </w:p>
    <w:p>
      <w:pPr>
        <w:spacing w:before="280" w:after="80"/>
      </w:pPr>
      <w:r>
        <w:rPr>
          <w:rFonts w:ascii="Calibri" w:hAnsi="Calibri"/>
          <w:b/>
          <w:color w:val="6B68F0"/>
          <w:sz w:val="19"/>
        </w:rPr>
        <w:t>PROFESSIONAL EXPERIENCE</w:t>
      </w:r>
    </w:p>
    <w:p>
      <w:pPr>
        <w:spacing w:before="40" w:after="120"/>
        <w:pBdr>
          <w:bottom w:val="single" w:sz="4" w:space="1" w:color="E2E8F0"/>
        </w:pBdr>
      </w:pPr>
    </w:p>
    <w:p>
      <w:pPr>
        <w:spacing w:before="120" w:after="20"/>
      </w:pPr>
      <w:r>
        <w:rPr>
          <w:rFonts w:ascii="Calibri" w:hAnsi="Calibri"/>
          <w:b/>
          <w:color w:val="0F172A"/>
          <w:sz w:val="21"/>
        </w:rPr>
        <w:t>Senior Data Engineer</w:t>
      </w:r>
    </w:p>
    <w:p>
      <w:pPr>
        <w:spacing w:after="20"/>
      </w:pPr>
      <w:r>
        <w:rPr>
          <w:rFonts w:ascii="Calibri" w:hAnsi="Calibri"/>
          <w:b/>
          <w:color w:val="6B68F0"/>
          <w:sz w:val="19"/>
        </w:rPr>
        <w:t>Tata Consultancy Services — EU BFSI / Enterprise</w:t>
      </w:r>
      <w:r>
        <w:rPr>
          <w:rFonts w:ascii="Calibri" w:hAnsi="Calibri"/>
          <w:color w:val="475569"/>
          <w:sz w:val="18"/>
        </w:rPr>
        <w:t xml:space="preserve">     Hyderabad, India     |     Apr 2022 – Present</w:t>
      </w:r>
    </w:p>
    <w:p>
      <w:pPr>
        <w:spacing w:after="40"/>
      </w:pPr>
      <w:r>
        <w:rPr>
          <w:rFonts w:ascii="Calibri" w:hAnsi="Calibri"/>
          <w:i/>
          <w:color w:val="475569"/>
          <w:sz w:val="19"/>
        </w:rPr>
        <w:t>Strategic engineering leader serving as the primary onsite technical point of contact for Product Owners and Architects. Managed offshore delivery of 5+ senior engineers, ensuring zero schedule slippage across sprint deliverables while building highly resilient systems.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[Leadership] </w:t>
      </w:r>
      <w:r>
        <w:rPr>
          <w:rFonts w:ascii="Calibri" w:hAnsi="Calibri"/>
          <w:color w:val="0F172A"/>
          <w:sz w:val="19"/>
        </w:rPr>
        <w:t>Served as primary technical point of contact for onsite Product Owners and Architects, facilitating requirement discovery, governing offshore delivery of 5+ senior engineers, and ensuring zero schedule slippage across all sprint deliverables.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[Lakehouse] </w:t>
      </w:r>
      <w:r>
        <w:rPr>
          <w:rFonts w:ascii="Calibri" w:hAnsi="Calibri"/>
          <w:color w:val="0F172A"/>
          <w:sz w:val="19"/>
        </w:rPr>
        <w:t>Designed a robust Medallion Architecture (Bronze / Silver / Gold) managing 5TB+ data. Implemented idempotent ETL patterns with strict integrity constraints (MERGE INTO, ACID Delta Lake, and Apache Iceberg / Delta UniForm interoperability) to ensure 100% data consistency across all pipeline retries and transient cluster failures.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[GenAI &amp; RAG] </w:t>
      </w:r>
      <w:r>
        <w:rPr>
          <w:rFonts w:ascii="Calibri" w:hAnsi="Calibri"/>
          <w:color w:val="0F172A"/>
          <w:sz w:val="19"/>
        </w:rPr>
        <w:t>Engineered automated data preparation and embedding pipelines for enterprise GenAI / RAG workloads utilizing Azure OpenAI and Azure AI Search; integrated Microsoft Fabric Copilot for accelerated natural-language data discovery across high-volume repositories.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[FinOps] </w:t>
      </w:r>
      <w:r>
        <w:rPr>
          <w:rFonts w:ascii="Calibri" w:hAnsi="Calibri"/>
          <w:color w:val="0F172A"/>
          <w:sz w:val="19"/>
        </w:rPr>
        <w:t>Led compute optimisation — dynamically tuning DIUs and Parallelism in Azure Data Factory and governing Fabric Capacity Units (CUs) — delivering a 40% reduction in data processing latency and significant recurring cloud cost savings across enterprise pipelines.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[Fabric] </w:t>
      </w:r>
      <w:r>
        <w:rPr>
          <w:rFonts w:ascii="Calibri" w:hAnsi="Calibri"/>
          <w:color w:val="0F172A"/>
          <w:sz w:val="19"/>
        </w:rPr>
        <w:t>Architected resilient Microsoft Fabric semantic models using Direct Lake mode over OneLake, strictly managing F64 capacity memory guardrails (25 GB threshold) to entirely eliminate refresh failures and deliver sub-second render speeds for C-level dashboards.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[DevOps &amp; DataOps] </w:t>
      </w:r>
      <w:r>
        <w:rPr>
          <w:rFonts w:ascii="Calibri" w:hAnsi="Calibri"/>
          <w:color w:val="0F172A"/>
          <w:sz w:val="19"/>
        </w:rPr>
        <w:t>Automated CI/CD via Azure DevOps / YAML with automated rollback strategies; enforced strict Schema Evolution policies and automated data quality checks to maintain 100% downstream platform stability with 99.9% availability under GDPR compliance.</w:t>
      </w:r>
    </w:p>
    <w:p>
      <w:pPr>
        <w:spacing w:before="200" w:after="20"/>
      </w:pPr>
      <w:r>
        <w:rPr>
          <w:rFonts w:ascii="Calibri" w:hAnsi="Calibri"/>
          <w:b/>
          <w:color w:val="0F172A"/>
          <w:sz w:val="21"/>
        </w:rPr>
        <w:t>Senior Data Engineer</w:t>
      </w:r>
    </w:p>
    <w:p>
      <w:pPr>
        <w:spacing w:after="20"/>
      </w:pPr>
      <w:r>
        <w:rPr>
          <w:rFonts w:ascii="Calibri" w:hAnsi="Calibri"/>
          <w:b/>
          <w:color w:val="6B68F0"/>
          <w:sz w:val="19"/>
        </w:rPr>
        <w:t>Larsen &amp; Toubro Infotech (LTIMindtree) — Enterprise Data</w:t>
      </w:r>
      <w:r>
        <w:rPr>
          <w:rFonts w:ascii="Calibri" w:hAnsi="Calibri"/>
          <w:color w:val="475569"/>
          <w:sz w:val="18"/>
        </w:rPr>
        <w:t xml:space="preserve">     Bengaluru, India     |     Apr 2021 – Apr 2022</w:t>
      </w:r>
    </w:p>
    <w:p>
      <w:pPr>
        <w:spacing w:after="40"/>
      </w:pPr>
      <w:r>
        <w:rPr>
          <w:rFonts w:ascii="Calibri" w:hAnsi="Calibri"/>
          <w:i/>
          <w:color w:val="475569"/>
          <w:sz w:val="19"/>
        </w:rPr>
        <w:t>Orchestrated enterprise data modernisation pipelines, translating complex client business logic into high-efficiency Azure infrastructure.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[ETL Performance] </w:t>
      </w:r>
      <w:r>
        <w:rPr>
          <w:rFonts w:ascii="Calibri" w:hAnsi="Calibri"/>
          <w:color w:val="0F172A"/>
          <w:sz w:val="19"/>
        </w:rPr>
        <w:t>Re-engineered legacy pipelines using Azure Data Factory, solving the Small File Problem and cutting query execution times by 40% through parallelism tuning, partition optimisation, and Integration Runtime right-sizing.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[Reporting] </w:t>
      </w:r>
      <w:r>
        <w:rPr>
          <w:rFonts w:ascii="Calibri" w:hAnsi="Calibri"/>
          <w:color w:val="0F172A"/>
          <w:sz w:val="19"/>
        </w:rPr>
        <w:t>Redesigned Power BI models with aggregation tables, improving report load speeds by 25% and achieving high availability across all executive and operational reporting workloads.</w:t>
      </w:r>
    </w:p>
    <w:p>
      <w:pPr>
        <w:spacing w:before="200" w:after="20"/>
      </w:pPr>
      <w:r>
        <w:rPr>
          <w:rFonts w:ascii="Calibri" w:hAnsi="Calibri"/>
          <w:b/>
          <w:color w:val="0F172A"/>
          <w:sz w:val="21"/>
        </w:rPr>
        <w:t>Technology Analyst  →  Senior System Engineer  →  System Engineer</w:t>
      </w:r>
    </w:p>
    <w:p>
      <w:pPr>
        <w:spacing w:after="20"/>
      </w:pPr>
      <w:r>
        <w:rPr>
          <w:rFonts w:ascii="Calibri" w:hAnsi="Calibri"/>
          <w:b/>
          <w:color w:val="6B68F0"/>
          <w:sz w:val="19"/>
        </w:rPr>
        <w:t>Infosys Limited — Enterprise Technology</w:t>
      </w:r>
      <w:r>
        <w:rPr>
          <w:rFonts w:ascii="Calibri" w:hAnsi="Calibri"/>
          <w:color w:val="475569"/>
          <w:sz w:val="18"/>
        </w:rPr>
        <w:t xml:space="preserve">     Hyderabad, India     |     Dec 2017 – Apr 2021</w:t>
      </w:r>
    </w:p>
    <w:p>
      <w:pPr>
        <w:spacing w:after="40"/>
      </w:pPr>
      <w:r>
        <w:rPr>
          <w:rFonts w:ascii="Calibri" w:hAnsi="Calibri"/>
          <w:i/>
          <w:color w:val="475569"/>
          <w:sz w:val="19"/>
        </w:rPr>
        <w:t>Led end-to-end data platform engineering and BI solution delivery, specialising in secure architecture design and transactional query tuning for financial reporting workloads.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[Data Quality] </w:t>
      </w:r>
      <w:r>
        <w:rPr>
          <w:rFonts w:ascii="Calibri" w:hAnsi="Calibri"/>
          <w:color w:val="0F172A"/>
          <w:sz w:val="19"/>
        </w:rPr>
        <w:t>Improved data model accuracy by 20% through automated data cleansing and validation frameworks, establishing consistent data quality standards across enterprise financial reporting pipelines.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[Security] </w:t>
      </w:r>
      <w:r>
        <w:rPr>
          <w:rFonts w:ascii="Calibri" w:hAnsi="Calibri"/>
          <w:color w:val="0F172A"/>
          <w:sz w:val="19"/>
        </w:rPr>
        <w:t>Integrated Power BI with SaaS applications, implementing Row-Level Security (RLS) for sensitive financial data and designing role-based access controls governing the end-to-end lifecycle from data modelling to dashboard deployment.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[Performance] </w:t>
      </w:r>
      <w:r>
        <w:rPr>
          <w:rFonts w:ascii="Calibri" w:hAnsi="Calibri"/>
          <w:color w:val="0F172A"/>
          <w:sz w:val="19"/>
        </w:rPr>
        <w:t>Increased data processing efficiency by 15% through advanced T-SQL query tuning, index optimisation, and stored procedure refactoring across large-scale SQL Server and Azure SQL workloads.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6B68F0"/>
          <w:sz w:val="19"/>
        </w:rPr>
        <w:t xml:space="preserve">[Platform] </w:t>
      </w:r>
      <w:r>
        <w:rPr>
          <w:rFonts w:ascii="Calibri" w:hAnsi="Calibri"/>
          <w:color w:val="0F172A"/>
          <w:sz w:val="19"/>
        </w:rPr>
        <w:t>Collaborated with cross-functional teams to develop high-impact data products utilising SQL Server and Azure services for efficient large-scale processing, supporting business intelligence initiatives across multiple domains.</w:t>
      </w:r>
    </w:p>
    <w:p>
      <w:pPr>
        <w:spacing w:before="280" w:after="80"/>
      </w:pPr>
      <w:r>
        <w:rPr>
          <w:rFonts w:ascii="Calibri" w:hAnsi="Calibri"/>
          <w:b/>
          <w:color w:val="6B68F0"/>
          <w:sz w:val="19"/>
        </w:rPr>
        <w:t>KEY PROJECTS &amp; ARCHITECTURAL HIGHLIGHTS</w:t>
      </w:r>
    </w:p>
    <w:p>
      <w:pPr>
        <w:spacing w:before="40" w:after="120"/>
        <w:pBdr>
          <w:bottom w:val="single" w:sz="4" w:space="1" w:color="E2E8F0"/>
        </w:pBdr>
      </w:pPr>
    </w:p>
    <w:p>
      <w:pPr>
        <w:spacing w:before="120" w:after="20"/>
      </w:pPr>
      <w:r>
        <w:rPr>
          <w:rFonts w:ascii="Calibri" w:hAnsi="Calibri"/>
          <w:b/>
          <w:color w:val="0F172A"/>
          <w:sz w:val="19"/>
        </w:rPr>
        <w:t>5TB Medallion Lakehouse &amp; Open Table Formats (TCS)</w:t>
      </w:r>
    </w:p>
    <w:p>
      <w:pPr>
        <w:spacing w:after="20"/>
      </w:pPr>
      <w:r>
        <w:rPr>
          <w:rFonts w:ascii="Calibri" w:hAnsi="Calibri"/>
          <w:color w:val="6B68F0"/>
          <w:sz w:val="17"/>
        </w:rPr>
        <w:t>Fabric · Delta Lake · Apache Iceberg · ADLS Gen2 · ADF · Azure Purview</w:t>
      </w:r>
    </w:p>
    <w:p>
      <w:pPr>
        <w:spacing w:after="80"/>
      </w:pPr>
      <w:r>
        <w:rPr>
          <w:rFonts w:ascii="Calibri" w:hAnsi="Calibri"/>
          <w:color w:val="475569"/>
          <w:sz w:val="19"/>
        </w:rPr>
        <w:t>Designed Bronze-Silver-Gold Medallion architecture managing 5TB+ data for EU BFSI clients at TCS. Implemented idempotent MERGE INTO patterns and Delta UniForm/Iceberg interoperability ensuring 100% data consistency across distributed cluster retries. Delivered 99.9% platform reliability with full GDPR data sovereignty compliance.</w:t>
      </w:r>
    </w:p>
    <w:p>
      <w:pPr>
        <w:spacing w:before="120" w:after="20"/>
      </w:pPr>
      <w:r>
        <w:rPr>
          <w:rFonts w:ascii="Calibri" w:hAnsi="Calibri"/>
          <w:b/>
          <w:color w:val="0F172A"/>
          <w:sz w:val="19"/>
        </w:rPr>
        <w:t>Microsoft Fabric Direct Lake Semantic Layer &amp; Copilot (TCS)</w:t>
      </w:r>
    </w:p>
    <w:p>
      <w:pPr>
        <w:spacing w:after="20"/>
      </w:pPr>
      <w:r>
        <w:rPr>
          <w:rFonts w:ascii="Calibri" w:hAnsi="Calibri"/>
          <w:color w:val="6B68F0"/>
          <w:sz w:val="17"/>
        </w:rPr>
        <w:t>Microsoft Fabric · Direct Lake · OneLake · Azure OpenAI · Fabric Copilot · DP-600</w:t>
      </w:r>
    </w:p>
    <w:p>
      <w:pPr>
        <w:spacing w:after="80"/>
      </w:pPr>
      <w:r>
        <w:rPr>
          <w:rFonts w:ascii="Calibri" w:hAnsi="Calibri"/>
          <w:color w:val="475569"/>
          <w:sz w:val="19"/>
        </w:rPr>
        <w:t>Architected resilient Fabric semantic models using Direct Lake mode at TCS over OneLake shortcuts. Managed F64 capacity guardrails (25 GB memory limit) to eliminate all refresh failures, accelerating C-level dashboard render speeds and integrating Copilot-assisted analytics for executive reporting.</w:t>
      </w:r>
    </w:p>
    <w:p>
      <w:pPr>
        <w:spacing w:before="120" w:after="20"/>
      </w:pPr>
      <w:r>
        <w:rPr>
          <w:rFonts w:ascii="Calibri" w:hAnsi="Calibri"/>
          <w:b/>
          <w:color w:val="0F172A"/>
          <w:sz w:val="19"/>
        </w:rPr>
        <w:t>Enterprise GenAI &amp; RAG Data Pipeline Architecture (TCS)</w:t>
      </w:r>
    </w:p>
    <w:p>
      <w:pPr>
        <w:spacing w:after="20"/>
      </w:pPr>
      <w:r>
        <w:rPr>
          <w:rFonts w:ascii="Calibri" w:hAnsi="Calibri"/>
          <w:color w:val="6B68F0"/>
          <w:sz w:val="17"/>
        </w:rPr>
        <w:t>Azure OpenAI · Azure AI Search · Vector Embeddings · PySpark · ADF · Cosmos DB</w:t>
      </w:r>
    </w:p>
    <w:p>
      <w:pPr>
        <w:spacing w:after="80"/>
      </w:pPr>
      <w:r>
        <w:rPr>
          <w:rFonts w:ascii="Calibri" w:hAnsi="Calibri"/>
          <w:color w:val="475569"/>
          <w:sz w:val="19"/>
        </w:rPr>
        <w:t>Engineered scalable ingestion and chunking pipelines preparing enterprise data for retrieval-augmented generation (RAG) and vector search, enabling sub-second semantic retrieval across high-volume enterprise document and transaction repositories.</w:t>
      </w:r>
    </w:p>
    <w:p>
      <w:pPr>
        <w:spacing w:before="120" w:after="20"/>
      </w:pPr>
      <w:r>
        <w:rPr>
          <w:rFonts w:ascii="Calibri" w:hAnsi="Calibri"/>
          <w:b/>
          <w:color w:val="0F172A"/>
          <w:sz w:val="19"/>
        </w:rPr>
        <w:t>FinOps &amp; Compute Optimisation — DIU &amp; Capacity Tuning (TCS)</w:t>
      </w:r>
    </w:p>
    <w:p>
      <w:pPr>
        <w:spacing w:after="20"/>
      </w:pPr>
      <w:r>
        <w:rPr>
          <w:rFonts w:ascii="Calibri" w:hAnsi="Calibri"/>
          <w:color w:val="6B68F0"/>
          <w:sz w:val="17"/>
        </w:rPr>
        <w:t>ADF · DIU Optimisation · Fabric CU Smoothing · Integration Runtime · CI/CD YAML</w:t>
      </w:r>
    </w:p>
    <w:p>
      <w:pPr>
        <w:spacing w:after="80"/>
      </w:pPr>
      <w:r>
        <w:rPr>
          <w:rFonts w:ascii="Calibri" w:hAnsi="Calibri"/>
          <w:color w:val="475569"/>
          <w:sz w:val="19"/>
        </w:rPr>
        <w:t>Led Cloud FinOps initiative at TCS optimizing DIU allocation, cluster parallelism, and Fabric Capacity Units. Resolved Integration Runtime bottlenecks and automated CI/CD via Azure DevOps YAML, delivering a 40% reduction in data processing latency with significant measurable cost savings.</w:t>
      </w:r>
    </w:p>
    <w:p>
      <w:pPr>
        <w:spacing w:before="120" w:after="20"/>
      </w:pPr>
      <w:r>
        <w:rPr>
          <w:rFonts w:ascii="Calibri" w:hAnsi="Calibri"/>
          <w:b/>
          <w:color w:val="0F172A"/>
          <w:sz w:val="19"/>
        </w:rPr>
        <w:t>ADF Pipeline Re-engineering — Small File Elimination (LTI)</w:t>
      </w:r>
    </w:p>
    <w:p>
      <w:pPr>
        <w:spacing w:after="20"/>
      </w:pPr>
      <w:r>
        <w:rPr>
          <w:rFonts w:ascii="Calibri" w:hAnsi="Calibri"/>
          <w:color w:val="6B68F0"/>
          <w:sz w:val="17"/>
        </w:rPr>
        <w:t>Azure Data Factory · Synapse · Power BI · Aggregation Tables · PySpark</w:t>
      </w:r>
    </w:p>
    <w:p>
      <w:pPr>
        <w:spacing w:after="80"/>
      </w:pPr>
      <w:r>
        <w:rPr>
          <w:rFonts w:ascii="Calibri" w:hAnsi="Calibri"/>
          <w:color w:val="475569"/>
          <w:sz w:val="19"/>
        </w:rPr>
        <w:t>Re-engineered legacy ETL pipelines at LTIMindtree to solve the Small File Problem, cutting query execution times by 40%. Simultaneously redesigned Power BI aggregation models, improving report load speeds by 25% across all high-availability business reports.</w:t>
      </w:r>
    </w:p>
    <w:p>
      <w:pPr>
        <w:spacing w:before="280" w:after="80"/>
      </w:pPr>
      <w:r>
        <w:rPr>
          <w:rFonts w:ascii="Calibri" w:hAnsi="Calibri"/>
          <w:b/>
          <w:color w:val="6B68F0"/>
          <w:sz w:val="19"/>
        </w:rPr>
        <w:t>EDUCATION</w:t>
      </w:r>
    </w:p>
    <w:p>
      <w:pPr>
        <w:spacing w:before="40" w:after="120"/>
        <w:pBdr>
          <w:bottom w:val="single" w:sz="4" w:space="1" w:color="E2E8F0"/>
        </w:pBdr>
      </w:pPr>
    </w:p>
    <w:p>
      <w:pPr>
        <w:spacing w:before="80" w:after="20"/>
      </w:pPr>
      <w:r>
        <w:rPr>
          <w:rFonts w:ascii="Calibri" w:hAnsi="Calibri"/>
          <w:b/>
          <w:color w:val="0F172A"/>
          <w:sz w:val="19"/>
        </w:rPr>
        <w:t>B.Tech – Electrical &amp; Electronics Engineering (EEE) — 70%</w:t>
      </w:r>
    </w:p>
    <w:p>
      <w:pPr>
        <w:spacing w:after="40"/>
      </w:pPr>
      <w:r>
        <w:rPr>
          <w:rFonts w:ascii="Calibri" w:hAnsi="Calibri"/>
          <w:color w:val="475569"/>
          <w:sz w:val="18"/>
        </w:rPr>
        <w:t>Raghu Engineering College, Visakhapatnam  |  Aug 2013 – May 2017</w:t>
      </w:r>
    </w:p>
    <w:p>
      <w:pPr>
        <w:spacing w:before="80" w:after="20"/>
      </w:pPr>
      <w:r>
        <w:rPr>
          <w:rFonts w:ascii="Calibri" w:hAnsi="Calibri"/>
          <w:b/>
          <w:color w:val="0F172A"/>
          <w:sz w:val="19"/>
        </w:rPr>
        <w:t>Intermediate – MPC — 90%</w:t>
      </w:r>
    </w:p>
    <w:p>
      <w:pPr>
        <w:spacing w:after="40"/>
      </w:pPr>
      <w:r>
        <w:rPr>
          <w:rFonts w:ascii="Calibri" w:hAnsi="Calibri"/>
          <w:color w:val="475569"/>
          <w:sz w:val="18"/>
        </w:rPr>
        <w:t>Narayana Junior College, Vizianagaram  |  May 2011 – May 2013</w:t>
      </w:r>
    </w:p>
    <w:p>
      <w:pPr>
        <w:spacing w:before="80" w:after="20"/>
      </w:pPr>
      <w:r>
        <w:rPr>
          <w:rFonts w:ascii="Calibri" w:hAnsi="Calibri"/>
          <w:b/>
          <w:color w:val="0F172A"/>
          <w:sz w:val="19"/>
        </w:rPr>
        <w:t>Class 10th — 90%</w:t>
      </w:r>
    </w:p>
    <w:p>
      <w:pPr>
        <w:spacing w:after="40"/>
      </w:pPr>
      <w:r>
        <w:rPr>
          <w:rFonts w:ascii="Calibri" w:hAnsi="Calibri"/>
          <w:color w:val="475569"/>
          <w:sz w:val="18"/>
        </w:rPr>
        <w:t>New Central School, Vizianagaram  |  Mar 2010 – Mar 2011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