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spacing w:after="120"/>
        <w:jc w:val="center"/>
      </w:pPr>
      <w:r>
        <w:rPr>
          <w:rFonts w:ascii="Segoe UI" w:hAnsi="Segoe UI"/>
          <w:b/>
          <w:i w:val="0"/>
          <w:sz w:val="24"/>
        </w:rPr>
        <w:t>CONFIDENTIAL</w:t>
      </w:r>
    </w:p>
    <w:p/>
    <w:p>
      <w:pPr>
        <w:spacing w:after="120"/>
        <w:jc w:val="center"/>
      </w:pPr>
      <w:r>
        <w:rPr>
          <w:rFonts w:ascii="Segoe UI" w:hAnsi="Segoe UI"/>
          <w:b/>
          <w:i w:val="0"/>
          <w:sz w:val="48"/>
        </w:rPr>
        <w:t>TRADEMARK CLEARANCE RESEARCH REPORT</w:t>
      </w:r>
    </w:p>
    <w:p/>
    <w:p>
      <w:pPr>
        <w:spacing w:after="120"/>
        <w:jc w:val="center"/>
      </w:pPr>
      <w:r>
        <w:rPr>
          <w:rFonts w:ascii="Segoe UI" w:hAnsi="Segoe UI"/>
          <w:b/>
          <w:i w:val="0"/>
          <w:sz w:val="36"/>
        </w:rPr>
        <w:t>PTPCatalyst™ and PTPOS™</w:t>
      </w:r>
    </w:p>
    <w:p/>
    <w:p>
      <w:pPr>
        <w:spacing w:after="120"/>
        <w:jc w:val="center"/>
      </w:pPr>
      <w:r>
        <w:rPr>
          <w:rFonts w:ascii="Segoe UI" w:hAnsi="Segoe UI"/>
          <w:b w:val="0"/>
          <w:i w:val="0"/>
          <w:sz w:val="24"/>
        </w:rPr>
        <w:t>Prepared: March 28, 2026</w:t>
      </w:r>
    </w:p>
    <w:p>
      <w:pPr>
        <w:spacing w:after="120"/>
        <w:jc w:val="center"/>
      </w:pPr>
      <w:r>
        <w:rPr>
          <w:rFonts w:ascii="Segoe UI" w:hAnsi="Segoe UI"/>
          <w:b w:val="0"/>
          <w:i w:val="0"/>
          <w:sz w:val="24"/>
        </w:rPr>
        <w:t>Prepared for: Santosh Kanthety</w:t>
      </w:r>
    </w:p>
    <w:p>
      <w:pPr>
        <w:spacing w:after="120"/>
        <w:jc w:val="center"/>
      </w:pPr>
      <w:r>
        <w:rPr>
          <w:rFonts w:ascii="Segoe UI" w:hAnsi="Segoe UI"/>
          <w:b w:val="0"/>
          <w:i/>
          <w:sz w:val="22"/>
        </w:rPr>
        <w:t>Classification: Confidential — Trademark Submission Material</w:t>
      </w:r>
    </w:p>
    <w:p>
      <w:r>
        <w:br w:type="page"/>
      </w:r>
    </w:p>
    <w:p>
      <w:pPr>
        <w:pStyle w:val="Heading1"/>
      </w:pPr>
      <w:r>
        <w:rPr>
          <w:color w:val="0EA5E9"/>
        </w:rPr>
        <w:t>Table of Contents</w:t>
      </w:r>
    </w:p>
    <w:p>
      <w:pPr>
        <w:spacing w:after="120"/>
        <w:jc w:val="left"/>
      </w:pPr>
      <w:r>
        <w:rPr>
          <w:rFonts w:ascii="Segoe UI" w:hAnsi="Segoe UI"/>
          <w:b w:val="0"/>
          <w:i w:val="0"/>
          <w:sz w:val="24"/>
        </w:rPr>
        <w:t>1. Executive Summary</w:t>
      </w:r>
    </w:p>
    <w:p>
      <w:pPr>
        <w:spacing w:after="120"/>
        <w:jc w:val="left"/>
      </w:pPr>
      <w:r>
        <w:rPr>
          <w:rFonts w:ascii="Segoe UI" w:hAnsi="Segoe UI"/>
          <w:b w:val="0"/>
          <w:i w:val="0"/>
          <w:sz w:val="24"/>
        </w:rPr>
        <w:t>2. Search Methodology</w:t>
      </w:r>
    </w:p>
    <w:p>
      <w:pPr>
        <w:spacing w:after="120"/>
        <w:jc w:val="left"/>
      </w:pPr>
      <w:r>
        <w:rPr>
          <w:rFonts w:ascii="Segoe UI" w:hAnsi="Segoe UI"/>
          <w:b w:val="0"/>
          <w:i w:val="0"/>
          <w:sz w:val="24"/>
        </w:rPr>
        <w:t>3. Mark 1: PTPCatalyst™ — Clearance Analysis</w:t>
      </w:r>
    </w:p>
    <w:p>
      <w:pPr>
        <w:spacing w:after="120"/>
        <w:jc w:val="left"/>
      </w:pPr>
      <w:r>
        <w:rPr>
          <w:rFonts w:ascii="Segoe UI" w:hAnsi="Segoe UI"/>
          <w:b w:val="0"/>
          <w:i w:val="0"/>
          <w:sz w:val="24"/>
        </w:rPr>
        <w:t>4. Mark 2: PTPOS™ — Clearance Analysis</w:t>
      </w:r>
    </w:p>
    <w:p>
      <w:pPr>
        <w:spacing w:after="120"/>
        <w:jc w:val="left"/>
      </w:pPr>
      <w:r>
        <w:rPr>
          <w:rFonts w:ascii="Segoe UI" w:hAnsi="Segoe UI"/>
          <w:b w:val="0"/>
          <w:i w:val="0"/>
          <w:sz w:val="24"/>
        </w:rPr>
        <w:t>5. Potentially Similar Marks Analysis</w:t>
      </w:r>
    </w:p>
    <w:p>
      <w:pPr>
        <w:spacing w:after="120"/>
        <w:jc w:val="left"/>
      </w:pPr>
      <w:r>
        <w:rPr>
          <w:rFonts w:ascii="Segoe UI" w:hAnsi="Segoe UI"/>
          <w:b w:val="0"/>
          <w:i w:val="0"/>
          <w:sz w:val="24"/>
        </w:rPr>
        <w:t>6. International Class Analysis</w:t>
      </w:r>
    </w:p>
    <w:p>
      <w:pPr>
        <w:spacing w:after="120"/>
        <w:jc w:val="left"/>
      </w:pPr>
      <w:r>
        <w:rPr>
          <w:rFonts w:ascii="Segoe UI" w:hAnsi="Segoe UI"/>
          <w:b w:val="0"/>
          <w:i w:val="0"/>
          <w:sz w:val="24"/>
        </w:rPr>
        <w:t>7. Common-Law Use Assessment</w:t>
      </w:r>
    </w:p>
    <w:p>
      <w:pPr>
        <w:spacing w:after="120"/>
        <w:jc w:val="left"/>
      </w:pPr>
      <w:r>
        <w:rPr>
          <w:rFonts w:ascii="Segoe UI" w:hAnsi="Segoe UI"/>
          <w:b w:val="0"/>
          <w:i w:val="0"/>
          <w:sz w:val="24"/>
        </w:rPr>
        <w:t>8. Risk Assessment &amp; Recommendations</w:t>
      </w:r>
    </w:p>
    <w:p>
      <w:pPr>
        <w:spacing w:after="120"/>
        <w:jc w:val="left"/>
      </w:pPr>
      <w:r>
        <w:rPr>
          <w:rFonts w:ascii="Segoe UI" w:hAnsi="Segoe UI"/>
          <w:b w:val="0"/>
          <w:i w:val="0"/>
          <w:sz w:val="24"/>
        </w:rPr>
        <w:t>9. Trademark Application Guidance</w:t>
      </w:r>
    </w:p>
    <w:p>
      <w:pPr>
        <w:spacing w:after="120"/>
        <w:jc w:val="left"/>
      </w:pPr>
      <w:r>
        <w:rPr>
          <w:rFonts w:ascii="Segoe UI" w:hAnsi="Segoe UI"/>
          <w:b w:val="0"/>
          <w:i w:val="0"/>
          <w:sz w:val="24"/>
        </w:rPr>
        <w:t>10. Conclusion</w:t>
      </w:r>
    </w:p>
    <w:p>
      <w:r>
        <w:br w:type="page"/>
      </w:r>
    </w:p>
    <w:p>
      <w:pPr>
        <w:pStyle w:val="Heading1"/>
      </w:pPr>
      <w:r>
        <w:rPr>
          <w:color w:val="0EA5E9"/>
        </w:rPr>
        <w:t>1. Executive Summary</w:t>
      </w:r>
    </w:p>
    <w:p>
      <w:pPr>
        <w:spacing w:after="120"/>
        <w:jc w:val="left"/>
      </w:pPr>
      <w:r>
        <w:rPr>
          <w:rFonts w:ascii="Segoe UI" w:hAnsi="Segoe UI"/>
          <w:b w:val="0"/>
          <w:i w:val="0"/>
          <w:sz w:val="22"/>
        </w:rPr>
        <w:t>This report presents the findings of a comprehensive trademark clearance search conducted for two proposed marks: PTPCatalyst™ and PTPOS™. The search was conducted across the United States Patent and Trademark Office (USPTO) database, international trademark databases (WIPO), and common-law sources including commercial databases, domain registrations, and social media platforms.</w:t>
      </w:r>
    </w:p>
    <w:p>
      <w:pPr>
        <w:spacing w:after="120"/>
        <w:jc w:val="left"/>
      </w:pPr>
      <w:r>
        <w:rPr>
          <w:rFonts w:ascii="Segoe UI" w:hAnsi="Segoe UI"/>
          <w:b/>
          <w:i w:val="0"/>
          <w:sz w:val="22"/>
        </w:rPr>
        <w:t>KEY FINDINGS:</w:t>
      </w:r>
    </w:p>
    <w:p>
      <w:pPr>
        <w:pStyle w:val="ListBullet"/>
      </w:pPr>
      <w:r>
        <w:rPr>
          <w:rFonts w:ascii="Segoe UI" w:hAnsi="Segoe UI"/>
          <w:b/>
          <w:sz w:val="22"/>
        </w:rPr>
        <w:t xml:space="preserve">CLEAR — </w:t>
      </w:r>
      <w:r>
        <w:rPr>
          <w:rFonts w:ascii="Segoe UI" w:hAnsi="Segoe UI"/>
          <w:sz w:val="22"/>
        </w:rPr>
        <w:t xml:space="preserve">PTPCatalyst™: </w:t>
      </w:r>
    </w:p>
    <w:p>
      <w:pPr>
        <w:spacing w:after="120"/>
        <w:jc w:val="left"/>
      </w:pPr>
      <w:r>
        <w:rPr>
          <w:rFonts w:ascii="Segoe UI" w:hAnsi="Segoe UI"/>
          <w:b w:val="0"/>
          <w:i w:val="0"/>
          <w:sz w:val="22"/>
        </w:rPr>
        <w:t xml:space="preserve">    No identical or confusingly similar marks found in any relevant trademark class. The mark is a coined compound term with high inherent distinctiveness.</w:t>
      </w:r>
    </w:p>
    <w:p>
      <w:pPr>
        <w:pStyle w:val="ListBullet"/>
      </w:pPr>
      <w:r>
        <w:rPr>
          <w:rFonts w:ascii="Segoe UI" w:hAnsi="Segoe UI"/>
          <w:b/>
          <w:sz w:val="22"/>
        </w:rPr>
        <w:t xml:space="preserve">CLEAR — </w:t>
      </w:r>
      <w:r>
        <w:rPr>
          <w:rFonts w:ascii="Segoe UI" w:hAnsi="Segoe UI"/>
          <w:sz w:val="22"/>
        </w:rPr>
        <w:t xml:space="preserve">PTPOS™: </w:t>
      </w:r>
    </w:p>
    <w:p>
      <w:pPr>
        <w:spacing w:after="120"/>
        <w:jc w:val="left"/>
      </w:pPr>
      <w:r>
        <w:rPr>
          <w:rFonts w:ascii="Segoe UI" w:hAnsi="Segoe UI"/>
          <w:b w:val="0"/>
          <w:i w:val="0"/>
          <w:sz w:val="22"/>
        </w:rPr>
        <w:t xml:space="preserve">    No identical or confusingly similar marks found in any trademark database or common-law source. PTPOS is an invented acronym with no pre-existing meaning.</w:t>
      </w:r>
    </w:p>
    <w:p>
      <w:pPr>
        <w:pStyle w:val="ListBullet"/>
      </w:pPr>
      <w:r>
        <w:rPr>
          <w:rFonts w:ascii="Segoe UI" w:hAnsi="Segoe UI"/>
          <w:sz w:val="22"/>
        </w:rPr>
        <w:t>Both marks are highly registrable and recommended for immediate filing under International Classes 35, 41, and 42.</w:t>
      </w:r>
    </w:p>
    <w:p>
      <w:r>
        <w:br w:type="page"/>
      </w:r>
    </w:p>
    <w:p>
      <w:pPr>
        <w:pStyle w:val="Heading1"/>
      </w:pPr>
      <w:r>
        <w:rPr>
          <w:color w:val="0EA5E9"/>
        </w:rPr>
        <w:t>2. Search Methodology</w:t>
      </w:r>
    </w:p>
    <w:p>
      <w:pPr>
        <w:spacing w:after="120"/>
        <w:jc w:val="left"/>
      </w:pPr>
      <w:r>
        <w:rPr>
          <w:rFonts w:ascii="Segoe UI" w:hAnsi="Segoe UI"/>
          <w:b w:val="0"/>
          <w:i w:val="0"/>
          <w:sz w:val="22"/>
        </w:rPr>
        <w:t>The following databases and sources were searched:</w:t>
      </w:r>
    </w:p>
    <w:p>
      <w:pPr>
        <w:pStyle w:val="Heading2"/>
      </w:pPr>
      <w:r>
        <w:rPr>
          <w:color w:val="0EA5E9"/>
        </w:rPr>
        <w:t>2.1 Federal Trademark Databases</w:t>
      </w:r>
    </w:p>
    <w:p>
      <w:pPr>
        <w:pStyle w:val="ListBullet"/>
      </w:pPr>
      <w:r>
        <w:rPr>
          <w:rFonts w:ascii="Segoe UI" w:hAnsi="Segoe UI"/>
          <w:sz w:val="22"/>
        </w:rPr>
        <w:t>USPTO Trademark Search System (tmsearch.uspto.gov) — Searched for exact matches, phonetic equivalents, and visually similar marks</w:t>
      </w:r>
    </w:p>
    <w:p>
      <w:pPr>
        <w:pStyle w:val="ListBullet"/>
      </w:pPr>
      <w:r>
        <w:rPr>
          <w:rFonts w:ascii="Segoe UI" w:hAnsi="Segoe UI"/>
          <w:sz w:val="22"/>
        </w:rPr>
        <w:t>USPTO Trademark Status &amp; Document Retrieval (TSDR) — Cross-referenced any potential matches for status verification</w:t>
      </w:r>
    </w:p>
    <w:p>
      <w:pPr>
        <w:pStyle w:val="Heading2"/>
      </w:pPr>
      <w:r>
        <w:rPr>
          <w:color w:val="0EA5E9"/>
        </w:rPr>
        <w:t>2.2 Search Terms Used</w:t>
      </w:r>
    </w:p>
    <w:p>
      <w:pPr>
        <w:pStyle w:val="ListBullet"/>
      </w:pPr>
      <w:r>
        <w:rPr>
          <w:rFonts w:ascii="Segoe UI" w:hAnsi="Segoe UI"/>
          <w:sz w:val="22"/>
        </w:rPr>
        <w:t>"PTPCatalyst" (exact match)</w:t>
      </w:r>
    </w:p>
    <w:p>
      <w:pPr>
        <w:pStyle w:val="ListBullet"/>
      </w:pPr>
      <w:r>
        <w:rPr>
          <w:rFonts w:ascii="Segoe UI" w:hAnsi="Segoe UI"/>
          <w:sz w:val="22"/>
        </w:rPr>
        <w:t>"PTP Catalyst" (with space)</w:t>
      </w:r>
    </w:p>
    <w:p>
      <w:pPr>
        <w:pStyle w:val="ListBullet"/>
      </w:pPr>
      <w:r>
        <w:rPr>
          <w:rFonts w:ascii="Segoe UI" w:hAnsi="Segoe UI"/>
          <w:sz w:val="22"/>
        </w:rPr>
        <w:t>"PTPOS" (exact match)</w:t>
      </w:r>
    </w:p>
    <w:p>
      <w:pPr>
        <w:pStyle w:val="ListBullet"/>
      </w:pPr>
      <w:r>
        <w:rPr>
          <w:rFonts w:ascii="Segoe UI" w:hAnsi="Segoe UI"/>
          <w:sz w:val="22"/>
        </w:rPr>
        <w:t>"PTP" (standalone acronym, filtered by Class 35, 41, 42)</w:t>
      </w:r>
    </w:p>
    <w:p>
      <w:pPr>
        <w:pStyle w:val="ListBullet"/>
      </w:pPr>
      <w:r>
        <w:rPr>
          <w:rFonts w:ascii="Segoe UI" w:hAnsi="Segoe UI"/>
          <w:sz w:val="22"/>
        </w:rPr>
        <w:t>"Catalyst" combined with business/consulting/framework terms</w:t>
      </w:r>
    </w:p>
    <w:p>
      <w:pPr>
        <w:pStyle w:val="ListBullet"/>
      </w:pPr>
      <w:r>
        <w:rPr>
          <w:rFonts w:ascii="Segoe UI" w:hAnsi="Segoe UI"/>
          <w:sz w:val="22"/>
        </w:rPr>
        <w:t>Phonetic equivalents and common misspellings</w:t>
      </w:r>
    </w:p>
    <w:p>
      <w:pPr>
        <w:pStyle w:val="Heading2"/>
      </w:pPr>
      <w:r>
        <w:rPr>
          <w:color w:val="0EA5E9"/>
        </w:rPr>
        <w:t>2.3 International Databases</w:t>
      </w:r>
    </w:p>
    <w:p>
      <w:pPr>
        <w:pStyle w:val="ListBullet"/>
      </w:pPr>
      <w:r>
        <w:rPr>
          <w:rFonts w:ascii="Segoe UI" w:hAnsi="Segoe UI"/>
          <w:sz w:val="22"/>
        </w:rPr>
        <w:t>WIPO Global Brand Database</w:t>
      </w:r>
    </w:p>
    <w:p>
      <w:pPr>
        <w:pStyle w:val="ListBullet"/>
      </w:pPr>
      <w:r>
        <w:rPr>
          <w:rFonts w:ascii="Segoe UI" w:hAnsi="Segoe UI"/>
          <w:sz w:val="22"/>
        </w:rPr>
        <w:t>European Union Intellectual Property Office (EUIPO)</w:t>
      </w:r>
    </w:p>
    <w:p>
      <w:pPr>
        <w:pStyle w:val="ListBullet"/>
      </w:pPr>
      <w:r>
        <w:rPr>
          <w:rFonts w:ascii="Segoe UI" w:hAnsi="Segoe UI"/>
          <w:sz w:val="22"/>
        </w:rPr>
        <w:t>Hong Kong Intellectual Property Department</w:t>
      </w:r>
    </w:p>
    <w:p>
      <w:pPr>
        <w:pStyle w:val="Heading2"/>
      </w:pPr>
      <w:r>
        <w:rPr>
          <w:color w:val="0EA5E9"/>
        </w:rPr>
        <w:t>2.4 Common-Law Sources</w:t>
      </w:r>
    </w:p>
    <w:p>
      <w:pPr>
        <w:pStyle w:val="ListBullet"/>
      </w:pPr>
      <w:r>
        <w:rPr>
          <w:rFonts w:ascii="Segoe UI" w:hAnsi="Segoe UI"/>
          <w:sz w:val="22"/>
        </w:rPr>
        <w:t>Web search engines (Google, Bing) for commercial use</w:t>
      </w:r>
    </w:p>
    <w:p>
      <w:pPr>
        <w:pStyle w:val="ListBullet"/>
      </w:pPr>
      <w:r>
        <w:rPr>
          <w:rFonts w:ascii="Segoe UI" w:hAnsi="Segoe UI"/>
          <w:sz w:val="22"/>
        </w:rPr>
        <w:t>Domain name registrations (WHOIS databases)</w:t>
      </w:r>
    </w:p>
    <w:p>
      <w:pPr>
        <w:pStyle w:val="ListBullet"/>
      </w:pPr>
      <w:r>
        <w:rPr>
          <w:rFonts w:ascii="Segoe UI" w:hAnsi="Segoe UI"/>
          <w:sz w:val="22"/>
        </w:rPr>
        <w:t>Social media platforms (LinkedIn, Twitter/X, Facebook)</w:t>
      </w:r>
    </w:p>
    <w:p>
      <w:pPr>
        <w:pStyle w:val="ListBullet"/>
      </w:pPr>
      <w:r>
        <w:rPr>
          <w:rFonts w:ascii="Segoe UI" w:hAnsi="Segoe UI"/>
          <w:sz w:val="22"/>
        </w:rPr>
        <w:t>Business directories and databases</w:t>
      </w:r>
    </w:p>
    <w:p>
      <w:pPr>
        <w:pStyle w:val="ListBullet"/>
      </w:pPr>
      <w:r>
        <w:rPr>
          <w:rFonts w:ascii="Segoe UI" w:hAnsi="Segoe UI"/>
          <w:sz w:val="22"/>
        </w:rPr>
        <w:t>Academic and technical publications</w:t>
      </w:r>
    </w:p>
    <w:p>
      <w:r>
        <w:br w:type="page"/>
      </w:r>
    </w:p>
    <w:p>
      <w:pPr>
        <w:pStyle w:val="Heading1"/>
      </w:pPr>
      <w:r>
        <w:rPr>
          <w:color w:val="0EA5E9"/>
        </w:rPr>
        <w:t>3. Mark 1: PTPCatalyst™ — Clearance Analysis</w:t>
      </w:r>
    </w:p>
    <w:p>
      <w:pPr>
        <w:pStyle w:val="Heading2"/>
      </w:pPr>
      <w:r>
        <w:rPr>
          <w:color w:val="0EA5E9"/>
        </w:rPr>
        <w:t>3.1 USPTO Search Results</w:t>
      </w:r>
    </w:p>
    <w:p>
      <w:pPr>
        <w:spacing w:after="120"/>
        <w:jc w:val="left"/>
      </w:pPr>
      <w:r>
        <w:rPr>
          <w:rFonts w:ascii="Segoe UI" w:hAnsi="Segoe UI"/>
          <w:b/>
          <w:i w:val="0"/>
          <w:sz w:val="22"/>
        </w:rPr>
        <w:t>RESULT: No active (LIVE) registrations or pending applications found for 'PTPCatalyst' or 'PTP Catalyst' in any international class.</w:t>
      </w:r>
    </w:p>
    <w:p>
      <w:pPr>
        <w:spacing w:after="120"/>
        <w:jc w:val="left"/>
      </w:pPr>
      <w:r>
        <w:rPr>
          <w:rFonts w:ascii="Segoe UI" w:hAnsi="Segoe UI"/>
          <w:b w:val="0"/>
          <w:i w:val="0"/>
          <w:sz w:val="22"/>
        </w:rPr>
        <w:t>A comprehensive search of the USPTO trademark database returned zero results for the exact mark 'PTPCatalyst' or the spaced variant 'PTP Catalyst.' No pending applications, abandoned applications, or active registrations were identified.</w:t>
      </w:r>
    </w:p>
    <w:p>
      <w:pPr>
        <w:pStyle w:val="Heading2"/>
      </w:pPr>
      <w:r>
        <w:rPr>
          <w:color w:val="0EA5E9"/>
        </w:rPr>
        <w:t>3.2 Component Analysis: 'PTP'</w:t>
      </w:r>
    </w:p>
    <w:p>
      <w:pPr>
        <w:spacing w:after="120"/>
        <w:jc w:val="left"/>
      </w:pPr>
      <w:r>
        <w:rPr>
          <w:rFonts w:ascii="Segoe UI" w:hAnsi="Segoe UI"/>
          <w:b w:val="0"/>
          <w:i w:val="0"/>
          <w:sz w:val="22"/>
        </w:rPr>
        <w:t>The acronym 'PTP' appears in the USPTO database primarily in the following contexts:</w:t>
      </w:r>
    </w:p>
    <w:p>
      <w:pPr>
        <w:pStyle w:val="ListBullet"/>
      </w:pPr>
      <w:r>
        <w:rPr>
          <w:rFonts w:ascii="Segoe UI" w:hAnsi="Segoe UI"/>
          <w:sz w:val="22"/>
        </w:rPr>
        <w:t>Precision Time Protocol — Technical networking standard (IEEE 1588), used by Cisco and other networking vendors. Falls under International Class 9 (scientific/technical apparatus). NOT in conflict with Class 35/41/42 business consulting services.</w:t>
      </w:r>
    </w:p>
    <w:p>
      <w:pPr>
        <w:pStyle w:val="ListBullet"/>
      </w:pPr>
      <w:r>
        <w:rPr>
          <w:rFonts w:ascii="Segoe UI" w:hAnsi="Segoe UI"/>
          <w:sz w:val="22"/>
        </w:rPr>
        <w:t>Various unrelated registrations using 'PTP' as initials for entities in different industries (e.g., entertainment, real estate, food services). None are in the business consulting or technology framework space.</w:t>
      </w:r>
    </w:p>
    <w:p>
      <w:pPr>
        <w:spacing w:after="120"/>
        <w:jc w:val="left"/>
      </w:pPr>
      <w:r>
        <w:rPr>
          <w:rFonts w:ascii="Segoe UI" w:hAnsi="Segoe UI"/>
          <w:b/>
          <w:i w:val="0"/>
          <w:sz w:val="22"/>
        </w:rPr>
        <w:t>ASSESSMENT: While 'PTP' as a standalone acronym has some existing trademark presence, the compound mark 'PTPCatalyst' is sufficiently distinctive as a coined term. The combination creates a new, unique commercial impression that does not overlap with any existing marks.</w:t>
      </w:r>
    </w:p>
    <w:p>
      <w:pPr>
        <w:pStyle w:val="Heading2"/>
      </w:pPr>
      <w:r>
        <w:rPr>
          <w:color w:val="0EA5E9"/>
        </w:rPr>
        <w:t>3.3 Component Analysis: 'Catalyst'</w:t>
      </w:r>
    </w:p>
    <w:p>
      <w:pPr>
        <w:spacing w:after="120"/>
        <w:jc w:val="left"/>
      </w:pPr>
      <w:r>
        <w:rPr>
          <w:rFonts w:ascii="Segoe UI" w:hAnsi="Segoe UI"/>
          <w:b w:val="0"/>
          <w:i w:val="0"/>
          <w:sz w:val="22"/>
        </w:rPr>
        <w:t>The word 'Catalyst' is a common English word and appears in numerous trademark registrations. However:</w:t>
      </w:r>
    </w:p>
    <w:p>
      <w:pPr>
        <w:pStyle w:val="ListBullet"/>
      </w:pPr>
      <w:r>
        <w:rPr>
          <w:rFonts w:ascii="Segoe UI" w:hAnsi="Segoe UI"/>
          <w:sz w:val="22"/>
        </w:rPr>
        <w:t>No registrations combine 'PTP' with 'Catalyst' in any form</w:t>
      </w:r>
    </w:p>
    <w:p>
      <w:pPr>
        <w:pStyle w:val="ListBullet"/>
      </w:pPr>
      <w:r>
        <w:rPr>
          <w:rFonts w:ascii="Segoe UI" w:hAnsi="Segoe UI"/>
          <w:sz w:val="22"/>
        </w:rPr>
        <w:t>'Catalyst' in Class 35 is typically used by unrelated consulting firms with completely different prefixes or branding (e.g., 'Catalyst Consulting Group,' 'Innovation Catalyst')</w:t>
      </w:r>
    </w:p>
    <w:p>
      <w:pPr>
        <w:pStyle w:val="ListBullet"/>
      </w:pPr>
      <w:r>
        <w:rPr>
          <w:rFonts w:ascii="Segoe UI" w:hAnsi="Segoe UI"/>
          <w:sz w:val="22"/>
        </w:rPr>
        <w:t>The compound 'PTPCatalyst' creates a unique commercial impression distinct from any existing 'Catalyst' mark</w:t>
      </w:r>
    </w:p>
    <w:p>
      <w:pPr>
        <w:spacing w:after="120"/>
        <w:jc w:val="left"/>
      </w:pPr>
      <w:r>
        <w:rPr>
          <w:rFonts w:ascii="Segoe UI" w:hAnsi="Segoe UI"/>
          <w:b/>
          <w:i w:val="0"/>
          <w:sz w:val="22"/>
        </w:rPr>
        <w:t>ASSESSMENT: The addition of 'PTP' to 'Catalyst' creates a distinctive compound mark. The USPTO evaluates marks in their entirety, and the overall commercial impression of 'PTPCatalyst' is sufficiently different from any existing 'Catalyst' marks.</w:t>
      </w:r>
    </w:p>
    <w:p>
      <w:r>
        <w:br w:type="page"/>
      </w:r>
    </w:p>
    <w:p>
      <w:pPr>
        <w:pStyle w:val="Heading1"/>
      </w:pPr>
      <w:r>
        <w:rPr>
          <w:color w:val="0EA5E9"/>
        </w:rPr>
        <w:t>4. Mark 2: PTPOS™ — Clearance Analysis</w:t>
      </w:r>
    </w:p>
    <w:p>
      <w:pPr>
        <w:pStyle w:val="Heading2"/>
      </w:pPr>
      <w:r>
        <w:rPr>
          <w:color w:val="0EA5E9"/>
        </w:rPr>
        <w:t>4.1 USPTO Search Results</w:t>
      </w:r>
    </w:p>
    <w:p>
      <w:pPr>
        <w:spacing w:after="120"/>
        <w:jc w:val="left"/>
      </w:pPr>
      <w:r>
        <w:rPr>
          <w:rFonts w:ascii="Segoe UI" w:hAnsi="Segoe UI"/>
          <w:b/>
          <w:i w:val="0"/>
          <w:sz w:val="22"/>
        </w:rPr>
        <w:t>RESULT: No registrations or pending applications found for 'PTPOS' in any international class.</w:t>
      </w:r>
    </w:p>
    <w:p>
      <w:pPr>
        <w:spacing w:after="120"/>
        <w:jc w:val="left"/>
      </w:pPr>
      <w:r>
        <w:rPr>
          <w:rFonts w:ascii="Segoe UI" w:hAnsi="Segoe UI"/>
          <w:b w:val="0"/>
          <w:i w:val="0"/>
          <w:sz w:val="22"/>
        </w:rPr>
        <w:t>A comprehensive search of the USPTO trademark database returned zero results for the exact mark 'PTPOS.' No pending applications, abandoned applications, or active registrations were identified for this term or any phonetically similar term.</w:t>
      </w:r>
    </w:p>
    <w:p>
      <w:pPr>
        <w:pStyle w:val="Heading2"/>
      </w:pPr>
      <w:r>
        <w:rPr>
          <w:color w:val="0EA5E9"/>
        </w:rPr>
        <w:t>4.2 Distinctiveness Assessment</w:t>
      </w:r>
    </w:p>
    <w:p>
      <w:pPr>
        <w:spacing w:after="120"/>
        <w:jc w:val="left"/>
      </w:pPr>
      <w:r>
        <w:rPr>
          <w:rFonts w:ascii="Segoe UI" w:hAnsi="Segoe UI"/>
          <w:b w:val="0"/>
          <w:i w:val="0"/>
          <w:sz w:val="22"/>
        </w:rPr>
        <w:t>PTPOS is a coined acronym standing for 'PTP Operating Strategy.' As an invented term with no pre-existing dictionary meaning, PTPOS qualifies as a 'fanciful' mark — the strongest category of trademark protection under the Abercrombie spectrum of trademark distinctiveness.</w:t>
      </w:r>
    </w:p>
    <w:p>
      <w:pPr>
        <w:pStyle w:val="ListBullet"/>
      </w:pPr>
      <w:r>
        <w:rPr>
          <w:rFonts w:ascii="Segoe UI" w:hAnsi="Segoe UI"/>
          <w:sz w:val="22"/>
        </w:rPr>
        <w:t>PTPOS has no dictionary definition in any language</w:t>
      </w:r>
    </w:p>
    <w:p>
      <w:pPr>
        <w:pStyle w:val="ListBullet"/>
      </w:pPr>
      <w:r>
        <w:rPr>
          <w:rFonts w:ascii="Segoe UI" w:hAnsi="Segoe UI"/>
          <w:sz w:val="22"/>
        </w:rPr>
        <w:t>No commercial use of 'PTPOS' was found in any industry</w:t>
      </w:r>
    </w:p>
    <w:p>
      <w:pPr>
        <w:pStyle w:val="ListBullet"/>
      </w:pPr>
      <w:r>
        <w:rPr>
          <w:rFonts w:ascii="Segoe UI" w:hAnsi="Segoe UI"/>
          <w:sz w:val="22"/>
        </w:rPr>
        <w:t>No academic or technical use of 'PTPOS' as an acronym was found</w:t>
      </w:r>
    </w:p>
    <w:p>
      <w:pPr>
        <w:pStyle w:val="ListBullet"/>
      </w:pPr>
      <w:r>
        <w:rPr>
          <w:rFonts w:ascii="Segoe UI" w:hAnsi="Segoe UI"/>
          <w:sz w:val="22"/>
        </w:rPr>
        <w:t>The term creates a unique commercial impression</w:t>
      </w:r>
    </w:p>
    <w:p>
      <w:pPr>
        <w:spacing w:after="120"/>
        <w:jc w:val="left"/>
      </w:pPr>
      <w:r>
        <w:rPr>
          <w:rFonts w:ascii="Segoe UI" w:hAnsi="Segoe UI"/>
          <w:b/>
          <w:i w:val="0"/>
          <w:sz w:val="22"/>
        </w:rPr>
        <w:t>ASSESSMENT: PTPOS is an exceptionally strong candidate for trademark registration due to its fanciful/coined nature. The likelihood of any office action or opposition is minimal.</w:t>
      </w:r>
    </w:p>
    <w:p>
      <w:r>
        <w:br w:type="page"/>
      </w:r>
    </w:p>
    <w:p>
      <w:pPr>
        <w:pStyle w:val="Heading1"/>
      </w:pPr>
      <w:r>
        <w:rPr>
          <w:color w:val="0EA5E9"/>
        </w:rPr>
        <w:t>5. Potentially Similar Marks Analysis</w:t>
      </w:r>
    </w:p>
    <w:p>
      <w:pPr>
        <w:spacing w:after="120"/>
        <w:jc w:val="left"/>
      </w:pPr>
      <w:r>
        <w:rPr>
          <w:rFonts w:ascii="Segoe UI" w:hAnsi="Segoe UI"/>
          <w:b w:val="0"/>
          <w:i w:val="0"/>
          <w:sz w:val="22"/>
        </w:rPr>
        <w:t>The following marks were identified as having potential (but ultimately non-conflicting) similarity to the proposed marks: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20"/>
              </w:rPr>
              <w:t>Existing Mark</w:t>
            </w:r>
          </w:p>
        </w:tc>
        <w:tc>
          <w:tcPr>
            <w:tcW w:type="dxa" w:w="1728"/>
          </w:tcPr>
          <w:p>
            <w:r>
              <w:rPr>
                <w:b/>
                <w:sz w:val="20"/>
              </w:rPr>
              <w:t>Owner</w:t>
            </w:r>
          </w:p>
        </w:tc>
        <w:tc>
          <w:tcPr>
            <w:tcW w:type="dxa" w:w="1728"/>
          </w:tcPr>
          <w:p>
            <w:r>
              <w:rPr>
                <w:b/>
                <w:sz w:val="20"/>
              </w:rPr>
              <w:t>Class</w:t>
            </w:r>
          </w:p>
        </w:tc>
        <w:tc>
          <w:tcPr>
            <w:tcW w:type="dxa" w:w="1728"/>
          </w:tcPr>
          <w:p>
            <w:r>
              <w:rPr>
                <w:b/>
                <w:sz w:val="20"/>
              </w:rPr>
              <w:t>Status</w:t>
            </w:r>
          </w:p>
        </w:tc>
        <w:tc>
          <w:tcPr>
            <w:tcW w:type="dxa" w:w="1728"/>
          </w:tcPr>
          <w:p>
            <w:r>
              <w:rPr>
                <w:b/>
                <w:sz w:val="20"/>
              </w:rPr>
              <w:t>Conflict Risk</w:t>
            </w:r>
          </w:p>
        </w:tc>
      </w:tr>
      <w:tr>
        <w:tc>
          <w:tcPr>
            <w:tcW w:type="dxa" w:w="1728"/>
          </w:tcPr>
          <w:p>
            <w:r>
              <w:t>PTP (various)</w:t>
            </w:r>
          </w:p>
        </w:tc>
        <w:tc>
          <w:tcPr>
            <w:tcW w:type="dxa" w:w="1728"/>
          </w:tcPr>
          <w:p>
            <w:r>
              <w:t>Multiple owners</w:t>
            </w:r>
          </w:p>
        </w:tc>
        <w:tc>
          <w:tcPr>
            <w:tcW w:type="dxa" w:w="1728"/>
          </w:tcPr>
          <w:p>
            <w:r>
              <w:t>9, 25, 41</w:t>
            </w:r>
          </w:p>
        </w:tc>
        <w:tc>
          <w:tcPr>
            <w:tcW w:type="dxa" w:w="1728"/>
          </w:tcPr>
          <w:p>
            <w:r>
              <w:t>Various</w:t>
            </w:r>
          </w:p>
        </w:tc>
        <w:tc>
          <w:tcPr>
            <w:tcW w:type="dxa" w:w="1728"/>
          </w:tcPr>
          <w:p>
            <w:r>
              <w:t>LOW — Different classes and services</w:t>
            </w:r>
          </w:p>
        </w:tc>
      </w:tr>
      <w:tr>
        <w:tc>
          <w:tcPr>
            <w:tcW w:type="dxa" w:w="1728"/>
          </w:tcPr>
          <w:p>
            <w:r>
              <w:t>Catalyst Consulting</w:t>
            </w:r>
          </w:p>
        </w:tc>
        <w:tc>
          <w:tcPr>
            <w:tcW w:type="dxa" w:w="1728"/>
          </w:tcPr>
          <w:p>
            <w:r>
              <w:t>Multiple entities</w:t>
            </w:r>
          </w:p>
        </w:tc>
        <w:tc>
          <w:tcPr>
            <w:tcW w:type="dxa" w:w="1728"/>
          </w:tcPr>
          <w:p>
            <w:r>
              <w:t>35</w:t>
            </w:r>
          </w:p>
        </w:tc>
        <w:tc>
          <w:tcPr>
            <w:tcW w:type="dxa" w:w="1728"/>
          </w:tcPr>
          <w:p>
            <w:r>
              <w:t>Live</w:t>
            </w:r>
          </w:p>
        </w:tc>
        <w:tc>
          <w:tcPr>
            <w:tcW w:type="dxa" w:w="1728"/>
          </w:tcPr>
          <w:p>
            <w:r>
              <w:t>LOW — Distinct compound mark vs. generic</w:t>
            </w:r>
          </w:p>
        </w:tc>
      </w:tr>
      <w:tr>
        <w:tc>
          <w:tcPr>
            <w:tcW w:type="dxa" w:w="1728"/>
          </w:tcPr>
          <w:p>
            <w:r>
              <w:t>Innovation Catalyst</w:t>
            </w:r>
          </w:p>
        </w:tc>
        <w:tc>
          <w:tcPr>
            <w:tcW w:type="dxa" w:w="1728"/>
          </w:tcPr>
          <w:p>
            <w:r>
              <w:t>Various</w:t>
            </w:r>
          </w:p>
        </w:tc>
        <w:tc>
          <w:tcPr>
            <w:tcW w:type="dxa" w:w="1728"/>
          </w:tcPr>
          <w:p>
            <w:r>
              <w:t>35, 42</w:t>
            </w:r>
          </w:p>
        </w:tc>
        <w:tc>
          <w:tcPr>
            <w:tcW w:type="dxa" w:w="1728"/>
          </w:tcPr>
          <w:p>
            <w:r>
              <w:t>Various</w:t>
            </w:r>
          </w:p>
        </w:tc>
        <w:tc>
          <w:tcPr>
            <w:tcW w:type="dxa" w:w="1728"/>
          </w:tcPr>
          <w:p>
            <w:r>
              <w:t>NONE — Different commercial impression</w:t>
            </w:r>
          </w:p>
        </w:tc>
      </w:tr>
      <w:tr>
        <w:tc>
          <w:tcPr>
            <w:tcW w:type="dxa" w:w="1728"/>
          </w:tcPr>
          <w:p>
            <w:r>
              <w:t>Business Catalyst</w:t>
            </w:r>
          </w:p>
        </w:tc>
        <w:tc>
          <w:tcPr>
            <w:tcW w:type="dxa" w:w="1728"/>
          </w:tcPr>
          <w:p>
            <w:r>
              <w:t>Various</w:t>
            </w:r>
          </w:p>
        </w:tc>
        <w:tc>
          <w:tcPr>
            <w:tcW w:type="dxa" w:w="1728"/>
          </w:tcPr>
          <w:p>
            <w:r>
              <w:t>35</w:t>
            </w:r>
          </w:p>
        </w:tc>
        <w:tc>
          <w:tcPr>
            <w:tcW w:type="dxa" w:w="1728"/>
          </w:tcPr>
          <w:p>
            <w:r>
              <w:t>Various</w:t>
            </w:r>
          </w:p>
        </w:tc>
        <w:tc>
          <w:tcPr>
            <w:tcW w:type="dxa" w:w="1728"/>
          </w:tcPr>
          <w:p>
            <w:r>
              <w:t>NONE — Different prefix, different impression</w:t>
            </w:r>
          </w:p>
        </w:tc>
      </w:tr>
      <w:tr>
        <w:tc>
          <w:tcPr>
            <w:tcW w:type="dxa" w:w="1728"/>
          </w:tcPr>
          <w:p>
            <w:r>
              <w:t>Digital Catalyst</w:t>
            </w:r>
          </w:p>
        </w:tc>
        <w:tc>
          <w:tcPr>
            <w:tcW w:type="dxa" w:w="1728"/>
          </w:tcPr>
          <w:p>
            <w:r>
              <w:t>Various</w:t>
            </w:r>
          </w:p>
        </w:tc>
        <w:tc>
          <w:tcPr>
            <w:tcW w:type="dxa" w:w="1728"/>
          </w:tcPr>
          <w:p>
            <w:r>
              <w:t>42</w:t>
            </w:r>
          </w:p>
        </w:tc>
        <w:tc>
          <w:tcPr>
            <w:tcW w:type="dxa" w:w="1728"/>
          </w:tcPr>
          <w:p>
            <w:r>
              <w:t>Various</w:t>
            </w:r>
          </w:p>
        </w:tc>
        <w:tc>
          <w:tcPr>
            <w:tcW w:type="dxa" w:w="1728"/>
          </w:tcPr>
          <w:p>
            <w:r>
              <w:t>NONE — Different prefix, different impression</w:t>
            </w:r>
          </w:p>
        </w:tc>
      </w:tr>
    </w:tbl>
    <w:p>
      <w:pPr>
        <w:spacing w:after="120"/>
        <w:jc w:val="left"/>
      </w:pPr>
      <w:r>
        <w:rPr>
          <w:rFonts w:ascii="Segoe UI" w:hAnsi="Segoe UI"/>
          <w:b w:val="0"/>
          <w:i w:val="0"/>
          <w:sz w:val="22"/>
        </w:rPr>
      </w:r>
    </w:p>
    <w:p>
      <w:pPr>
        <w:spacing w:after="120"/>
        <w:jc w:val="left"/>
      </w:pPr>
      <w:r>
        <w:rPr>
          <w:rFonts w:ascii="Segoe UI" w:hAnsi="Segoe UI"/>
          <w:b/>
          <w:i w:val="0"/>
          <w:sz w:val="22"/>
        </w:rPr>
        <w:t>CONCLUSION: No identified marks present a meaningful risk of confusion with either PTPCatalyst™ or PTPOS™. The proposed marks are sufficiently distinctive to avoid any likelihood-of-confusion rejection under Section 2(d) of the Lanham Act.</w:t>
      </w:r>
    </w:p>
    <w:p>
      <w:r>
        <w:br w:type="page"/>
      </w:r>
    </w:p>
    <w:p>
      <w:pPr>
        <w:pStyle w:val="Heading1"/>
      </w:pPr>
      <w:r>
        <w:rPr>
          <w:color w:val="0EA5E9"/>
        </w:rPr>
        <w:t>6. International Class Analysis</w:t>
      </w:r>
    </w:p>
    <w:p>
      <w:pPr>
        <w:spacing w:after="120"/>
        <w:jc w:val="left"/>
      </w:pPr>
      <w:r>
        <w:rPr>
          <w:rFonts w:ascii="Segoe UI" w:hAnsi="Segoe UI"/>
          <w:b w:val="0"/>
          <w:i w:val="0"/>
          <w:sz w:val="22"/>
        </w:rPr>
        <w:t>The following international classes are recommended for filing both PTPCatalyst™ and PTPOS™:</w:t>
      </w:r>
    </w:p>
    <w:p>
      <w:pPr>
        <w:pStyle w:val="Heading2"/>
      </w:pPr>
      <w:r>
        <w:rPr>
          <w:color w:val="0EA5E9"/>
        </w:rPr>
        <w:t>Class 35 — Business Consulting &amp; Management Services (PRIMARY)</w:t>
      </w:r>
    </w:p>
    <w:p>
      <w:pPr>
        <w:spacing w:after="120"/>
        <w:jc w:val="left"/>
      </w:pPr>
      <w:r>
        <w:rPr>
          <w:rFonts w:ascii="Segoe UI" w:hAnsi="Segoe UI"/>
          <w:b w:val="0"/>
          <w:i w:val="0"/>
          <w:sz w:val="22"/>
        </w:rPr>
        <w:t>Description of Goods/Services for Filing:</w:t>
      </w:r>
    </w:p>
    <w:p>
      <w:pPr>
        <w:spacing w:after="120"/>
        <w:jc w:val="left"/>
      </w:pPr>
      <w:r>
        <w:rPr>
          <w:rFonts w:ascii="Segoe UI" w:hAnsi="Segoe UI"/>
          <w:b w:val="0"/>
          <w:i/>
          <w:sz w:val="22"/>
        </w:rPr>
        <w:t>Business management consulting services; business strategy consulting; organizational change management consulting services; providing a proprietary framework and methodology for business transformation using people-centered, technology-enabled, process-driven approaches; business process optimization consulting; providing industry-specific business implementation playbooks and operational strategy services.</w:t>
      </w:r>
    </w:p>
    <w:p>
      <w:pPr>
        <w:pStyle w:val="Heading2"/>
      </w:pPr>
      <w:r>
        <w:rPr>
          <w:color w:val="0EA5E9"/>
        </w:rPr>
        <w:t>Class 41 — Education &amp; Training Services</w:t>
      </w:r>
    </w:p>
    <w:p>
      <w:pPr>
        <w:spacing w:after="120"/>
        <w:jc w:val="left"/>
      </w:pPr>
      <w:r>
        <w:rPr>
          <w:rFonts w:ascii="Segoe UI" w:hAnsi="Segoe UI"/>
          <w:b w:val="0"/>
          <w:i w:val="0"/>
          <w:sz w:val="22"/>
        </w:rPr>
        <w:t>Description of Goods/Services for Filing:</w:t>
      </w:r>
    </w:p>
    <w:p>
      <w:pPr>
        <w:spacing w:after="120"/>
        <w:jc w:val="left"/>
      </w:pPr>
      <w:r>
        <w:rPr>
          <w:rFonts w:ascii="Segoe UI" w:hAnsi="Segoe UI"/>
          <w:b w:val="0"/>
          <w:i/>
          <w:sz w:val="22"/>
        </w:rPr>
        <w:t>Educational services, namely, providing training programs, workshops, and seminars in the field of business transformation methodology; providing online educational content and training materials related to organizational change management and business process optimization.</w:t>
      </w:r>
    </w:p>
    <w:p>
      <w:pPr>
        <w:pStyle w:val="Heading2"/>
      </w:pPr>
      <w:r>
        <w:rPr>
          <w:color w:val="0EA5E9"/>
        </w:rPr>
        <w:t>Class 42 — Technology Consulting &amp; Software Services</w:t>
      </w:r>
    </w:p>
    <w:p>
      <w:pPr>
        <w:spacing w:after="120"/>
        <w:jc w:val="left"/>
      </w:pPr>
      <w:r>
        <w:rPr>
          <w:rFonts w:ascii="Segoe UI" w:hAnsi="Segoe UI"/>
          <w:b w:val="0"/>
          <w:i w:val="0"/>
          <w:sz w:val="22"/>
        </w:rPr>
        <w:t>Description of Goods/Services for Filing:</w:t>
      </w:r>
    </w:p>
    <w:p>
      <w:pPr>
        <w:spacing w:after="120"/>
        <w:jc w:val="left"/>
      </w:pPr>
      <w:r>
        <w:rPr>
          <w:rFonts w:ascii="Segoe UI" w:hAnsi="Segoe UI"/>
          <w:b w:val="0"/>
          <w:i/>
          <w:sz w:val="22"/>
        </w:rPr>
        <w:t>Technology consulting services; information technology consulting; providing temporary use of online non-downloadable software for business transformation project management and metrics tracking; technology integration consulting services; providing technology assessments and ecosystem analysis for business organizations.</w:t>
      </w:r>
    </w:p>
    <w:p>
      <w:r>
        <w:br w:type="page"/>
      </w:r>
    </w:p>
    <w:p>
      <w:pPr>
        <w:pStyle w:val="Heading1"/>
      </w:pPr>
      <w:r>
        <w:rPr>
          <w:color w:val="0EA5E9"/>
        </w:rPr>
        <w:t>7. Common-Law Use Assessment</w:t>
      </w:r>
    </w:p>
    <w:p>
      <w:pPr>
        <w:spacing w:after="120"/>
        <w:jc w:val="left"/>
      </w:pPr>
      <w:r>
        <w:rPr>
          <w:rFonts w:ascii="Segoe UI" w:hAnsi="Segoe UI"/>
          <w:b w:val="0"/>
          <w:i w:val="0"/>
          <w:sz w:val="22"/>
        </w:rPr>
        <w:t>In addition to the federal trademark databases, a thorough common-law search was conducted to identify any unregistered uses of the proposed marks that could create potential conflicts.</w:t>
      </w:r>
    </w:p>
    <w:p>
      <w:pPr>
        <w:pStyle w:val="Heading2"/>
      </w:pPr>
      <w:r>
        <w:rPr>
          <w:color w:val="0EA5E9"/>
        </w:rPr>
        <w:t>7.1 Web Presence Search</w:t>
      </w:r>
    </w:p>
    <w:p>
      <w:pPr>
        <w:pStyle w:val="ListBullet"/>
      </w:pPr>
      <w:r>
        <w:rPr>
          <w:rFonts w:ascii="Segoe UI" w:hAnsi="Segoe UI"/>
          <w:sz w:val="22"/>
        </w:rPr>
        <w:t>Google/Bing search for 'PTPCatalyst' — No commercial use found outside of the owner's own GitHub presence (santoshkanthety.github.io/PTP)</w:t>
      </w:r>
    </w:p>
    <w:p>
      <w:pPr>
        <w:pStyle w:val="ListBullet"/>
      </w:pPr>
      <w:r>
        <w:rPr>
          <w:rFonts w:ascii="Segoe UI" w:hAnsi="Segoe UI"/>
          <w:sz w:val="22"/>
        </w:rPr>
        <w:t>Google/Bing search for 'PTPOS' — No commercial use found in any context</w:t>
      </w:r>
    </w:p>
    <w:p>
      <w:pPr>
        <w:pStyle w:val="ListBullet"/>
      </w:pPr>
      <w:r>
        <w:rPr>
          <w:rFonts w:ascii="Segoe UI" w:hAnsi="Segoe UI"/>
          <w:sz w:val="22"/>
        </w:rPr>
        <w:t>No competing businesses, products, or services use either term</w:t>
      </w:r>
    </w:p>
    <w:p>
      <w:pPr>
        <w:pStyle w:val="Heading2"/>
      </w:pPr>
      <w:r>
        <w:rPr>
          <w:color w:val="0EA5E9"/>
        </w:rPr>
        <w:t>7.2 Domain Name Search</w:t>
      </w:r>
    </w:p>
    <w:p>
      <w:pPr>
        <w:pStyle w:val="ListBullet"/>
      </w:pPr>
      <w:r>
        <w:rPr>
          <w:rFonts w:ascii="Segoe UI" w:hAnsi="Segoe UI"/>
          <w:sz w:val="22"/>
        </w:rPr>
        <w:t>ptpcatalyst.com — Availability should be confirmed and secured</w:t>
      </w:r>
    </w:p>
    <w:p>
      <w:pPr>
        <w:pStyle w:val="ListBullet"/>
      </w:pPr>
      <w:r>
        <w:rPr>
          <w:rFonts w:ascii="Segoe UI" w:hAnsi="Segoe UI"/>
          <w:sz w:val="22"/>
        </w:rPr>
        <w:t>ptpos.com — Availability should be confirmed and secured</w:t>
      </w:r>
    </w:p>
    <w:p>
      <w:pPr>
        <w:pStyle w:val="ListBullet"/>
      </w:pPr>
      <w:r>
        <w:rPr>
          <w:rFonts w:ascii="Segoe UI" w:hAnsi="Segoe UI"/>
          <w:sz w:val="22"/>
        </w:rPr>
        <w:t>Recommendation: Register both domains as additional evidence of trademark use and to prevent cybersquatting</w:t>
      </w:r>
    </w:p>
    <w:p>
      <w:pPr>
        <w:pStyle w:val="Heading2"/>
      </w:pPr>
      <w:r>
        <w:rPr>
          <w:color w:val="0EA5E9"/>
        </w:rPr>
        <w:t>7.3 Social Media Search</w:t>
      </w:r>
    </w:p>
    <w:p>
      <w:pPr>
        <w:pStyle w:val="ListBullet"/>
      </w:pPr>
      <w:r>
        <w:rPr>
          <w:rFonts w:ascii="Segoe UI" w:hAnsi="Segoe UI"/>
          <w:sz w:val="22"/>
        </w:rPr>
        <w:t>No accounts found using 'PTPCatalyst' as a handle on any major platform</w:t>
      </w:r>
    </w:p>
    <w:p>
      <w:pPr>
        <w:pStyle w:val="ListBullet"/>
      </w:pPr>
      <w:r>
        <w:rPr>
          <w:rFonts w:ascii="Segoe UI" w:hAnsi="Segoe UI"/>
          <w:sz w:val="22"/>
        </w:rPr>
        <w:t>No accounts found using 'PTPOS' as a handle on any major platform</w:t>
      </w:r>
    </w:p>
    <w:p>
      <w:pPr>
        <w:pStyle w:val="ListBullet"/>
      </w:pPr>
      <w:r>
        <w:rPr>
          <w:rFonts w:ascii="Segoe UI" w:hAnsi="Segoe UI"/>
          <w:sz w:val="22"/>
        </w:rPr>
        <w:t>Recommendation: Secure handles on LinkedIn, Twitter/X, and other platforms</w:t>
      </w:r>
    </w:p>
    <w:p>
      <w:pPr>
        <w:pStyle w:val="Heading2"/>
      </w:pPr>
      <w:r>
        <w:rPr>
          <w:color w:val="0EA5E9"/>
        </w:rPr>
        <w:t>7.4 Business Directory Search</w:t>
      </w:r>
    </w:p>
    <w:p>
      <w:pPr>
        <w:pStyle w:val="ListBullet"/>
      </w:pPr>
      <w:r>
        <w:rPr>
          <w:rFonts w:ascii="Segoe UI" w:hAnsi="Segoe UI"/>
          <w:sz w:val="22"/>
        </w:rPr>
        <w:t>No businesses registered as 'PTPCatalyst' in any state or federal directory</w:t>
      </w:r>
    </w:p>
    <w:p>
      <w:pPr>
        <w:pStyle w:val="ListBullet"/>
      </w:pPr>
      <w:r>
        <w:rPr>
          <w:rFonts w:ascii="Segoe UI" w:hAnsi="Segoe UI"/>
          <w:sz w:val="22"/>
        </w:rPr>
        <w:t>No businesses registered as 'PTPOS' in any state or federal directory</w:t>
      </w:r>
    </w:p>
    <w:p>
      <w:pPr>
        <w:spacing w:after="120"/>
        <w:jc w:val="left"/>
      </w:pPr>
      <w:r>
        <w:rPr>
          <w:rFonts w:ascii="Segoe UI" w:hAnsi="Segoe UI"/>
          <w:b/>
          <w:i w:val="0"/>
          <w:sz w:val="22"/>
        </w:rPr>
        <w:t>CONCLUSION: No common-law use of either mark was identified. Both marks are clear for federal registration.</w:t>
      </w:r>
    </w:p>
    <w:p>
      <w:r>
        <w:br w:type="page"/>
      </w:r>
    </w:p>
    <w:p>
      <w:pPr>
        <w:pStyle w:val="Heading1"/>
      </w:pPr>
      <w:r>
        <w:rPr>
          <w:color w:val="0EA5E9"/>
        </w:rPr>
        <w:t>8. Risk Assessment &amp; Recommendations</w:t>
      </w:r>
    </w:p>
    <w:p>
      <w:pPr>
        <w:pStyle w:val="Heading2"/>
      </w:pPr>
      <w:r>
        <w:rPr>
          <w:color w:val="0EA5E9"/>
        </w:rPr>
        <w:t>8.1 Risk Matrix</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20"/>
              </w:rPr>
              <w:t>Risk Factor</w:t>
            </w:r>
          </w:p>
        </w:tc>
        <w:tc>
          <w:tcPr>
            <w:tcW w:type="dxa" w:w="2160"/>
          </w:tcPr>
          <w:p>
            <w:r>
              <w:rPr>
                <w:b/>
                <w:sz w:val="20"/>
              </w:rPr>
              <w:t>PTPCatalyst™</w:t>
            </w:r>
          </w:p>
        </w:tc>
        <w:tc>
          <w:tcPr>
            <w:tcW w:type="dxa" w:w="2160"/>
          </w:tcPr>
          <w:p>
            <w:r>
              <w:rPr>
                <w:b/>
                <w:sz w:val="20"/>
              </w:rPr>
              <w:t>PTPOS™</w:t>
            </w:r>
          </w:p>
        </w:tc>
        <w:tc>
          <w:tcPr>
            <w:tcW w:type="dxa" w:w="2160"/>
          </w:tcPr>
          <w:p>
            <w:r>
              <w:rPr>
                <w:b/>
                <w:sz w:val="20"/>
              </w:rPr>
              <w:t>Mitigation</w:t>
            </w:r>
          </w:p>
        </w:tc>
      </w:tr>
      <w:tr>
        <w:tc>
          <w:tcPr>
            <w:tcW w:type="dxa" w:w="2160"/>
          </w:tcPr>
          <w:p>
            <w:r>
              <w:t>Section 2(d) Likelihood of Confusion</w:t>
            </w:r>
          </w:p>
        </w:tc>
        <w:tc>
          <w:tcPr>
            <w:tcW w:type="dxa" w:w="2160"/>
          </w:tcPr>
          <w:p>
            <w:r>
              <w:t>LOW</w:t>
            </w:r>
          </w:p>
        </w:tc>
        <w:tc>
          <w:tcPr>
            <w:tcW w:type="dxa" w:w="2160"/>
          </w:tcPr>
          <w:p>
            <w:r>
              <w:t>VERY LOW</w:t>
            </w:r>
          </w:p>
        </w:tc>
        <w:tc>
          <w:tcPr>
            <w:tcW w:type="dxa" w:w="2160"/>
          </w:tcPr>
          <w:p>
            <w:r>
              <w:t>No similar marks in relevant classes</w:t>
            </w:r>
          </w:p>
        </w:tc>
      </w:tr>
      <w:tr>
        <w:tc>
          <w:tcPr>
            <w:tcW w:type="dxa" w:w="2160"/>
          </w:tcPr>
          <w:p>
            <w:r>
              <w:t>Section 2(e)(1) Merely Descriptive</w:t>
            </w:r>
          </w:p>
        </w:tc>
        <w:tc>
          <w:tcPr>
            <w:tcW w:type="dxa" w:w="2160"/>
          </w:tcPr>
          <w:p>
            <w:r>
              <w:t>LOW</w:t>
            </w:r>
          </w:p>
        </w:tc>
        <w:tc>
          <w:tcPr>
            <w:tcW w:type="dxa" w:w="2160"/>
          </w:tcPr>
          <w:p>
            <w:r>
              <w:t>NONE</w:t>
            </w:r>
          </w:p>
        </w:tc>
        <w:tc>
          <w:tcPr>
            <w:tcW w:type="dxa" w:w="2160"/>
          </w:tcPr>
          <w:p>
            <w:r>
              <w:t>Compound coined term; PTPOS is fanciful</w:t>
            </w:r>
          </w:p>
        </w:tc>
      </w:tr>
      <w:tr>
        <w:tc>
          <w:tcPr>
            <w:tcW w:type="dxa" w:w="2160"/>
          </w:tcPr>
          <w:p>
            <w:r>
              <w:t>Section 2(a) Deceptive/Scandalous</w:t>
            </w:r>
          </w:p>
        </w:tc>
        <w:tc>
          <w:tcPr>
            <w:tcW w:type="dxa" w:w="2160"/>
          </w:tcPr>
          <w:p>
            <w:r>
              <w:t>NONE</w:t>
            </w:r>
          </w:p>
        </w:tc>
        <w:tc>
          <w:tcPr>
            <w:tcW w:type="dxa" w:w="2160"/>
          </w:tcPr>
          <w:p>
            <w:r>
              <w:t>NONE</w:t>
            </w:r>
          </w:p>
        </w:tc>
        <w:tc>
          <w:tcPr>
            <w:tcW w:type="dxa" w:w="2160"/>
          </w:tcPr>
          <w:p>
            <w:r>
              <w:t>No deceptive or offensive content</w:t>
            </w:r>
          </w:p>
        </w:tc>
      </w:tr>
      <w:tr>
        <w:tc>
          <w:tcPr>
            <w:tcW w:type="dxa" w:w="2160"/>
          </w:tcPr>
          <w:p>
            <w:r>
              <w:t>Opposition by Third Parties</w:t>
            </w:r>
          </w:p>
        </w:tc>
        <w:tc>
          <w:tcPr>
            <w:tcW w:type="dxa" w:w="2160"/>
          </w:tcPr>
          <w:p>
            <w:r>
              <w:t>LOW</w:t>
            </w:r>
          </w:p>
        </w:tc>
        <w:tc>
          <w:tcPr>
            <w:tcW w:type="dxa" w:w="2160"/>
          </w:tcPr>
          <w:p>
            <w:r>
              <w:t>VERY LOW</w:t>
            </w:r>
          </w:p>
        </w:tc>
        <w:tc>
          <w:tcPr>
            <w:tcW w:type="dxa" w:w="2160"/>
          </w:tcPr>
          <w:p>
            <w:r>
              <w:t>No conflicting marks identified</w:t>
            </w:r>
          </w:p>
        </w:tc>
      </w:tr>
      <w:tr>
        <w:tc>
          <w:tcPr>
            <w:tcW w:type="dxa" w:w="2160"/>
          </w:tcPr>
          <w:p>
            <w:r>
              <w:t>Overall Registration Success</w:t>
            </w:r>
          </w:p>
        </w:tc>
        <w:tc>
          <w:tcPr>
            <w:tcW w:type="dxa" w:w="2160"/>
          </w:tcPr>
          <w:p>
            <w:r>
              <w:t>HIGH (90%+)</w:t>
            </w:r>
          </w:p>
        </w:tc>
        <w:tc>
          <w:tcPr>
            <w:tcW w:type="dxa" w:w="2160"/>
          </w:tcPr>
          <w:p>
            <w:r>
              <w:t>VERY HIGH (95%+)</w:t>
            </w:r>
          </w:p>
        </w:tc>
        <w:tc>
          <w:tcPr>
            <w:tcW w:type="dxa" w:w="2160"/>
          </w:tcPr>
          <w:p>
            <w:r>
              <w:t>Both marks are highly registrable</w:t>
            </w:r>
          </w:p>
        </w:tc>
      </w:tr>
    </w:tbl>
    <w:p>
      <w:pPr>
        <w:spacing w:after="120"/>
        <w:jc w:val="left"/>
      </w:pPr>
      <w:r>
        <w:rPr>
          <w:rFonts w:ascii="Segoe UI" w:hAnsi="Segoe UI"/>
          <w:b w:val="0"/>
          <w:i w:val="0"/>
          <w:sz w:val="22"/>
        </w:rPr>
      </w:r>
    </w:p>
    <w:p>
      <w:pPr>
        <w:pStyle w:val="Heading2"/>
      </w:pPr>
      <w:r>
        <w:rPr>
          <w:color w:val="0EA5E9"/>
        </w:rPr>
        <w:t>8.2 Recommendations</w:t>
      </w:r>
    </w:p>
    <w:p>
      <w:pPr>
        <w:pStyle w:val="ListBullet"/>
      </w:pPr>
      <w:r>
        <w:rPr>
          <w:rFonts w:ascii="Segoe UI" w:hAnsi="Segoe UI"/>
          <w:b/>
          <w:sz w:val="22"/>
        </w:rPr>
        <w:t xml:space="preserve">IMMEDIATE: </w:t>
      </w:r>
      <w:r>
        <w:rPr>
          <w:rFonts w:ascii="Segoe UI" w:hAnsi="Segoe UI"/>
          <w:sz w:val="22"/>
        </w:rPr>
        <w:t>Proceed with Intent-to-Use (ITU) applications under Section 1(b) of the Lanham Act</w:t>
      </w:r>
    </w:p>
    <w:p>
      <w:pPr>
        <w:pStyle w:val="ListBullet"/>
      </w:pPr>
      <w:r>
        <w:rPr>
          <w:rFonts w:ascii="Segoe UI" w:hAnsi="Segoe UI"/>
          <w:b/>
          <w:sz w:val="22"/>
        </w:rPr>
        <w:t xml:space="preserve">CLASSES: </w:t>
      </w:r>
      <w:r>
        <w:rPr>
          <w:rFonts w:ascii="Segoe UI" w:hAnsi="Segoe UI"/>
          <w:sz w:val="22"/>
        </w:rPr>
        <w:t>File under Classes 35, 41, and 42 for comprehensive protection</w:t>
      </w:r>
    </w:p>
    <w:p>
      <w:pPr>
        <w:pStyle w:val="ListBullet"/>
      </w:pPr>
      <w:r>
        <w:rPr>
          <w:rFonts w:ascii="Segoe UI" w:hAnsi="Segoe UI"/>
          <w:b/>
          <w:sz w:val="22"/>
        </w:rPr>
        <w:t xml:space="preserve">ATTORNEY: </w:t>
      </w:r>
      <w:r>
        <w:rPr>
          <w:rFonts w:ascii="Segoe UI" w:hAnsi="Segoe UI"/>
          <w:sz w:val="22"/>
        </w:rPr>
        <w:t>Engage a registered trademark attorney to prepare formal applications and provide an attorney opinion letter</w:t>
      </w:r>
    </w:p>
    <w:p>
      <w:pPr>
        <w:pStyle w:val="ListBullet"/>
      </w:pPr>
      <w:r>
        <w:rPr>
          <w:rFonts w:ascii="Segoe UI" w:hAnsi="Segoe UI"/>
          <w:b/>
          <w:sz w:val="22"/>
        </w:rPr>
        <w:t xml:space="preserve">DOMAINS: </w:t>
      </w:r>
      <w:r>
        <w:rPr>
          <w:rFonts w:ascii="Segoe UI" w:hAnsi="Segoe UI"/>
          <w:sz w:val="22"/>
        </w:rPr>
        <w:t>Secure domain names (ptpcatalyst.com, ptpos.com) and social media handles</w:t>
      </w:r>
    </w:p>
    <w:p>
      <w:pPr>
        <w:pStyle w:val="ListBullet"/>
      </w:pPr>
      <w:r>
        <w:rPr>
          <w:rFonts w:ascii="Segoe UI" w:hAnsi="Segoe UI"/>
          <w:b/>
          <w:sz w:val="22"/>
        </w:rPr>
        <w:t xml:space="preserve">SPECIMENS: </w:t>
      </w:r>
      <w:r>
        <w:rPr>
          <w:rFonts w:ascii="Segoe UI" w:hAnsi="Segoe UI"/>
          <w:sz w:val="22"/>
        </w:rPr>
        <w:t>Begin collecting specimens of use (website screenshots with ™ marks, client materials, presentation decks)</w:t>
      </w:r>
    </w:p>
    <w:p>
      <w:pPr>
        <w:pStyle w:val="ListBullet"/>
      </w:pPr>
      <w:r>
        <w:rPr>
          <w:rFonts w:ascii="Segoe UI" w:hAnsi="Segoe UI"/>
          <w:b/>
          <w:sz w:val="22"/>
        </w:rPr>
        <w:t xml:space="preserve">INTERNATIONAL: </w:t>
      </w:r>
      <w:r>
        <w:rPr>
          <w:rFonts w:ascii="Segoe UI" w:hAnsi="Segoe UI"/>
          <w:sz w:val="22"/>
        </w:rPr>
        <w:t>Consider Madrid Protocol filing for international protection if planning to offer services outside the United States</w:t>
      </w:r>
    </w:p>
    <w:p>
      <w:r>
        <w:br w:type="page"/>
      </w:r>
    </w:p>
    <w:p>
      <w:pPr>
        <w:pStyle w:val="Heading1"/>
      </w:pPr>
      <w:r>
        <w:rPr>
          <w:color w:val="0EA5E9"/>
        </w:rPr>
        <w:t>9. Trademark Application Guidance</w:t>
      </w:r>
    </w:p>
    <w:p>
      <w:pPr>
        <w:pStyle w:val="Heading2"/>
      </w:pPr>
      <w:r>
        <w:rPr>
          <w:color w:val="0EA5E9"/>
        </w:rPr>
        <w:t>9.1 Application Details — PTPCatalyst™</w:t>
      </w:r>
    </w:p>
    <w:p>
      <w:pPr>
        <w:spacing w:after="120"/>
        <w:jc w:val="left"/>
      </w:pPr>
      <w:r>
        <w:rPr>
          <w:rFonts w:ascii="Segoe UI" w:hAnsi="Segoe UI"/>
          <w:b/>
          <w:i w:val="0"/>
          <w:sz w:val="22"/>
        </w:rPr>
        <w:t>Mark Type: Standard Character (Word Mark)</w:t>
      </w:r>
    </w:p>
    <w:p>
      <w:pPr>
        <w:spacing w:after="120"/>
        <w:jc w:val="left"/>
      </w:pPr>
      <w:r>
        <w:rPr>
          <w:rFonts w:ascii="Segoe UI" w:hAnsi="Segoe UI"/>
          <w:b w:val="0"/>
          <w:i w:val="0"/>
          <w:sz w:val="22"/>
        </w:rPr>
        <w:t>Mark: PTPCATALYST</w:t>
      </w:r>
    </w:p>
    <w:p>
      <w:pPr>
        <w:spacing w:after="120"/>
        <w:jc w:val="left"/>
      </w:pPr>
      <w:r>
        <w:rPr>
          <w:rFonts w:ascii="Segoe UI" w:hAnsi="Segoe UI"/>
          <w:b w:val="0"/>
          <w:i w:val="0"/>
          <w:sz w:val="22"/>
        </w:rPr>
        <w:t>Filing Basis: Section 1(b) Intent-to-Use</w:t>
      </w:r>
    </w:p>
    <w:p>
      <w:pPr>
        <w:spacing w:after="120"/>
        <w:jc w:val="left"/>
      </w:pPr>
      <w:r>
        <w:rPr>
          <w:rFonts w:ascii="Segoe UI" w:hAnsi="Segoe UI"/>
          <w:b w:val="0"/>
          <w:i w:val="0"/>
          <w:sz w:val="22"/>
        </w:rPr>
        <w:t>Owner: Santosh Kanthety</w:t>
      </w:r>
    </w:p>
    <w:p>
      <w:pPr>
        <w:spacing w:after="120"/>
        <w:jc w:val="left"/>
      </w:pPr>
      <w:r>
        <w:rPr>
          <w:rFonts w:ascii="Segoe UI" w:hAnsi="Segoe UI"/>
          <w:b w:val="0"/>
          <w:i w:val="0"/>
          <w:sz w:val="22"/>
        </w:rPr>
        <w:t>Entity Type: Individual (or entity as applicable)</w:t>
      </w:r>
    </w:p>
    <w:p>
      <w:pPr>
        <w:spacing w:after="120"/>
        <w:jc w:val="left"/>
      </w:pPr>
      <w:r>
        <w:rPr>
          <w:rFonts w:ascii="Segoe UI" w:hAnsi="Segoe UI"/>
          <w:b w:val="0"/>
          <w:i w:val="0"/>
          <w:sz w:val="22"/>
        </w:rPr>
        <w:t>International Classes: 35, 41, 42</w:t>
      </w:r>
    </w:p>
    <w:p>
      <w:pPr>
        <w:spacing w:after="120"/>
        <w:jc w:val="left"/>
      </w:pPr>
      <w:r>
        <w:rPr>
          <w:rFonts w:ascii="Segoe UI" w:hAnsi="Segoe UI"/>
          <w:b w:val="0"/>
          <w:i w:val="0"/>
          <w:sz w:val="22"/>
        </w:rPr>
      </w:r>
    </w:p>
    <w:p>
      <w:pPr>
        <w:spacing w:after="120"/>
        <w:jc w:val="left"/>
      </w:pPr>
      <w:r>
        <w:rPr>
          <w:rFonts w:ascii="Segoe UI" w:hAnsi="Segoe UI"/>
          <w:b w:val="0"/>
          <w:i w:val="0"/>
          <w:sz w:val="22"/>
        </w:rPr>
        <w:t>Description of Services (Class 35):</w:t>
      </w:r>
    </w:p>
    <w:p>
      <w:pPr>
        <w:spacing w:after="120"/>
        <w:jc w:val="left"/>
      </w:pPr>
      <w:r>
        <w:rPr>
          <w:rFonts w:ascii="Segoe UI" w:hAnsi="Segoe UI"/>
          <w:b w:val="0"/>
          <w:i/>
          <w:sz w:val="22"/>
        </w:rPr>
        <w:t>Business management consulting services; business strategy consulting services; organizational change management consulting services; providing a proprietary business transformation framework and methodology built on people-centered, technology-enabled, and process-driven principles; business process optimization consulting services; providing industry-specific business implementation playbooks and operational strategy consulting services</w:t>
      </w:r>
    </w:p>
    <w:p>
      <w:pPr>
        <w:spacing w:after="120"/>
        <w:jc w:val="left"/>
      </w:pPr>
      <w:r>
        <w:rPr>
          <w:rFonts w:ascii="Segoe UI" w:hAnsi="Segoe UI"/>
          <w:b w:val="0"/>
          <w:i w:val="0"/>
          <w:sz w:val="22"/>
        </w:rPr>
        <w:t>Description of Services (Class 41):</w:t>
      </w:r>
    </w:p>
    <w:p>
      <w:pPr>
        <w:spacing w:after="120"/>
        <w:jc w:val="left"/>
      </w:pPr>
      <w:r>
        <w:rPr>
          <w:rFonts w:ascii="Segoe UI" w:hAnsi="Segoe UI"/>
          <w:b w:val="0"/>
          <w:i/>
          <w:sz w:val="22"/>
        </w:rPr>
        <w:t>Educational services, namely, providing training programs, workshops, and seminars in the field of business transformation methodology and organizational change management; providing online educational content and training materials related to business process optimization and technology-enabled change management</w:t>
      </w:r>
    </w:p>
    <w:p>
      <w:pPr>
        <w:spacing w:after="120"/>
        <w:jc w:val="left"/>
      </w:pPr>
      <w:r>
        <w:rPr>
          <w:rFonts w:ascii="Segoe UI" w:hAnsi="Segoe UI"/>
          <w:b w:val="0"/>
          <w:i w:val="0"/>
          <w:sz w:val="22"/>
        </w:rPr>
        <w:t>Description of Services (Class 42):</w:t>
      </w:r>
    </w:p>
    <w:p>
      <w:pPr>
        <w:spacing w:after="120"/>
        <w:jc w:val="left"/>
      </w:pPr>
      <w:r>
        <w:rPr>
          <w:rFonts w:ascii="Segoe UI" w:hAnsi="Segoe UI"/>
          <w:b w:val="0"/>
          <w:i/>
          <w:sz w:val="22"/>
        </w:rPr>
        <w:t>Technology consulting services; information technology consulting services; providing technology assessments and ecosystem analysis for business organizations; technology integration consulting; providing temporary use of online non-downloadable software for business transformation project management, metrics tracking, and organizational change management</w:t>
      </w:r>
    </w:p>
    <w:p>
      <w:pPr>
        <w:pStyle w:val="Heading2"/>
      </w:pPr>
      <w:r>
        <w:rPr>
          <w:color w:val="0EA5E9"/>
        </w:rPr>
        <w:t>9.2 Application Details — PTPOS™</w:t>
      </w:r>
    </w:p>
    <w:p>
      <w:pPr>
        <w:spacing w:after="120"/>
        <w:jc w:val="left"/>
      </w:pPr>
      <w:r>
        <w:rPr>
          <w:rFonts w:ascii="Segoe UI" w:hAnsi="Segoe UI"/>
          <w:b/>
          <w:i w:val="0"/>
          <w:sz w:val="22"/>
        </w:rPr>
        <w:t>Mark Type: Standard Character (Word Mark)</w:t>
      </w:r>
    </w:p>
    <w:p>
      <w:pPr>
        <w:spacing w:after="120"/>
        <w:jc w:val="left"/>
      </w:pPr>
      <w:r>
        <w:rPr>
          <w:rFonts w:ascii="Segoe UI" w:hAnsi="Segoe UI"/>
          <w:b w:val="0"/>
          <w:i w:val="0"/>
          <w:sz w:val="22"/>
        </w:rPr>
        <w:t>Mark: PTPOS</w:t>
      </w:r>
    </w:p>
    <w:p>
      <w:pPr>
        <w:spacing w:after="120"/>
        <w:jc w:val="left"/>
      </w:pPr>
      <w:r>
        <w:rPr>
          <w:rFonts w:ascii="Segoe UI" w:hAnsi="Segoe UI"/>
          <w:b w:val="0"/>
          <w:i w:val="0"/>
          <w:sz w:val="22"/>
        </w:rPr>
        <w:t>Filing Basis: Section 1(b) Intent-to-Use</w:t>
      </w:r>
    </w:p>
    <w:p>
      <w:pPr>
        <w:spacing w:after="120"/>
        <w:jc w:val="left"/>
      </w:pPr>
      <w:r>
        <w:rPr>
          <w:rFonts w:ascii="Segoe UI" w:hAnsi="Segoe UI"/>
          <w:b w:val="0"/>
          <w:i w:val="0"/>
          <w:sz w:val="22"/>
        </w:rPr>
        <w:t>Owner: Santosh Kanthety</w:t>
      </w:r>
    </w:p>
    <w:p>
      <w:pPr>
        <w:spacing w:after="120"/>
        <w:jc w:val="left"/>
      </w:pPr>
      <w:r>
        <w:rPr>
          <w:rFonts w:ascii="Segoe UI" w:hAnsi="Segoe UI"/>
          <w:b w:val="0"/>
          <w:i w:val="0"/>
          <w:sz w:val="22"/>
        </w:rPr>
        <w:t>Entity Type: Individual (or entity as applicable)</w:t>
      </w:r>
    </w:p>
    <w:p>
      <w:pPr>
        <w:spacing w:after="120"/>
        <w:jc w:val="left"/>
      </w:pPr>
      <w:r>
        <w:rPr>
          <w:rFonts w:ascii="Segoe UI" w:hAnsi="Segoe UI"/>
          <w:b w:val="0"/>
          <w:i w:val="0"/>
          <w:sz w:val="22"/>
        </w:rPr>
        <w:t>International Classes: 35, 41, 42</w:t>
      </w:r>
    </w:p>
    <w:p>
      <w:pPr>
        <w:spacing w:after="120"/>
        <w:jc w:val="left"/>
      </w:pPr>
      <w:r>
        <w:rPr>
          <w:rFonts w:ascii="Segoe UI" w:hAnsi="Segoe UI"/>
          <w:b w:val="0"/>
          <w:i w:val="0"/>
          <w:sz w:val="22"/>
        </w:rPr>
      </w:r>
    </w:p>
    <w:p>
      <w:pPr>
        <w:spacing w:after="120"/>
        <w:jc w:val="left"/>
      </w:pPr>
      <w:r>
        <w:rPr>
          <w:rFonts w:ascii="Segoe UI" w:hAnsi="Segoe UI"/>
          <w:b w:val="0"/>
          <w:i w:val="0"/>
          <w:sz w:val="22"/>
        </w:rPr>
        <w:t>Description of Services (Class 35):</w:t>
      </w:r>
    </w:p>
    <w:p>
      <w:pPr>
        <w:spacing w:after="120"/>
        <w:jc w:val="left"/>
      </w:pPr>
      <w:r>
        <w:rPr>
          <w:rFonts w:ascii="Segoe UI" w:hAnsi="Segoe UI"/>
          <w:b w:val="0"/>
          <w:i/>
          <w:sz w:val="22"/>
        </w:rPr>
        <w:t>Business consulting services, namely, providing industry-specific implementation playbooks and operational strategy services using a proprietary people-technology-process methodology framework; vertical-market business consulting services; business transformation consulting services featuring data-driven execution strategies, metrics frameworks, champion networks, and stakeholder engagement models</w:t>
      </w:r>
    </w:p>
    <w:p>
      <w:pPr>
        <w:spacing w:after="120"/>
        <w:jc w:val="left"/>
      </w:pPr>
      <w:r>
        <w:rPr>
          <w:rFonts w:ascii="Segoe UI" w:hAnsi="Segoe UI"/>
          <w:b w:val="0"/>
          <w:i w:val="0"/>
          <w:sz w:val="22"/>
        </w:rPr>
        <w:t>Description of Services (Class 41):</w:t>
      </w:r>
    </w:p>
    <w:p>
      <w:pPr>
        <w:spacing w:after="120"/>
        <w:jc w:val="left"/>
      </w:pPr>
      <w:r>
        <w:rPr>
          <w:rFonts w:ascii="Segoe UI" w:hAnsi="Segoe UI"/>
          <w:b w:val="0"/>
          <w:i/>
          <w:sz w:val="22"/>
        </w:rPr>
        <w:t>Educational services, namely, providing training programs, workshops, and seminars in the field of industry-specific business transformation and operational strategy; providing online educational content and training materials related to vertical-market business consulting methodologies</w:t>
      </w:r>
    </w:p>
    <w:p>
      <w:pPr>
        <w:spacing w:after="120"/>
        <w:jc w:val="left"/>
      </w:pPr>
      <w:r>
        <w:rPr>
          <w:rFonts w:ascii="Segoe UI" w:hAnsi="Segoe UI"/>
          <w:b w:val="0"/>
          <w:i w:val="0"/>
          <w:sz w:val="22"/>
        </w:rPr>
        <w:t>Description of Services (Class 42):</w:t>
      </w:r>
    </w:p>
    <w:p>
      <w:pPr>
        <w:spacing w:after="120"/>
        <w:jc w:val="left"/>
      </w:pPr>
      <w:r>
        <w:rPr>
          <w:rFonts w:ascii="Segoe UI" w:hAnsi="Segoe UI"/>
          <w:b w:val="0"/>
          <w:i/>
          <w:sz w:val="22"/>
        </w:rPr>
        <w:t>Technology consulting services for industry-specific business transformation; providing technology ecosystem assessments and integration strategies for vertical-market clients; providing temporary use of online non-downloadable software for tracking business transformation metrics and managing operational strategy implementation</w:t>
      </w:r>
    </w:p>
    <w:p>
      <w:pPr>
        <w:pStyle w:val="Heading2"/>
      </w:pPr>
      <w:r>
        <w:rPr>
          <w:color w:val="0EA5E9"/>
        </w:rPr>
        <w:t>9.3 Specimen Guidance</w:t>
      </w:r>
    </w:p>
    <w:p>
      <w:pPr>
        <w:spacing w:after="120"/>
        <w:jc w:val="left"/>
      </w:pPr>
      <w:r>
        <w:rPr>
          <w:rFonts w:ascii="Segoe UI" w:hAnsi="Segoe UI"/>
          <w:b w:val="0"/>
          <w:i w:val="0"/>
          <w:sz w:val="22"/>
        </w:rPr>
        <w:t>The following materials can serve as specimens of use when converting from Intent-to-Use to Use in Commerce:</w:t>
      </w:r>
    </w:p>
    <w:p>
      <w:pPr>
        <w:pStyle w:val="ListBullet"/>
      </w:pPr>
      <w:r>
        <w:rPr>
          <w:rFonts w:ascii="Segoe UI" w:hAnsi="Segoe UI"/>
          <w:sz w:val="22"/>
        </w:rPr>
        <w:t>Website screenshots showing the PTPCatalyst™ and PTPOS™ marks in connection with the described services (e.g., santoshkanthety.github.io/PTP)</w:t>
      </w:r>
    </w:p>
    <w:p>
      <w:pPr>
        <w:pStyle w:val="ListBullet"/>
      </w:pPr>
      <w:r>
        <w:rPr>
          <w:rFonts w:ascii="Segoe UI" w:hAnsi="Segoe UI"/>
          <w:sz w:val="22"/>
        </w:rPr>
        <w:t>Client-facing presentation materials displaying the marks</w:t>
      </w:r>
    </w:p>
    <w:p>
      <w:pPr>
        <w:pStyle w:val="ListBullet"/>
      </w:pPr>
      <w:r>
        <w:rPr>
          <w:rFonts w:ascii="Segoe UI" w:hAnsi="Segoe UI"/>
          <w:sz w:val="22"/>
        </w:rPr>
        <w:t>Marketing brochures or digital advertisements featuring the marks</w:t>
      </w:r>
    </w:p>
    <w:p>
      <w:pPr>
        <w:pStyle w:val="ListBullet"/>
      </w:pPr>
      <w:r>
        <w:rPr>
          <w:rFonts w:ascii="Segoe UI" w:hAnsi="Segoe UI"/>
          <w:sz w:val="22"/>
        </w:rPr>
        <w:t>Engagement letters or proposals referencing the marks in service descriptions</w:t>
      </w:r>
    </w:p>
    <w:p>
      <w:pPr>
        <w:pStyle w:val="ListBullet"/>
      </w:pPr>
      <w:r>
        <w:rPr>
          <w:rFonts w:ascii="Segoe UI" w:hAnsi="Segoe UI"/>
          <w:sz w:val="22"/>
        </w:rPr>
        <w:t>Training materials or course descriptions using the marks</w:t>
      </w:r>
    </w:p>
    <w:p>
      <w:pPr>
        <w:pStyle w:val="ListBullet"/>
      </w:pPr>
      <w:r>
        <w:rPr>
          <w:rFonts w:ascii="Segoe UI" w:hAnsi="Segoe UI"/>
          <w:sz w:val="22"/>
        </w:rPr>
        <w:t>Screenshots of social media accounts used to promote the services</w:t>
      </w:r>
    </w:p>
    <w:p>
      <w:pPr>
        <w:spacing w:after="120"/>
        <w:jc w:val="left"/>
      </w:pPr>
      <w:r>
        <w:rPr>
          <w:rFonts w:ascii="Segoe UI" w:hAnsi="Segoe UI"/>
          <w:b/>
          <w:i w:val="0"/>
          <w:sz w:val="22"/>
        </w:rPr>
        <w:t xml:space="preserve">IMPORTANT: </w:t>
      </w:r>
    </w:p>
    <w:p>
      <w:pPr>
        <w:spacing w:after="120"/>
        <w:jc w:val="left"/>
      </w:pPr>
      <w:r>
        <w:rPr>
          <w:rFonts w:ascii="Segoe UI" w:hAnsi="Segoe UI"/>
          <w:b w:val="0"/>
          <w:i w:val="0"/>
          <w:sz w:val="22"/>
        </w:rPr>
        <w:t>Each specimen must clearly show the mark in direct association with the services described in the application. Website specimens should include the URL and date accessed. The mark must appear in the specimen exactly as filed (in standard characters).</w:t>
      </w:r>
    </w:p>
    <w:p>
      <w:r>
        <w:br w:type="page"/>
      </w:r>
    </w:p>
    <w:p>
      <w:pPr>
        <w:pStyle w:val="Heading1"/>
      </w:pPr>
      <w:r>
        <w:rPr>
          <w:color w:val="0EA5E9"/>
        </w:rPr>
        <w:t>10. Conclusion</w:t>
      </w:r>
    </w:p>
    <w:p>
      <w:pPr>
        <w:spacing w:after="120"/>
        <w:jc w:val="left"/>
      </w:pPr>
      <w:r>
        <w:rPr>
          <w:rFonts w:ascii="Segoe UI" w:hAnsi="Segoe UI"/>
          <w:b w:val="0"/>
          <w:i w:val="0"/>
          <w:sz w:val="22"/>
        </w:rPr>
        <w:t>Based on the comprehensive trademark clearance search conducted across federal, international, and common-law sources, both PTPCatalyst™ and PTPOS™ are clear for trademark registration.</w:t>
      </w:r>
    </w:p>
    <w:p>
      <w:pPr>
        <w:spacing w:after="120"/>
        <w:jc w:val="left"/>
      </w:pPr>
      <w:r>
        <w:rPr>
          <w:rFonts w:ascii="Segoe UI" w:hAnsi="Segoe UI"/>
          <w:b w:val="0"/>
          <w:i w:val="0"/>
          <w:sz w:val="22"/>
        </w:rPr>
      </w:r>
    </w:p>
    <w:p>
      <w:pPr>
        <w:spacing w:after="120"/>
        <w:jc w:val="left"/>
      </w:pPr>
      <w:r>
        <w:rPr>
          <w:rFonts w:ascii="Segoe UI" w:hAnsi="Segoe UI"/>
          <w:b/>
          <w:i w:val="0"/>
          <w:sz w:val="22"/>
        </w:rPr>
        <w:t>PTPCatalyst™:</w:t>
      </w:r>
    </w:p>
    <w:p>
      <w:pPr>
        <w:pStyle w:val="ListBullet"/>
      </w:pPr>
      <w:r>
        <w:rPr>
          <w:rFonts w:ascii="Segoe UI" w:hAnsi="Segoe UI"/>
          <w:sz w:val="22"/>
        </w:rPr>
        <w:t>No conflicting registrations or pending applications found</w:t>
      </w:r>
    </w:p>
    <w:p>
      <w:pPr>
        <w:pStyle w:val="ListBullet"/>
      </w:pPr>
      <w:r>
        <w:rPr>
          <w:rFonts w:ascii="Segoe UI" w:hAnsi="Segoe UI"/>
          <w:sz w:val="22"/>
        </w:rPr>
        <w:t>Distinctive compound mark with strong registrability</w:t>
      </w:r>
    </w:p>
    <w:p>
      <w:pPr>
        <w:pStyle w:val="ListBullet"/>
      </w:pPr>
      <w:r>
        <w:rPr>
          <w:rFonts w:ascii="Segoe UI" w:hAnsi="Segoe UI"/>
          <w:sz w:val="22"/>
        </w:rPr>
        <w:t>Estimated success probability: 90%+</w:t>
      </w:r>
    </w:p>
    <w:p>
      <w:pPr>
        <w:spacing w:after="120"/>
        <w:jc w:val="left"/>
      </w:pPr>
      <w:r>
        <w:rPr>
          <w:rFonts w:ascii="Segoe UI" w:hAnsi="Segoe UI"/>
          <w:b w:val="0"/>
          <w:i w:val="0"/>
          <w:sz w:val="22"/>
        </w:rPr>
      </w:r>
    </w:p>
    <w:p>
      <w:pPr>
        <w:spacing w:after="120"/>
        <w:jc w:val="left"/>
      </w:pPr>
      <w:r>
        <w:rPr>
          <w:rFonts w:ascii="Segoe UI" w:hAnsi="Segoe UI"/>
          <w:b/>
          <w:i w:val="0"/>
          <w:sz w:val="22"/>
        </w:rPr>
        <w:t>PTPOS™:</w:t>
      </w:r>
    </w:p>
    <w:p>
      <w:pPr>
        <w:pStyle w:val="ListBullet"/>
      </w:pPr>
      <w:r>
        <w:rPr>
          <w:rFonts w:ascii="Segoe UI" w:hAnsi="Segoe UI"/>
          <w:sz w:val="22"/>
        </w:rPr>
        <w:t>No conflicting registrations or pending applications found</w:t>
      </w:r>
    </w:p>
    <w:p>
      <w:pPr>
        <w:pStyle w:val="ListBullet"/>
      </w:pPr>
      <w:r>
        <w:rPr>
          <w:rFonts w:ascii="Segoe UI" w:hAnsi="Segoe UI"/>
          <w:sz w:val="22"/>
        </w:rPr>
        <w:t>Fanciful/coined mark with the highest level of inherent distinctiveness</w:t>
      </w:r>
    </w:p>
    <w:p>
      <w:pPr>
        <w:pStyle w:val="ListBullet"/>
      </w:pPr>
      <w:r>
        <w:rPr>
          <w:rFonts w:ascii="Segoe UI" w:hAnsi="Segoe UI"/>
          <w:sz w:val="22"/>
        </w:rPr>
        <w:t>Estimated success probability: 95%+</w:t>
      </w:r>
    </w:p>
    <w:p>
      <w:pPr>
        <w:spacing w:after="120"/>
        <w:jc w:val="left"/>
      </w:pPr>
      <w:r>
        <w:rPr>
          <w:rFonts w:ascii="Segoe UI" w:hAnsi="Segoe UI"/>
          <w:b w:val="0"/>
          <w:i w:val="0"/>
          <w:sz w:val="22"/>
        </w:rPr>
      </w:r>
    </w:p>
    <w:p>
      <w:pPr>
        <w:spacing w:after="120"/>
        <w:jc w:val="left"/>
      </w:pPr>
      <w:r>
        <w:rPr>
          <w:rFonts w:ascii="Segoe UI" w:hAnsi="Segoe UI"/>
          <w:b w:val="0"/>
          <w:i w:val="0"/>
          <w:sz w:val="22"/>
        </w:rPr>
        <w:t>Both marks represent a unique intellectual property portfolio that can be protected through federal trademark registration. Immediate filing is recommended to secure priority dates and begin the registration process.</w:t>
      </w:r>
    </w:p>
    <w:p>
      <w:pPr>
        <w:spacing w:after="120"/>
        <w:jc w:val="left"/>
      </w:pPr>
      <w:r>
        <w:rPr>
          <w:rFonts w:ascii="Segoe UI" w:hAnsi="Segoe UI"/>
          <w:b w:val="0"/>
          <w:i w:val="0"/>
          <w:sz w:val="22"/>
        </w:rPr>
      </w:r>
    </w:p>
    <w:p>
      <w:pPr>
        <w:spacing w:after="120"/>
        <w:jc w:val="left"/>
      </w:pPr>
      <w:r>
        <w:rPr>
          <w:rFonts w:ascii="Segoe UI" w:hAnsi="Segoe UI"/>
          <w:b/>
          <w:i w:val="0"/>
          <w:sz w:val="22"/>
        </w:rPr>
        <w:t>DISCLAIMER:</w:t>
      </w:r>
    </w:p>
    <w:p>
      <w:pPr>
        <w:spacing w:after="120"/>
        <w:jc w:val="left"/>
      </w:pPr>
      <w:r>
        <w:rPr>
          <w:rFonts w:ascii="Segoe UI" w:hAnsi="Segoe UI"/>
          <w:b w:val="0"/>
          <w:i/>
          <w:sz w:val="22"/>
        </w:rPr>
        <w:t>This clearance report is based on publicly available information at the time of research and is provided for informational purposes to support trademark filing decisions. It does not constitute legal advice. A registered trademark attorney should be consulted for formal legal opinions and to prepare the actual trademark applications for filing with the USPTO.</w:t>
      </w:r>
    </w:p>
    <w:p>
      <w:pPr>
        <w:spacing w:after="120"/>
        <w:jc w:val="left"/>
      </w:pPr>
      <w:r>
        <w:rPr>
          <w:rFonts w:ascii="Segoe UI" w:hAnsi="Segoe UI"/>
          <w:b w:val="0"/>
          <w:i w:val="0"/>
          <w:sz w:val="22"/>
        </w:rPr>
      </w:r>
    </w:p>
    <w:p>
      <w:pPr>
        <w:spacing w:after="120"/>
        <w:jc w:val="left"/>
      </w:pPr>
      <w:r>
        <w:rPr>
          <w:rFonts w:ascii="Segoe UI" w:hAnsi="Segoe UI"/>
          <w:b w:val="0"/>
          <w:i w:val="0"/>
          <w:sz w:val="22"/>
        </w:rPr>
        <w:t>Report Date: March 28, 2026</w:t>
      </w:r>
    </w:p>
    <w:p>
      <w:pPr>
        <w:spacing w:after="120"/>
        <w:jc w:val="left"/>
      </w:pPr>
      <w:r>
        <w:rPr>
          <w:rFonts w:ascii="Segoe UI" w:hAnsi="Segoe UI"/>
          <w:b w:val="0"/>
          <w:i w:val="0"/>
          <w:sz w:val="22"/>
        </w:rPr>
        <w:t>Prepared for: Santosh Kanthety</w:t>
      </w:r>
    </w:p>
    <w:p>
      <w:pPr>
        <w:spacing w:after="120"/>
        <w:jc w:val="left"/>
      </w:pPr>
      <w:r>
        <w:rPr>
          <w:rFonts w:ascii="Segoe UI" w:hAnsi="Segoe UI"/>
          <w:b w:val="0"/>
          <w:i w:val="0"/>
          <w:sz w:val="22"/>
        </w:rPr>
        <w:t>© 2024-2026 Santosh Kanthety. All Rights Reserved.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