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4F46E5"/>
          <w:sz w:val="56"/>
        </w:rPr>
        <w:t>CodeSage</w:t>
      </w:r>
    </w:p>
    <w:p>
      <w:pPr>
        <w:spacing w:before="0" w:after="280"/>
      </w:pPr>
      <w:r>
        <w:rPr>
          <w:rFonts w:ascii="Calibri" w:hAnsi="Calibri"/>
          <w:color w:val="64748B"/>
          <w:sz w:val="26"/>
        </w:rPr>
        <w:t>AI-Powered Code Change Quality Analyzer — Comprehensive Technical Project Report</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4F46E5"/>
              <w:top w:val="none"/>
              <w:right w:val="none"/>
              <w:bottom w:val="none"/>
            </w:tcBorders>
          </w:tcPr>
          <w:p>
            <w:pPr>
              <w:spacing w:before="40" w:after="40" w:line="276" w:lineRule="auto"/>
            </w:pPr>
            <w:r>
              <w:rPr>
                <w:rFonts w:ascii="Calibri" w:hAnsi="Calibri"/>
                <w:b/>
                <w:color w:val="1E293B"/>
                <w:sz w:val="21"/>
              </w:rPr>
              <w:t>PROJECT SPECIFICATION &amp; METADATA</w:t>
              <w:br/>
            </w:r>
            <w:r>
              <w:rPr>
                <w:rFonts w:ascii="Calibri" w:hAnsi="Calibri"/>
                <w:color w:val="334155"/>
                <w:sz w:val="20"/>
              </w:rPr>
              <w:t>Author / Lead Developer: Santosh Reddy (santoshreddyg06)</w:t>
              <w:br/>
              <w:t>Project Repository: github.com/santoshreddyg06/code-quality-analyzer</w:t>
              <w:br/>
              <w:t>Technology Stack: Python 3.14 • XGBoost • TreeExplainer SHAP • Radon AST • FastAPI • Streamlit</w:t>
              <w:br/>
              <w:t>Verification Status: Production-Ready, 25/25 Tests Passing, Containerized, CI/CD Verified</w:t>
            </w:r>
          </w:p>
        </w:tc>
      </w:tr>
    </w:tbl>
    <w:p>
      <w:pPr>
        <w:spacing w:before="0" w:after="80"/>
      </w:pPr>
    </w:p>
    <w:p>
      <w:pPr>
        <w:pStyle w:val="Heading1"/>
        <w:spacing w:before="320" w:after="120"/>
      </w:pPr>
      <w:r>
        <w:t>1. Executive Summary &amp; Core Objective</w:t>
      </w:r>
    </w:p>
    <w:p>
      <w:r>
        <w:t>In modern agile software engineering, code review is the primary gatekeeper for software maintainability and reliability. However, traditional code review workflows suffer from three critical bottlenecks:</w:t>
        <w:br/>
        <w:t>1. Reviewer Fatigue &amp; Subjectivity: Human code reviews are inconsistent, time-consuming, and heavily prone to reviewer fatigue during crunch cycles.</w:t>
        <w:br/>
        <w:t>2. Blind Spot of Surface Linters: Static analysis linters (e.g., Flake8, Black, PEP 8 linters) only check formatting, spacing, and surface syntax. They are blind to deep cognitive complexity, arrowhead nesting, and architectural degradation.</w:t>
        <w:br/>
        <w:t>3. Compound Technical Debt Accumulation: Developers rarely write an entire unmaintainable module from scratch; instead, maintainability degrades through small, compounding micro-decisions in everyday pull requests.</w:t>
      </w:r>
    </w:p>
    <w:p>
      <w:r>
        <w:t>The Solution — CodeSage:</w:t>
        <w:br/>
        <w:t>CodeSage is an automated, AI-powered code change quality analyzer designed to function as an intelligent pair-reviewer during GitHub Pull Requests and local refactoring sessions. Instead of analyzing static code in isolation, CodeSage assesses the Delta Dynamic (Δ = After - Before)—evaluating how a change transitions code across 25 structural AST, cyclomatic complexity, Halstead mental effort, and code churn dimensions. An XGBoost TreeClassifier predicts whether the change introduces maintainability degradation, while an integrated TreeExplainer SHAP engine translates machine learning decisions into human-interpretable feature attributions and actionable refactoring advice.</w:t>
      </w:r>
    </w:p>
    <w:p>
      <w:pPr>
        <w:pStyle w:val="Heading1"/>
        <w:spacing w:before="320" w:after="120"/>
      </w:pPr>
      <w:r>
        <w:t>2. System Architecture &amp; End-to-End Pipeline Workflow</w:t>
      </w:r>
    </w:p>
    <w:p>
      <w:r>
        <w:t>CodeSage is structured as a modular, six-stage production microservices architecture:</w:t>
      </w:r>
    </w:p>
    <w:p>
      <w:r>
        <w:t>Stage 1: Data Collection (src/collector/)</w:t>
        <w:br/>
        <w:t>Interacts with GitHub REST API via authenticated PyGithub client with automatic rate-limit tracking (5,000 requests/hour). Collects historical commits and pull request diffs across large-scale, production Python repositories (e.g., pallets/flask, psf/requests, django/django). Filters commits to isolate Python modifications, extracting commit metadata, file patches, raw additions, and deletions.</w:t>
      </w:r>
    </w:p>
    <w:p>
      <w:r>
        <w:t>Stage 2: Code Metrics &amp; Feature Engineering (src/metrics/, src/features/)</w:t>
        <w:br/>
        <w:t>Parses code changes through a multi-engine analysis suite: Python AST Visitor (structural constructs), Radon Engine (Cyclomatic Complexity, raw SLOC, Halstead metrics), Lizard Engine (Cyclomatic Complexity Numbers, token counts), and Diff Engine (hunks, churn, keyword deltas). Computes exact before-vs-after deltas (Δ = New - Old).</w:t>
      </w:r>
    </w:p>
    <w:p>
      <w:r>
        <w:t>Stage 3: Ground-Truth Heuristic Labeling (src/labeling/)</w:t>
        <w:br/>
        <w:t>Synthesizes ground-truth labels for supervised learning using multi-factor quality heuristics:</w:t>
        <w:br/>
        <w:t>• Degradation (Class 1): Triggered if ΔMI &lt; -1.5, ΔCC ≥ 3, Max Nesting Depth ≥ 4, or new high-complexity functions (&gt; 10 CC) are introduced.</w:t>
        <w:br/>
        <w:t>• Safe / Improvement (Class 0): Non-degrading changes, clean refactorings, documentation enhancements, and complexity-neutral modifications.</w:t>
      </w:r>
    </w:p>
    <w:p>
      <w:r>
        <w:t>Stage 4: Supervised ML Model Training (src/models/, src/pipeline/)</w:t>
        <w:br/>
        <w:t>Trains an XGBoost TreeClassifier across the 25-feature vector. Evaluates candidate models in a tournament against Logistic Regression and Random Forest. Handles class imbalances using scale position weighting and cross-entropy loss optimization. Serializes winning artifact to models/best_model.joblib.</w:t>
      </w:r>
    </w:p>
    <w:p>
      <w:r>
        <w:t>Stage 5: AI Explainability (src/explainability/)</w:t>
        <w:br/>
        <w:t>Integrates SHAP (SHapley Additive exPlanations) via shap.TreeExplainer. Computes exact local Shapley values for each individual prediction, calculating the marginal impact of every metric on the risk score. Generates diverging feature attribution charts and natural language explanatory summaries.</w:t>
      </w:r>
    </w:p>
    <w:p>
      <w:r>
        <w:t>Stage 6: Serving Interfaces (src/api/, src/dashboard/)</w:t>
        <w:br/>
        <w:t>• FastAPI Service: High-performance RESTful API with automated Swagger/OpenAPI docs serving /health, /analyze/code, and /analyze/diff.</w:t>
        <w:br/>
        <w:t>• Streamlit Dashboard: Dark-mode frosted glass interface (#0B1120) offering real-time GitHub repository inspection, interactive side-by-side sandbox testing, and unified patch review.</w:t>
      </w:r>
    </w:p>
    <w:p>
      <w:pPr>
        <w:pStyle w:val="Heading1"/>
        <w:spacing w:before="320" w:after="120"/>
      </w:pPr>
      <w:r>
        <w:t>3. Mathematical Foundations &amp; Metrics Formulation</w:t>
      </w:r>
    </w:p>
    <w:p>
      <w:r>
        <w:t>3.1 Radon Maintainability Index (MI):</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1E293B"/>
                <w:sz w:val="21"/>
              </w:rPr>
              <w:t>MAINTAINABILITY INDEX MATHEMATICAL FORMULATION</w:t>
              <w:br/>
            </w:r>
            <w:r>
              <w:rPr>
                <w:rFonts w:ascii="Calibri" w:hAnsi="Calibri"/>
                <w:color w:val="334155"/>
                <w:sz w:val="20"/>
              </w:rPr>
              <w:t>Raw Formula:</w:t>
              <w:br/>
              <w:t>MI_raw = 171 - 5.2 * ln(V) - 0.23 * (CC) - 16.2 * ln(SLOC) + 50 * sin(sqrt(2.4 * C))</w:t>
              <w:br/>
              <w:br/>
              <w:t>Normalized Formula (0 to 100 Scale):</w:t>
              <w:br/>
              <w:t>MI = max(0.0, min(100.0, MI_raw * (100 / 171)))</w:t>
              <w:br/>
              <w:br/>
              <w:t>Where:</w:t>
              <w:br/>
              <w:t>• V = Halstead Volume (program lexical information content)</w:t>
              <w:br/>
              <w:t>• CC = McCabe Cyclomatic Complexity (linearly independent branching paths)</w:t>
              <w:br/>
              <w:t>• SLOC = Source Lines of Code (logical code lines excluding blanks and comments)</w:t>
              <w:br/>
              <w:t>• C = Percentage of comment lines: C = (Comments / SLOC) * 100</w:t>
              <w:br/>
              <w:br/>
              <w:t>Quality Thresholds:</w:t>
              <w:br/>
              <w:t>• 85 to 100: High Maintainability (Green — Safe to merge)</w:t>
              <w:br/>
              <w:t>• 65 to 84: Moderate Maintainability (Amber — Monitor technical debt)</w:t>
              <w:br/>
              <w:t>• 0 to 64: Low Maintainability / High Risk (Red — Refactoring required)</w:t>
            </w:r>
          </w:p>
        </w:tc>
      </w:tr>
    </w:tbl>
    <w:p>
      <w:pPr>
        <w:spacing w:before="0" w:after="80"/>
      </w:pPr>
    </w:p>
    <w:p>
      <w:r>
        <w:t>Why Tiny Code Changes Score 100.0:</w:t>
        <w:br/>
        <w:t>In Radon's formula, when code length is minimal (SLOC ≤ 5) and complexity is trivial (CC = 1), ln(SLOC) and ln(V) are near zero. The raw formula evaluates to ≥ 171, which Radon clips at the upper ceiling of 100.0/100. Similarly, non-executable lines (type hints, imports) have Halstead Volume = 0, which Radon explicitly defaults to 100.0.</w:t>
      </w:r>
    </w:p>
    <w:p>
      <w:r>
        <w:t>3.2 McCabe Cyclomatic Complexity (CC):</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before="40" w:after="40" w:line="276" w:lineRule="auto"/>
            </w:pPr>
            <w:r>
              <w:rPr>
                <w:rFonts w:ascii="Calibri" w:hAnsi="Calibri"/>
                <w:b/>
                <w:color w:val="1E293B"/>
                <w:sz w:val="21"/>
              </w:rPr>
              <w:t>CYCLOMATIC COMPLEXITY FORMULATION</w:t>
              <w:br/>
            </w:r>
            <w:r>
              <w:rPr>
                <w:rFonts w:ascii="Calibri" w:hAnsi="Calibri"/>
                <w:color w:val="334155"/>
                <w:sz w:val="20"/>
              </w:rPr>
              <w:t>Formula (Graph Theory):</w:t>
              <w:br/>
              <w:t>M = E - N + 2P</w:t>
              <w:br/>
              <w:br/>
              <w:t>Where:</w:t>
              <w:br/>
              <w:t>• E = Number of edges in the control-flow graph</w:t>
              <w:br/>
              <w:t>• N = Number of nodes (basic blocks of sequential statements)</w:t>
              <w:br/>
              <w:t>• P = Number of connected components (P = 1 for a single function)</w:t>
              <w:br/>
              <w:br/>
              <w:t>AST Increment Rule in Python:</w:t>
              <w:br/>
              <w:t>CC = 1 + Count(if, elif, for, while, except, with, and, or, assert)</w:t>
              <w:br/>
              <w:br/>
              <w:t>Risk Thresholds: 1-5 (Low Risk), 6-10 (Moderate), 11-20 (High Risk), 21+ (Untestable Debt)</w:t>
            </w:r>
          </w:p>
        </w:tc>
      </w:tr>
    </w:tbl>
    <w:p>
      <w:pPr>
        <w:spacing w:before="0" w:after="80"/>
      </w:pPr>
    </w:p>
    <w:p>
      <w:r>
        <w:t>3.3 Halstead Software Science Suite:</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D97706"/>
              <w:top w:val="none"/>
              <w:right w:val="none"/>
              <w:bottom w:val="none"/>
            </w:tcBorders>
          </w:tcPr>
          <w:p>
            <w:pPr>
              <w:spacing w:before="40" w:after="40" w:line="276" w:lineRule="auto"/>
            </w:pPr>
            <w:r>
              <w:rPr>
                <w:rFonts w:ascii="Calibri" w:hAnsi="Calibri"/>
                <w:b/>
                <w:color w:val="1E293B"/>
                <w:sz w:val="21"/>
              </w:rPr>
              <w:t>HALSTEAD SOFTWARE SCIENCE FORMULATION</w:t>
              <w:br/>
            </w:r>
            <w:r>
              <w:rPr>
                <w:rFonts w:ascii="Calibri" w:hAnsi="Calibri"/>
                <w:color w:val="334155"/>
                <w:sz w:val="20"/>
              </w:rPr>
              <w:t>Primitive Counts:</w:t>
              <w:br/>
              <w:t>• η1 = Distinct operators (keywords, arithmetic, logical operators)</w:t>
              <w:br/>
              <w:t>• η2 = Distinct operands (variables, constants, identifiers)</w:t>
              <w:br/>
              <w:t>• N1 = Total occurrences of operators</w:t>
              <w:br/>
              <w:t>• N2 = Total occurrences of operands</w:t>
              <w:br/>
              <w:br/>
              <w:t>Derived Metrics:</w:t>
              <w:br/>
              <w:t>1. Program Vocabulary: η = η1 + η2</w:t>
              <w:br/>
              <w:t>2. Program Length: N = N1 + N2</w:t>
              <w:br/>
              <w:t>3. Halstead Volume: V = N * log2(η)</w:t>
              <w:br/>
              <w:t>4. Program Difficulty: D = (η1 / 2) * (N2 / η2)</w:t>
              <w:br/>
              <w:t>5. Halstead Effort: E = D * V</w:t>
              <w:br/>
              <w:t>6. Estimated Delivered Bugs: B = (E ^ (2/3)) / 3000</w:t>
            </w:r>
          </w:p>
        </w:tc>
      </w:tr>
    </w:tbl>
    <w:p>
      <w:pPr>
        <w:spacing w:before="0" w:after="80"/>
      </w:pPr>
    </w:p>
    <w:p>
      <w:pPr>
        <w:pStyle w:val="Heading1"/>
        <w:spacing w:before="320" w:after="120"/>
      </w:pPr>
      <w:r>
        <w:t>4. The Complete 25-Dimensional Feature Vector Specification</w:t>
      </w:r>
    </w:p>
    <w:p>
      <w:r>
        <w:t>Every commit or code change analyzed by CodeSage is reduced to an immutable 25-dimensional numeric feature vector:</w:t>
      </w:r>
    </w:p>
    <w:tbl>
      <w:tblPr>
        <w:tblW w:type="auto" w:w="0"/>
        <w:jc w:val="center"/>
        <w:tblLook w:firstColumn="1" w:firstRow="1" w:lastColumn="0" w:lastRow="0" w:noHBand="0" w:noVBand="1" w:val="04A0"/>
      </w:tblPr>
      <w:tblGrid>
        <w:gridCol w:w="1872"/>
        <w:gridCol w:w="1872"/>
        <w:gridCol w:w="1872"/>
        <w:gridCol w:w="1872"/>
        <w:gridCol w:w="1872"/>
      </w:tblGrid>
      <w:tr>
        <w:tc>
          <w:tcPr>
            <w:tcW w:type="dxa" w:w="576"/>
            <w:shd w:fill="1E293B"/>
            <w:tcMar>
              <w:top w:w="120" w:type="dxa"/>
              <w:bottom w:w="120" w:type="dxa"/>
              <w:left w:w="140" w:type="dxa"/>
              <w:right w:w="140" w:type="dxa"/>
            </w:tcMar>
            <w:vAlign w:val="center"/>
          </w:tcPr>
          <w:p>
            <w:pPr>
              <w:jc w:val="left"/>
            </w:pPr>
            <w:r>
              <w:rPr>
                <w:rFonts w:ascii="Calibri" w:hAnsi="Calibri"/>
                <w:b/>
                <w:color w:val="FFFFFF"/>
                <w:sz w:val="19"/>
              </w:rPr>
              <w:t>#</w:t>
            </w:r>
          </w:p>
        </w:tc>
        <w:tc>
          <w:tcPr>
            <w:tcW w:type="dxa" w:w="3312"/>
            <w:shd w:fill="1E293B"/>
            <w:tcMar>
              <w:top w:w="120" w:type="dxa"/>
              <w:bottom w:w="120" w:type="dxa"/>
              <w:left w:w="140" w:type="dxa"/>
              <w:right w:w="140" w:type="dxa"/>
            </w:tcMar>
            <w:vAlign w:val="center"/>
          </w:tcPr>
          <w:p>
            <w:pPr>
              <w:jc w:val="left"/>
            </w:pPr>
            <w:r>
              <w:rPr>
                <w:rFonts w:ascii="Calibri" w:hAnsi="Calibri"/>
                <w:b/>
                <w:color w:val="FFFFFF"/>
                <w:sz w:val="19"/>
              </w:rPr>
              <w:t>Feature Name</w:t>
            </w:r>
          </w:p>
        </w:tc>
        <w:tc>
          <w:tcPr>
            <w:tcW w:type="dxa" w:w="1728"/>
            <w:shd w:fill="1E293B"/>
            <w:tcMar>
              <w:top w:w="120" w:type="dxa"/>
              <w:bottom w:w="120" w:type="dxa"/>
              <w:left w:w="140" w:type="dxa"/>
              <w:right w:w="140" w:type="dxa"/>
            </w:tcMar>
            <w:vAlign w:val="center"/>
          </w:tcPr>
          <w:p>
            <w:pPr>
              <w:jc w:val="left"/>
            </w:pPr>
            <w:r>
              <w:rPr>
                <w:rFonts w:ascii="Calibri" w:hAnsi="Calibri"/>
                <w:b/>
                <w:color w:val="FFFFFF"/>
                <w:sz w:val="19"/>
              </w:rPr>
              <w:t>Category</w:t>
            </w:r>
          </w:p>
        </w:tc>
        <w:tc>
          <w:tcPr>
            <w:tcW w:type="dxa" w:w="864"/>
            <w:shd w:fill="1E293B"/>
            <w:tcMar>
              <w:top w:w="120" w:type="dxa"/>
              <w:bottom w:w="120" w:type="dxa"/>
              <w:left w:w="140" w:type="dxa"/>
              <w:right w:w="140" w:type="dxa"/>
            </w:tcMar>
            <w:vAlign w:val="center"/>
          </w:tcPr>
          <w:p>
            <w:pPr>
              <w:jc w:val="left"/>
            </w:pPr>
            <w:r>
              <w:rPr>
                <w:rFonts w:ascii="Calibri" w:hAnsi="Calibri"/>
                <w:b/>
                <w:color w:val="FFFFFF"/>
                <w:sz w:val="19"/>
              </w:rPr>
              <w:t>Type</w:t>
            </w:r>
          </w:p>
        </w:tc>
        <w:tc>
          <w:tcPr>
            <w:tcW w:type="dxa" w:w="2880"/>
            <w:shd w:fill="1E293B"/>
            <w:tcMar>
              <w:top w:w="120" w:type="dxa"/>
              <w:bottom w:w="120" w:type="dxa"/>
              <w:left w:w="140" w:type="dxa"/>
              <w:right w:w="140" w:type="dxa"/>
            </w:tcMar>
            <w:vAlign w:val="center"/>
          </w:tcPr>
          <w:p>
            <w:pPr>
              <w:jc w:val="left"/>
            </w:pPr>
            <w:r>
              <w:rPr>
                <w:rFonts w:ascii="Calibri" w:hAnsi="Calibri"/>
                <w:b/>
                <w:color w:val="FFFFFF"/>
                <w:sz w:val="19"/>
              </w:rPr>
              <w:t>Engineering Description</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1</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files_changed_count</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Volume / Scope</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Number of Python files modified in change</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2</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lines_added</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Churn Dynamics</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Total added lines across all changed files</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3</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lines_deleted</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Churn Dynamics</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Total deleted lines across all changed files</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4</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net_lines</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Churn Dynamics</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Net expansion or contraction (A - D)</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5</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churn</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Churn Dynamics</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Absolute volume of touched lines (A + D)</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6</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deletion_ratio</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Churn Ratio</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float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Proportion of deleted lines: D / (A + D)</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7</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hunks_count</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Fragmentation</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Total unified diff edit hunks across all patches</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8</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delta_maintainability_index</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Core Quality</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float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Average shift in Radon Maintainability Index (ΔMI)</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9</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delta_total_complexity</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Complexity</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Net change in total Cyclomatic Complexity (ΔCC)</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10</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delta_avg_complexity</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Complexity</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float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Net change in average complexity per function</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11</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delta_max_complexity</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Complexity</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Shift in single most complex function's CC</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12</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delta_high_complexity_functions</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Debt Risk</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Net change in functions with Cyclomatic CC &gt; 10</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13</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delta_halstead_volume</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Halstead Science</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float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Shift in program information content (ΔV)</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14</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delta_halstead_effort</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Halstead Science</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float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Shift in cognitive mental implementation effort (ΔE)</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15</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delta_max_nesting_depth</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AST Structure</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Shift in deepest control flow nesting level</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16</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delta_classes_count</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AST Structure</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Net change in declared class definitions</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17</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delta_functions_count</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AST Structure</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Net change in declared function definitions</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18</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delta_try_except_count</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AST Structure</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Net change in error handling try-except blocks</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19</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net_branch_keywords</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Lexical Semantics</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Net added branching keywords (if, elif, for, while)</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20</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net_error_handlers</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Lexical Semantics</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Net added exception keywords (try, except, raise)</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21</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net_comments</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Documentation</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Net change in comment and docstring lines</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22</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old_maintainability_index</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Baseline Context</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float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Maintainability Index before the change</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23</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old_total_complexity</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Baseline Context</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Total Cyclomatic Complexity before the change</w:t>
            </w:r>
          </w:p>
        </w:tc>
      </w:tr>
      <w:tr>
        <w:tc>
          <w:tcPr>
            <w:tcW w:type="dxa" w:w="57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24</w:t>
            </w:r>
          </w:p>
        </w:tc>
        <w:tc>
          <w:tcPr>
            <w:tcW w:type="dxa" w:w="331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new_maintainability_index</w:t>
            </w:r>
          </w:p>
        </w:tc>
        <w:tc>
          <w:tcPr>
            <w:tcW w:type="dxa" w:w="172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Post-Change State</w:t>
            </w:r>
          </w:p>
        </w:tc>
        <w:tc>
          <w:tcPr>
            <w:tcW w:type="dxa" w:w="864"/>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float</w:t>
            </w:r>
          </w:p>
        </w:tc>
        <w:tc>
          <w:tcPr>
            <w:tcW w:type="dxa" w:w="288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Resulting Maintainability Index after the change</w:t>
            </w:r>
          </w:p>
        </w:tc>
      </w:tr>
      <w:tr>
        <w:tc>
          <w:tcPr>
            <w:tcW w:type="dxa" w:w="57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25</w:t>
            </w:r>
          </w:p>
        </w:tc>
        <w:tc>
          <w:tcPr>
            <w:tcW w:type="dxa" w:w="331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new_total_complexity</w:t>
            </w:r>
          </w:p>
        </w:tc>
        <w:tc>
          <w:tcPr>
            <w:tcW w:type="dxa" w:w="172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Post-Change State</w:t>
            </w:r>
          </w:p>
        </w:tc>
        <w:tc>
          <w:tcPr>
            <w:tcW w:type="dxa" w:w="864"/>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int</w:t>
            </w:r>
          </w:p>
        </w:tc>
        <w:tc>
          <w:tcPr>
            <w:tcW w:type="dxa" w:w="288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Resulting Cyclomatic Complexity after the change</w:t>
            </w:r>
          </w:p>
        </w:tc>
      </w:tr>
    </w:tbl>
    <w:p>
      <w:pPr>
        <w:spacing w:after="160"/>
      </w:pPr>
    </w:p>
    <w:p>
      <w:pPr>
        <w:pStyle w:val="Heading1"/>
        <w:spacing w:before="320" w:after="120"/>
      </w:pPr>
      <w:r>
        <w:t>5. Machine Learning Training, Hyperparameters &amp; Data Splits</w:t>
      </w:r>
    </w:p>
    <w:p>
      <w:r>
        <w:t>5.1 'Epochs' vs. Boosting Rounds: The Technical Reality</w:t>
        <w:br/>
        <w:t>In machine learning evaluations, evaluators commonly ask: 'How many epochs did you run your model for?'</w:t>
        <w:br/>
        <w:t>It is technically essential to explain that 'Epochs' is a term used specifically for iterative optimization algorithms (like Neural Networks / Deep Learning) that perform multiple passes over the entire training set using gradient descent. For Gradient Boosted Decision Trees (XGBoost), the direct equivalent hyperparameter is n_estimators (Boosting Rounds / Iterations). In CodeSage, n_estimators = 100 boosting iterations/rounds! In each boosting round, XGBoost builds a shallow decision tree (with max_depth = 4) that minimizes the log-loss pseudo-residuals of the previous ensemble trees with a learning rate (eta) of 0.08.</w:t>
      </w:r>
    </w:p>
    <w:p>
      <w:r>
        <w:t>5.2 Train / Validation / Test Split Ratio (70% / 15% / 15%)</w:t>
        <w:br/>
        <w:t>The dataset is partitioned using a rigorous 3-way stratified split implemented in src/pipeline/build_dataset.py:</w:t>
        <w:br/>
        <w:t>• Train Set (70%): Used to fit candidate decision tree splits.</w:t>
        <w:br/>
        <w:t>• Validation Set (15%): Used for hyperparameter tuning and model tournament selection among candidates.</w:t>
        <w:br/>
        <w:t>• Test Set (15%): Strictly held-out benchmark evaluated once to report unbiased generalization metrics.</w:t>
        <w:br/>
        <w:br/>
        <w:t>Why Stratified Sampling (stratify=df['label'])?:</w:t>
        <w:br/>
        <w:t>In real-world software, code degradation is less frequent than safe commits. Stratification guarantees that the exact ratio of degraded vs. non-degraded commits is preserved identically across all three splits, preventing class imbalance skew. Seeded with random_state = 42 for 100% reproducibility.</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vAlign w:val="center"/>
          </w:tcPr>
          <w:p>
            <w:pPr>
              <w:jc w:val="left"/>
            </w:pPr>
            <w:r>
              <w:rPr>
                <w:rFonts w:ascii="Calibri" w:hAnsi="Calibri"/>
                <w:b/>
                <w:color w:val="FFFFFF"/>
                <w:sz w:val="19"/>
              </w:rPr>
              <w:t>Hyperparameter</w:t>
            </w:r>
          </w:p>
        </w:tc>
        <w:tc>
          <w:tcPr>
            <w:tcW w:type="dxa" w:w="2160"/>
            <w:shd w:fill="1E293B"/>
            <w:tcMar>
              <w:top w:w="120" w:type="dxa"/>
              <w:bottom w:w="120" w:type="dxa"/>
              <w:left w:w="140" w:type="dxa"/>
              <w:right w:w="140" w:type="dxa"/>
            </w:tcMar>
            <w:vAlign w:val="center"/>
          </w:tcPr>
          <w:p>
            <w:pPr>
              <w:jc w:val="left"/>
            </w:pPr>
            <w:r>
              <w:rPr>
                <w:rFonts w:ascii="Calibri" w:hAnsi="Calibri"/>
                <w:b/>
                <w:color w:val="FFFFFF"/>
                <w:sz w:val="19"/>
              </w:rPr>
              <w:t>Value in CodeSage</w:t>
            </w:r>
          </w:p>
        </w:tc>
        <w:tc>
          <w:tcPr>
            <w:tcW w:type="dxa" w:w="4608"/>
            <w:shd w:fill="1E293B"/>
            <w:tcMar>
              <w:top w:w="120" w:type="dxa"/>
              <w:bottom w:w="120" w:type="dxa"/>
              <w:left w:w="140" w:type="dxa"/>
              <w:right w:w="140" w:type="dxa"/>
            </w:tcMar>
            <w:vAlign w:val="center"/>
          </w:tcPr>
          <w:p>
            <w:pPr>
              <w:jc w:val="left"/>
            </w:pPr>
            <w:r>
              <w:rPr>
                <w:rFonts w:ascii="Calibri" w:hAnsi="Calibri"/>
                <w:b/>
                <w:color w:val="FFFFFF"/>
                <w:sz w:val="19"/>
              </w:rPr>
              <w:t>Justification / Technical Role</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Model Architecture</w:t>
            </w:r>
          </w:p>
        </w:tc>
        <w:tc>
          <w:tcPr>
            <w:tcW w:type="dxa" w:w="216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XGBClassifier</w:t>
            </w:r>
          </w:p>
        </w:tc>
        <w:tc>
          <w:tcPr>
            <w:tcW w:type="dxa" w:w="460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Gradient Boosted Decision Tree (best for tabular AST features)</w:t>
            </w:r>
          </w:p>
        </w:tc>
      </w:tr>
      <w:tr>
        <w:tc>
          <w:tcPr>
            <w:tcW w:type="dxa" w:w="259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Boosting Rounds (n_estimators)</w:t>
            </w:r>
          </w:p>
        </w:tc>
        <w:tc>
          <w:tcPr>
            <w:tcW w:type="dxa" w:w="216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100</w:t>
            </w:r>
          </w:p>
        </w:tc>
        <w:tc>
          <w:tcPr>
            <w:tcW w:type="dxa" w:w="460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Sequential boosting trees (direct equivalent to epochs)</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Learning Rate (learning_rate)</w:t>
            </w:r>
          </w:p>
        </w:tc>
        <w:tc>
          <w:tcPr>
            <w:tcW w:type="dxa" w:w="216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0.08</w:t>
            </w:r>
          </w:p>
        </w:tc>
        <w:tc>
          <w:tcPr>
            <w:tcW w:type="dxa" w:w="460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Shrinkage step size applied per tree to prevent overfitting</w:t>
            </w:r>
          </w:p>
        </w:tc>
      </w:tr>
      <w:tr>
        <w:tc>
          <w:tcPr>
            <w:tcW w:type="dxa" w:w="259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Tree Max Depth (max_depth)</w:t>
            </w:r>
          </w:p>
        </w:tc>
        <w:tc>
          <w:tcPr>
            <w:tcW w:type="dxa" w:w="216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4</w:t>
            </w:r>
          </w:p>
        </w:tc>
        <w:tc>
          <w:tcPr>
            <w:tcW w:type="dxa" w:w="460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Restricts tree depth to model interactions without memorization</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Loss Function (eval_metric)</w:t>
            </w:r>
          </w:p>
        </w:tc>
        <w:tc>
          <w:tcPr>
            <w:tcW w:type="dxa" w:w="216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logloss</w:t>
            </w:r>
          </w:p>
        </w:tc>
        <w:tc>
          <w:tcPr>
            <w:tcW w:type="dxa" w:w="460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Binary Cross-Entropy Loss optimization</w:t>
            </w:r>
          </w:p>
        </w:tc>
      </w:tr>
      <w:tr>
        <w:tc>
          <w:tcPr>
            <w:tcW w:type="dxa" w:w="259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Training Corpus</w:t>
            </w:r>
          </w:p>
        </w:tc>
        <w:tc>
          <w:tcPr>
            <w:tcW w:type="dxa" w:w="216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~450 Commits</w:t>
            </w:r>
          </w:p>
        </w:tc>
        <w:tc>
          <w:tcPr>
            <w:tcW w:type="dxa" w:w="460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Production repositories: pallets/flask, psf/requests, django/django</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Train / Val / Test Split</w:t>
            </w:r>
          </w:p>
        </w:tc>
        <w:tc>
          <w:tcPr>
            <w:tcW w:type="dxa" w:w="216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70% / 15% / 15%</w:t>
            </w:r>
          </w:p>
        </w:tc>
        <w:tc>
          <w:tcPr>
            <w:tcW w:type="dxa" w:w="460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Stratified 3-way split preventing class imbalance skew</w:t>
            </w:r>
          </w:p>
        </w:tc>
      </w:tr>
      <w:tr>
        <w:tc>
          <w:tcPr>
            <w:tcW w:type="dxa" w:w="259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Random State</w:t>
            </w:r>
          </w:p>
        </w:tc>
        <w:tc>
          <w:tcPr>
            <w:tcW w:type="dxa" w:w="216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42</w:t>
            </w:r>
          </w:p>
        </w:tc>
        <w:tc>
          <w:tcPr>
            <w:tcW w:type="dxa" w:w="460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Ensures deterministic, 100% reproducible splits and training</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Baseline Logistic Regression</w:t>
            </w:r>
          </w:p>
        </w:tc>
        <w:tc>
          <w:tcPr>
            <w:tcW w:type="dxa" w:w="216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max_iter = 1000</w:t>
            </w:r>
          </w:p>
        </w:tc>
        <w:tc>
          <w:tcPr>
            <w:tcW w:type="dxa" w:w="460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L-BFGS solver with balanced class weighting</w:t>
            </w:r>
          </w:p>
        </w:tc>
      </w:tr>
    </w:tbl>
    <w:p>
      <w:pPr>
        <w:spacing w:after="160"/>
      </w:pPr>
    </w:p>
    <w:p>
      <w:r>
        <w:t>5.3 Model Tournament Comparison (src/models/trainer.py)</w:t>
        <w:br/>
        <w:t>During pipeline training, CodeSage trains and benchmarks three candidate architectures across the validation split:</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E293B"/>
            <w:tcMar>
              <w:top w:w="120" w:type="dxa"/>
              <w:bottom w:w="120" w:type="dxa"/>
              <w:left w:w="140" w:type="dxa"/>
              <w:right w:w="140" w:type="dxa"/>
            </w:tcMar>
            <w:vAlign w:val="center"/>
          </w:tcPr>
          <w:p>
            <w:pPr>
              <w:jc w:val="left"/>
            </w:pPr>
            <w:r>
              <w:rPr>
                <w:rFonts w:ascii="Calibri" w:hAnsi="Calibri"/>
                <w:b/>
                <w:color w:val="FFFFFF"/>
                <w:sz w:val="19"/>
              </w:rPr>
              <w:t>Candidate Model</w:t>
            </w:r>
          </w:p>
        </w:tc>
        <w:tc>
          <w:tcPr>
            <w:tcW w:type="dxa" w:w="1440"/>
            <w:shd w:fill="1E293B"/>
            <w:tcMar>
              <w:top w:w="120" w:type="dxa"/>
              <w:bottom w:w="120" w:type="dxa"/>
              <w:left w:w="140" w:type="dxa"/>
              <w:right w:w="140" w:type="dxa"/>
            </w:tcMar>
            <w:vAlign w:val="center"/>
          </w:tcPr>
          <w:p>
            <w:pPr>
              <w:jc w:val="left"/>
            </w:pPr>
            <w:r>
              <w:rPr>
                <w:rFonts w:ascii="Calibri" w:hAnsi="Calibri"/>
                <w:b/>
                <w:color w:val="FFFFFF"/>
                <w:sz w:val="19"/>
              </w:rPr>
              <w:t>Validation F1</w:t>
            </w:r>
          </w:p>
        </w:tc>
        <w:tc>
          <w:tcPr>
            <w:tcW w:type="dxa" w:w="1440"/>
            <w:shd w:fill="1E293B"/>
            <w:tcMar>
              <w:top w:w="120" w:type="dxa"/>
              <w:bottom w:w="120" w:type="dxa"/>
              <w:left w:w="140" w:type="dxa"/>
              <w:right w:w="140" w:type="dxa"/>
            </w:tcMar>
            <w:vAlign w:val="center"/>
          </w:tcPr>
          <w:p>
            <w:pPr>
              <w:jc w:val="left"/>
            </w:pPr>
            <w:r>
              <w:rPr>
                <w:rFonts w:ascii="Calibri" w:hAnsi="Calibri"/>
                <w:b/>
                <w:color w:val="FFFFFF"/>
                <w:sz w:val="19"/>
              </w:rPr>
              <w:t>ROC-AUC</w:t>
            </w:r>
          </w:p>
        </w:tc>
        <w:tc>
          <w:tcPr>
            <w:tcW w:type="dxa" w:w="1152"/>
            <w:shd w:fill="1E293B"/>
            <w:tcMar>
              <w:top w:w="120" w:type="dxa"/>
              <w:bottom w:w="120" w:type="dxa"/>
              <w:left w:w="140" w:type="dxa"/>
              <w:right w:w="140" w:type="dxa"/>
            </w:tcMar>
            <w:vAlign w:val="center"/>
          </w:tcPr>
          <w:p>
            <w:pPr>
              <w:jc w:val="left"/>
            </w:pPr>
            <w:r>
              <w:rPr>
                <w:rFonts w:ascii="Calibri" w:hAnsi="Calibri"/>
                <w:b/>
                <w:color w:val="FFFFFF"/>
                <w:sz w:val="19"/>
              </w:rPr>
              <w:t>Latency</w:t>
            </w:r>
          </w:p>
        </w:tc>
        <w:tc>
          <w:tcPr>
            <w:tcW w:type="dxa" w:w="2736"/>
            <w:shd w:fill="1E293B"/>
            <w:tcMar>
              <w:top w:w="120" w:type="dxa"/>
              <w:bottom w:w="120" w:type="dxa"/>
              <w:left w:w="140" w:type="dxa"/>
              <w:right w:w="140" w:type="dxa"/>
            </w:tcMar>
            <w:vAlign w:val="center"/>
          </w:tcPr>
          <w:p>
            <w:pPr>
              <w:jc w:val="left"/>
            </w:pPr>
            <w:r>
              <w:rPr>
                <w:rFonts w:ascii="Calibri" w:hAnsi="Calibri"/>
                <w:b/>
                <w:color w:val="FFFFFF"/>
                <w:sz w:val="19"/>
              </w:rPr>
              <w:t>Selection Verdict</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1. Logistic Regression (StandardScaler)</w:t>
            </w:r>
          </w:p>
        </w:tc>
        <w:tc>
          <w:tcPr>
            <w:tcW w:type="dxa" w:w="144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~0.76</w:t>
            </w:r>
          </w:p>
        </w:tc>
        <w:tc>
          <w:tcPr>
            <w:tcW w:type="dxa" w:w="144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~0.81</w:t>
            </w:r>
          </w:p>
        </w:tc>
        <w:tc>
          <w:tcPr>
            <w:tcW w:type="dxa" w:w="115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&lt;1 ms</w:t>
            </w:r>
          </w:p>
        </w:tc>
        <w:tc>
          <w:tcPr>
            <w:tcW w:type="dxa" w:w="273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Eliminated (cannot model non-linear nesting thresholds)</w:t>
            </w:r>
          </w:p>
        </w:tc>
      </w:tr>
      <w:tr>
        <w:tc>
          <w:tcPr>
            <w:tcW w:type="dxa" w:w="259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2. Random Forest (100 trees, depth=6)</w:t>
            </w:r>
          </w:p>
        </w:tc>
        <w:tc>
          <w:tcPr>
            <w:tcW w:type="dxa" w:w="144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~0.84</w:t>
            </w:r>
          </w:p>
        </w:tc>
        <w:tc>
          <w:tcPr>
            <w:tcW w:type="dxa" w:w="144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~0.89</w:t>
            </w:r>
          </w:p>
        </w:tc>
        <w:tc>
          <w:tcPr>
            <w:tcW w:type="dxa" w:w="115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~8 ms</w:t>
            </w:r>
          </w:p>
        </w:tc>
        <w:tc>
          <w:tcPr>
            <w:tcW w:type="dxa" w:w="2736"/>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Eliminated (bagging over-predicted on correlated AST metrics)</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3. XGBoost (100 trees, depth=4, lr=0.08)</w:t>
            </w:r>
          </w:p>
        </w:tc>
        <w:tc>
          <w:tcPr>
            <w:tcW w:type="dxa" w:w="144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~0.91</w:t>
            </w:r>
          </w:p>
        </w:tc>
        <w:tc>
          <w:tcPr>
            <w:tcW w:type="dxa" w:w="144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~0.95</w:t>
            </w:r>
          </w:p>
        </w:tc>
        <w:tc>
          <w:tcPr>
            <w:tcW w:type="dxa" w:w="115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~3 ms</w:t>
            </w:r>
          </w:p>
        </w:tc>
        <w:tc>
          <w:tcPr>
            <w:tcW w:type="dxa" w:w="2736"/>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WINNING MODEL (highest F1 &amp; ROC-AUC, microsecond inference)</w:t>
            </w:r>
          </w:p>
        </w:tc>
      </w:tr>
    </w:tbl>
    <w:p>
      <w:pPr>
        <w:spacing w:after="160"/>
      </w:pPr>
    </w:p>
    <w:p>
      <w:pPr>
        <w:pStyle w:val="Heading1"/>
        <w:spacing w:before="320" w:after="120"/>
      </w:pPr>
      <w:r>
        <w:t>6. AI Explainability: TreeExplainer SHAP</w:t>
      </w:r>
    </w:p>
    <w:p>
      <w:r>
        <w:t>Black-box AI is unacceptable in software engineering; developers will not accept an AI review warning without understanding why their code was flagged. CodeSage integrates TreeExplainer SHAP, grounded in cooperative game theory. In this formulation, each of the 25 code metrics acts as a 'player' in a coalition, and the prediction is the 'payout':</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left w:val="single" w:sz="24" w:space="0" w:color="4F46E5"/>
              <w:top w:val="none"/>
              <w:right w:val="none"/>
              <w:bottom w:val="none"/>
            </w:tcBorders>
          </w:tcPr>
          <w:p>
            <w:pPr>
              <w:spacing w:before="40" w:after="40" w:line="276" w:lineRule="auto"/>
            </w:pPr>
            <w:r>
              <w:rPr>
                <w:rFonts w:ascii="Calibri" w:hAnsi="Calibri"/>
                <w:b/>
                <w:color w:val="1E293B"/>
                <w:sz w:val="21"/>
              </w:rPr>
              <w:t>SHAP GAME THEORY FORMULATION</w:t>
              <w:br/>
            </w:r>
            <w:r>
              <w:rPr>
                <w:rFonts w:ascii="Calibri" w:hAnsi="Calibri"/>
                <w:color w:val="334155"/>
                <w:sz w:val="20"/>
              </w:rPr>
              <w:t>Shapley Value Formula:</w:t>
              <w:br/>
              <w:t>φ_i = Σ [ |S|! * (|F| - |S| - 1)! / |F|! ] * [ f(S ∪ {i}) - f(S) ]</w:t>
              <w:br/>
              <w:br/>
              <w:t>Where:</w:t>
              <w:br/>
              <w:t>• φ_i = Exact marginal contribution (SHAP value) of feature i</w:t>
              <w:br/>
              <w:t>• F = Total set of 25 features</w:t>
              <w:br/>
              <w:t>• S = Subset of features excluding feature i</w:t>
              <w:br/>
              <w:t>• f(S) = Model's prediction outcome when evaluated with subset S</w:t>
              <w:br/>
              <w:br/>
              <w:t>TreeExplainer Optimization:</w:t>
              <w:br/>
              <w:t>While calculating exact Shapley values is NP-hard (O(2^|F|)), TreeExplainer computes exact values in polynomial time O(TLD^2) (where T=trees, L=leaves, D=max depth), completing explanations in &lt; 15 milliseconds.</w:t>
            </w:r>
          </w:p>
        </w:tc>
      </w:tr>
    </w:tbl>
    <w:p>
      <w:pPr>
        <w:spacing w:before="0" w:after="80"/>
      </w:pPr>
    </w:p>
    <w:p>
      <w:r>
        <w:t>SHAP Visualization &amp; Actionable Feedback in CodeSage:</w:t>
        <w:br/>
        <w:t>1. Diverging Horizontal Bar Chart: Blue bars show positive factors reducing maintainability risk (e.g., negative cyclomatic complexity shift, increased comments). Amber/Red bars highlight factors driving degradation risk (e.g., nesting depth increases, severe maintainability drops).</w:t>
        <w:br/>
        <w:t>2. Plain-English Reviewer Narrative: Automated synthesis translating weights into clear English advice (e.g., 'Maintainability Index dropped by -18.2 pts', 'Control flow nesting increased by 3 levels (arrowhead anti-pattern)').</w:t>
      </w:r>
    </w:p>
    <w:p>
      <w:pPr>
        <w:pStyle w:val="Heading1"/>
        <w:spacing w:before="320" w:after="120"/>
      </w:pPr>
      <w:r>
        <w:t>7. Edge Cases &amp; Robustness Engineering</w:t>
      </w:r>
    </w:p>
    <w:p>
      <w:r>
        <w:t>CodeSage was engineered to handle messy, real-world git repositories and dirty diffs gracefully:</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vAlign w:val="center"/>
          </w:tcPr>
          <w:p>
            <w:pPr>
              <w:jc w:val="left"/>
            </w:pPr>
            <w:r>
              <w:rPr>
                <w:rFonts w:ascii="Calibri" w:hAnsi="Calibri"/>
                <w:b/>
                <w:color w:val="FFFFFF"/>
                <w:sz w:val="19"/>
              </w:rPr>
              <w:t>Edge Case Scenario</w:t>
            </w:r>
          </w:p>
        </w:tc>
        <w:tc>
          <w:tcPr>
            <w:tcW w:type="dxa" w:w="3168"/>
            <w:shd w:fill="1E293B"/>
            <w:tcMar>
              <w:top w:w="120" w:type="dxa"/>
              <w:bottom w:w="120" w:type="dxa"/>
              <w:left w:w="140" w:type="dxa"/>
              <w:right w:w="140" w:type="dxa"/>
            </w:tcMar>
            <w:vAlign w:val="center"/>
          </w:tcPr>
          <w:p>
            <w:pPr>
              <w:jc w:val="left"/>
            </w:pPr>
            <w:r>
              <w:rPr>
                <w:rFonts w:ascii="Calibri" w:hAnsi="Calibri"/>
                <w:b/>
                <w:color w:val="FFFFFF"/>
                <w:sz w:val="19"/>
              </w:rPr>
              <w:t>Potential Failure Mode</w:t>
            </w:r>
          </w:p>
        </w:tc>
        <w:tc>
          <w:tcPr>
            <w:tcW w:type="dxa" w:w="3600"/>
            <w:shd w:fill="1E293B"/>
            <w:tcMar>
              <w:top w:w="120" w:type="dxa"/>
              <w:bottom w:w="120" w:type="dxa"/>
              <w:left w:w="140" w:type="dxa"/>
              <w:right w:w="140" w:type="dxa"/>
            </w:tcMar>
            <w:vAlign w:val="center"/>
          </w:tcPr>
          <w:p>
            <w:pPr>
              <w:jc w:val="left"/>
            </w:pPr>
            <w:r>
              <w:rPr>
                <w:rFonts w:ascii="Calibri" w:hAnsi="Calibri"/>
                <w:b/>
                <w:color w:val="FFFFFF"/>
                <w:sz w:val="19"/>
              </w:rPr>
              <w:t>CodeSage Defensive Strategy</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Non-Python Commits</w:t>
            </w:r>
          </w:p>
        </w:tc>
        <w:tc>
          <w:tcPr>
            <w:tcW w:type="dxa" w:w="316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Crashes on markdown, YAML, or Dockerfile modifications.</w:t>
            </w:r>
          </w:p>
        </w:tc>
        <w:tc>
          <w:tcPr>
            <w:tcW w:type="dxa" w:w="360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extract_features_from_files inspects file extensions; gracefully skips non-.py files while accurately logging lines churn.</w:t>
            </w:r>
          </w:p>
        </w:tc>
      </w:tr>
      <w:tr>
        <w:tc>
          <w:tcPr>
            <w:tcW w:type="dxa" w:w="259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Partial Unified Diff Hunks</w:t>
            </w:r>
          </w:p>
        </w:tc>
        <w:tc>
          <w:tcPr>
            <w:tcW w:type="dxa" w:w="316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Patch chunks lack outer class/def; causes IndentationError in standard parsers.</w:t>
            </w:r>
          </w:p>
        </w:tc>
        <w:tc>
          <w:tcPr>
            <w:tcW w:type="dxa" w:w="360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Implements progressive line dedenting (textwrap.dedent) and synthetic function wrapping (def _scope(): ...) to recover AST compliance.</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Unclosed Parentheses in Git Dumps</w:t>
            </w:r>
          </w:p>
        </w:tc>
        <w:tc>
          <w:tcPr>
            <w:tcW w:type="dxa" w:w="316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3-line git context cuts off function signatures mid-parenthesis.</w:t>
            </w:r>
          </w:p>
        </w:tc>
        <w:tc>
          <w:tcPr>
            <w:tcW w:type="dxa" w:w="360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Progressive backward-trimming parser discards incomplete trailing context lines to extract valid AST sub-trees.</w:t>
            </w:r>
          </w:p>
        </w:tc>
      </w:tr>
      <w:tr>
        <w:tc>
          <w:tcPr>
            <w:tcW w:type="dxa" w:w="259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Tiny 1-2 Line Snippets</w:t>
            </w:r>
          </w:p>
        </w:tc>
        <w:tc>
          <w:tcPr>
            <w:tcW w:type="dxa" w:w="316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Halstead Volume = 0, causing division by zero or math domain errors.</w:t>
            </w:r>
          </w:p>
        </w:tc>
        <w:tc>
          <w:tcPr>
            <w:tcW w:type="dxa" w:w="360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Safe logarithmic scaling with fallback logic adhering to Radon's V ≤ 0 implies 100.0 specification.</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Missing GitHub Token</w:t>
            </w:r>
          </w:p>
        </w:tc>
        <w:tc>
          <w:tcPr>
            <w:tcW w:type="dxa" w:w="316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API rate limiting (60 requests/hr unauthenticated).</w:t>
            </w:r>
          </w:p>
        </w:tc>
        <w:tc>
          <w:tcPr>
            <w:tcW w:type="dxa" w:w="360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3-tier bulletproof token resolver (inspects st.secrets, .env, and OS environment); provides non-blocking sandbox mode when token is absent.</w:t>
            </w:r>
          </w:p>
        </w:tc>
      </w:tr>
      <w:tr>
        <w:tc>
          <w:tcPr>
            <w:tcW w:type="dxa" w:w="2592"/>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Token Secret Exposure</w:t>
            </w:r>
          </w:p>
        </w:tc>
        <w:tc>
          <w:tcPr>
            <w:tcW w:type="dxa" w:w="3168"/>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Accidental leakage of GitHub personal access tokens in logs or UI.</w:t>
            </w:r>
          </w:p>
        </w:tc>
        <w:tc>
          <w:tcPr>
            <w:tcW w:type="dxa" w:w="3600"/>
            <w:shd w:fill="FFFFFF"/>
            <w:tcMar>
              <w:top w:w="90" w:type="dxa"/>
              <w:bottom w:w="90" w:type="dxa"/>
              <w:left w:w="130" w:type="dxa"/>
              <w:right w:w="130" w:type="dxa"/>
            </w:tcMar>
            <w:vAlign w:val="center"/>
          </w:tcPr>
          <w:p>
            <w:pPr>
              <w:spacing w:before="20" w:after="20" w:line="276" w:lineRule="auto"/>
            </w:pPr>
            <w:r>
              <w:rPr>
                <w:rFonts w:ascii="Calibri" w:hAnsi="Calibri"/>
                <w:color w:val="1E293B"/>
                <w:sz w:val="18"/>
              </w:rPr>
              <w:t>Token inputs removed from client sidebar; tokens parsed strictly on backend; all secrets masked in logs.</w:t>
            </w:r>
          </w:p>
        </w:tc>
      </w:tr>
      <w:tr>
        <w:tc>
          <w:tcPr>
            <w:tcW w:type="dxa" w:w="2592"/>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Streamlit State Collisions</w:t>
            </w:r>
          </w:p>
        </w:tc>
        <w:tc>
          <w:tcPr>
            <w:tcW w:type="dxa" w:w="3168"/>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StreamlitWidgetAlreadyInstantiatedError on programmatic navigation.</w:t>
            </w:r>
          </w:p>
        </w:tc>
        <w:tc>
          <w:tcPr>
            <w:tcW w:type="dxa" w:w="3600"/>
            <w:shd w:fill="F8FAFC"/>
            <w:tcMar>
              <w:top w:w="90" w:type="dxa"/>
              <w:bottom w:w="90" w:type="dxa"/>
              <w:left w:w="130" w:type="dxa"/>
              <w:right w:w="130" w:type="dxa"/>
            </w:tcMar>
            <w:vAlign w:val="center"/>
          </w:tcPr>
          <w:p>
            <w:pPr>
              <w:spacing w:before="20" w:after="20" w:line="276" w:lineRule="auto"/>
            </w:pPr>
            <w:r>
              <w:rPr>
                <w:rFonts w:ascii="Calibri" w:hAnsi="Calibri"/>
                <w:color w:val="1E293B"/>
                <w:sz w:val="18"/>
              </w:rPr>
              <w:t>Radio widgets decoupled from direct state keys; button transitions execute via on_click callbacks before script reruns.</w:t>
            </w:r>
          </w:p>
        </w:tc>
      </w:tr>
    </w:tbl>
    <w:p>
      <w:pPr>
        <w:spacing w:after="160"/>
      </w:pPr>
    </w:p>
    <w:p>
      <w:pPr>
        <w:pStyle w:val="Heading1"/>
        <w:spacing w:before="320" w:after="120"/>
      </w:pPr>
      <w:r>
        <w:t>8. User Interface &amp; Interaction Design (Option C: Frosted Glass)</w:t>
      </w:r>
    </w:p>
    <w:p>
      <w:r>
        <w:t>The CodeSage dashboard adheres to modern developer-tool aesthetics:</w:t>
        <w:br/>
        <w:t>• Visual Design: Dark navy canvas (#0B1120), frosted translucent surfaces (rgba(21, 30, 50, 0.55) with backdrop-filter: blur(20px)), subtle slate borders (#334155), and restrained indigo/cyan accents.</w:t>
        <w:br/>
        <w:t>• Branding Header: Modern code-themed logo (&lt;/&gt;) with purple-blue gradient, product name CodeSage, subtitle Code Quality Analyzer, and collapse toggle.</w:t>
        <w:br/>
        <w:t>• Non-Button Navigation: Zero circular radio dots (hidden via CSS display: none !important), replaced by Lucide SVG masked icons, transparent backgrounds, and active purple border indicators (3px solid #6366F1).</w:t>
        <w:br/>
        <w:t>• Live System Status Card: Displays ● Server Connected (green when token is configured) and ● Model Loaded (green when XGBoost engine is active).</w:t>
        <w:br/>
        <w:t>• Model Information Card: Compact frosted card displaying XGBoost TreeClassifier, 450 Python Commits, 25 Code Metrics, and SHAP Explainability.</w:t>
        <w:br/>
        <w:t>• Streamlined Dashboard: Executive overview hub with maintainability benchmarks, quick workspace launch banner, and recent analysis audit log.</w:t>
      </w:r>
    </w:p>
    <w:p>
      <w:pPr>
        <w:pStyle w:val="Heading1"/>
        <w:spacing w:before="320" w:after="120"/>
      </w:pPr>
      <w:r>
        <w:t>9. Practical Usage &amp; Execution Guide</w:t>
      </w:r>
    </w:p>
    <w:p>
      <w:r>
        <w:t>9.1 Running the Streamlit Dashboard:</w:t>
        <w:br/>
        <w:t>streamlit run src/dashboard/app.py --server.port 8501</w:t>
        <w:br/>
        <w:br/>
        <w:t>9.2 Running the REST API Server:</w:t>
        <w:br/>
        <w:t>uvicorn src.api.main:app --host 0.0.0.0 --port 8000 --reload</w:t>
        <w:br/>
        <w:br/>
        <w:t>9.3 REST API Sample Curl Request:</w:t>
        <w:br/>
        <w:t>curl -X POST "http://localhost:8000/analyze/diff" \</w:t>
        <w:br/>
        <w:t xml:space="preserve">     -H "Content-Type: application/json" \</w:t>
        <w:br/>
        <w:t xml:space="preserve">     -d '{</w:t>
        <w:br/>
        <w:t xml:space="preserve">       "old_code": "def calc(x):\n    return x * 2\n",</w:t>
        <w:br/>
        <w:t xml:space="preserve">       "new_code": "def calc(x):\n    if x &gt; 10:\n        for i in range(x):\n            if i % 2 == 0:\n                print(i)\n    return x * 2\n"</w:t>
        <w:br/>
        <w:t xml:space="preserve">     }'</w:t>
        <w:br/>
        <w:br/>
        <w:t>9.4 Running the Automated Test Suite:</w:t>
        <w:br/>
        <w:t>pytest tests/ -v (All 25 unit and integration tests passing)</w:t>
      </w:r>
    </w:p>
    <w:p>
      <w:pPr>
        <w:pStyle w:val="Heading1"/>
        <w:spacing w:before="320" w:after="120"/>
      </w:pPr>
      <w:r>
        <w:t>10. Presentation Guide &amp; Direct Talking Points</w:t>
      </w:r>
    </w:p>
    <w:p>
      <w:r>
        <w:t>10.1 The 2-Minute Elevator Pitch:</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F46E5"/>
              <w:top w:val="none"/>
              <w:right w:val="none"/>
              <w:bottom w:val="none"/>
            </w:tcBorders>
          </w:tcPr>
          <w:p>
            <w:pPr>
              <w:spacing w:before="40" w:after="40" w:line="276" w:lineRule="auto"/>
            </w:pPr>
            <w:r>
              <w:rPr>
                <w:rFonts w:ascii="Calibri" w:hAnsi="Calibri"/>
                <w:b/>
                <w:color w:val="1E293B"/>
                <w:sz w:val="21"/>
              </w:rPr>
              <w:t>2-MINUTE ELEVATOR PITCH SCRIPT</w:t>
              <w:br/>
            </w:r>
            <w:r>
              <w:rPr>
                <w:rFonts w:ascii="Calibri" w:hAnsi="Calibri"/>
                <w:color w:val="334155"/>
                <w:sz w:val="20"/>
              </w:rPr>
              <w:t>"Traditional linters only verify surface aesthetics—like whether you used 4 spaces or 79-character lines. They are completely blind to whether a change makes code unmaintainable.</w:t>
              <w:br/>
              <w:br/>
              <w:t>CodeSage is an AI pair-reviewer that analyzes code changes dynamically. By parsing before-and-after Abstract Syntax Trees, it measures 25 delta metrics—including Cyclomatic Complexity, Halstead effort, and Radon maintainability shifts. An XGBoost model evaluates whether the change introduces maintainability degradation, while our SHAP explainability engine generates natural-language insights explaining exactly which nested loops or branching paths caused the risk. It bridges the gap between static linting and human code review."</w:t>
            </w:r>
          </w:p>
        </w:tc>
      </w:tr>
    </w:tbl>
    <w:p>
      <w:pPr>
        <w:spacing w:before="0" w:after="80"/>
      </w:pPr>
    </w:p>
    <w:p>
      <w:r>
        <w:t>10.2 Slide-by-Slide Presentation Structure:</w:t>
        <w:br/>
        <w:t>• Slide 1: Title &amp; Overview (CodeSage — AI-Powered Code Change Quality Analyzer)</w:t>
        <w:br/>
        <w:t>• Slide 2: The Core Problem (Surface linters vs. compounding technical debt in pull requests)</w:t>
        <w:br/>
        <w:t>• Slide 3: Delta Dynamic Analysis (Extracting 25 AST and Radon delta metrics)</w:t>
        <w:br/>
        <w:t>• Slide 4: Machine Learning &amp; Hyperparameters (XGBoost 100 rounds, 70/15/15 stratified split, lr=0.08, max_depth=4)</w:t>
        <w:br/>
        <w:t>• Slide 5: Live Demonstration (Side-by-side Sandbox Scenario 2 degradation vs. Scenario 1 refactor)</w:t>
        <w:br/>
        <w:t>• Slide 6: Engineering Robustness &amp; Edge Cases (Patch hunk repair, token protection, 25/25 tests)</w:t>
        <w:br/>
        <w:t>• Slide 7: Future Scope (GitHub Action bot commenting on PRs, multi-language AST support)</w:t>
      </w:r>
    </w:p>
    <w:p>
      <w:r>
        <w:t>10.3 Evaluator FAQ &amp; Technical Defense Scripts: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1E293B"/>
                <w:sz w:val="21"/>
              </w:rPr>
              <w:t>EVALUATOR DEFENSE SCRIPTS</w:t>
              <w:br/>
            </w:r>
            <w:r>
              <w:rPr>
                <w:rFonts w:ascii="Calibri" w:hAnsi="Calibri"/>
                <w:color w:val="334155"/>
                <w:sz w:val="20"/>
              </w:rPr>
              <w:t>Q1: How many epochs did you run, and what was your train-test split?</w:t>
              <w:br/>
              <w:t>"Because our 25 code metrics are tabular, tree-based gradient boosting outperforms deep learning. Therefore, instead of gradient-descent neural network epochs, we use 100 boosting rounds (n_estimators = 100) in XGBoost with a learning rate of 0.08 and a max depth of 4.</w:t>
              <w:br/>
              <w:t>For our dataset split, we used a 70% Train, 15% Validation, and 15% Test ratio with Stratified Sampling on random_state = 42. The 15% validation set was used to select XGBoost over Random Forest and Logistic Regression based on F1-score, and the 15% test set was kept strictly unseen to measure real-world generalization."</w:t>
              <w:br/>
              <w:br/>
              <w:t>Q2: How does CodeSage differ from SonarQube?</w:t>
              <w:br/>
              <w:t>"SonarQube evaluates static snapshots of an entire project using rule-based thresholds. CodeSage focuses specifically on the differential change (the pull request), predicting whether that specific delta improves or degrades overall system maintainability using a trained machine learning model and cooperative game theory (SHAP)."</w:t>
              <w:br/>
              <w:br/>
              <w:t>Q3: Why not just use a Large Language Model (e.g. GPT-4) for code review?</w:t>
              <w:br/>
              <w:t>"LLMs are non-deterministic, prone to hallucinations, slow (3-10 seconds), expensive per token, and can leak proprietary source code to external cloud APIs. CodeSage computes deterministic, mathematically rigorous AST metrics locally in under 5ms, using machine learning only to weight genuine architectural risk."</w:t>
              <w:br/>
              <w:br/>
              <w:t>Q4: Why does a 2-line commit sometimes show a Maintainability Score of 100/100 with a 0.0 shift?</w:t>
              <w:br/>
              <w:t>"In the SEI/Radon maintainability formula, Maintainability Index is an absolute quality score from 0 to 100, not a percentage shift. Trivial 2-line changes with no branching have a complexity of 1 and near-zero Halstead volume. By mathematical definition, clean simple code achieves maximum maintainability (100.0/100). Significant shifts occur when logic branches, loops, or nesting structures change."</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