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Calibri" w:hAnsi="Calibri"/>
          <w:b/>
          <w:color w:val="1F4E79"/>
          <w:sz w:val="44"/>
        </w:rPr>
        <w:t>Marketing Campaign Effectiveness Analysis</w:t>
      </w:r>
    </w:p>
    <w:p>
      <w:pPr>
        <w:spacing w:before="0" w:after="60"/>
        <w:jc w:val="left"/>
      </w:pPr>
      <w:r>
        <w:rPr>
          <w:rFonts w:ascii="Calibri" w:hAnsi="Calibri"/>
          <w:color w:val="2E75B6"/>
          <w:sz w:val="24"/>
        </w:rPr>
        <w:t>Consumer Behaviour, Advertising Trust, and Promotional Framing</w:t>
      </w:r>
    </w:p>
    <w:p>
      <w:pPr>
        <w:spacing w:before="0" w:after="160"/>
        <w:jc w:val="left"/>
      </w:pPr>
      <w:r>
        <w:rPr>
          <w:rFonts w:ascii="Calibri" w:hAnsi="Calibri"/>
          <w:i/>
          <w:color w:val="595959"/>
          <w:sz w:val="20"/>
        </w:rPr>
        <w:t>Introduction to Data Handling and Visualization — IDHV 2026M Course Project Report</w:t>
      </w:r>
    </w:p>
    <w:p>
      <w:pPr>
        <w:spacing w:before="60" w:after="160"/>
      </w:pPr>
      <w:r>
        <w:rPr>
          <w:b/>
          <w:color w:val="1F4E79"/>
          <w:sz w:val="19"/>
        </w:rPr>
        <w:t xml:space="preserve">Online Questionnaire &amp; Survey Web Application: </w:t>
      </w:r>
      <w:hyperlink r:id="rId9">
        <w:r>
          <w:t>https://marketing-campaign-effectiveness-santosh.streamlit.app/</w:t>
          <w:rPr>
            <w:color w:val="1B4F72"/>
            <w:u w:val="single"/>
            <w:sz w:val="19"/>
          </w:rPr>
        </w:r>
      </w:hyperlink>
    </w:p>
    <w:tbl>
      <w:tblPr>
        <w:tblW w:type="auto" w:w="0"/>
        <w:jc w:val="center"/>
        <w:tblLook w:firstColumn="1" w:firstRow="1" w:lastColumn="0" w:lastRow="0" w:noHBand="0" w:noVBand="1" w:val="04A0"/>
      </w:tblPr>
      <w:tblGrid>
        <w:gridCol w:w="4874"/>
        <w:gridCol w:w="4874"/>
      </w:tblGrid>
      <w:tr>
        <w:trPr>
          <w:cantSplit/>
          <w:tblHeader/>
        </w:trPr>
        <w:tc>
          <w:tcPr>
            <w:tcW w:type="dxa" w:w="4874"/>
            <w:shd w:fill="1F4E79"/>
          </w:tcPr>
          <w:p>
            <w:pPr>
              <w:spacing w:before="40" w:after="40"/>
            </w:pPr>
            <w:r>
              <w:rPr>
                <w:b/>
                <w:color w:val="FFFFFF"/>
                <w:sz w:val="18"/>
              </w:rPr>
              <w:t>Student Name</w:t>
            </w:r>
          </w:p>
        </w:tc>
        <w:tc>
          <w:tcPr>
            <w:tcW w:type="dxa" w:w="4874"/>
            <w:shd w:fill="1F4E79"/>
          </w:tcPr>
          <w:p>
            <w:pPr>
              <w:spacing w:before="40" w:after="40"/>
            </w:pPr>
            <w:r>
              <w:rPr>
                <w:b/>
                <w:color w:val="FFFFFF"/>
                <w:sz w:val="18"/>
              </w:rPr>
              <w:t>Roll Number</w:t>
            </w:r>
          </w:p>
        </w:tc>
      </w:tr>
      <w:tr>
        <w:trPr>
          <w:cantSplit/>
        </w:trPr>
        <w:tc>
          <w:tcPr>
            <w:tcW w:type="dxa" w:w="4874"/>
            <w:shd w:fill="F9FBFD"/>
          </w:tcPr>
          <w:p>
            <w:pPr>
              <w:spacing w:before="30" w:after="30"/>
            </w:pPr>
            <w:r>
              <w:rPr>
                <w:color w:val="262626"/>
                <w:sz w:val="18"/>
              </w:rPr>
              <w:t>G Sai Akhil</w:t>
            </w:r>
          </w:p>
        </w:tc>
        <w:tc>
          <w:tcPr>
            <w:tcW w:type="dxa" w:w="4874"/>
            <w:shd w:fill="F9FBFD"/>
          </w:tcPr>
          <w:p>
            <w:pPr>
              <w:spacing w:before="30" w:after="30"/>
            </w:pPr>
            <w:r>
              <w:rPr>
                <w:color w:val="262626"/>
                <w:sz w:val="18"/>
              </w:rPr>
              <w:t>S20240010068</w:t>
            </w:r>
          </w:p>
        </w:tc>
      </w:tr>
      <w:tr>
        <w:trPr>
          <w:cantSplit/>
        </w:trPr>
        <w:tc>
          <w:tcPr>
            <w:tcW w:type="dxa" w:w="4874"/>
            <w:shd w:fill="FFFFFF"/>
          </w:tcPr>
          <w:p>
            <w:pPr>
              <w:spacing w:before="30" w:after="30"/>
            </w:pPr>
            <w:r>
              <w:rPr>
                <w:color w:val="262626"/>
                <w:sz w:val="18"/>
              </w:rPr>
              <w:t>Aditya Koka</w:t>
            </w:r>
          </w:p>
        </w:tc>
        <w:tc>
          <w:tcPr>
            <w:tcW w:type="dxa" w:w="4874"/>
            <w:shd w:fill="FFFFFF"/>
          </w:tcPr>
          <w:p>
            <w:pPr>
              <w:spacing w:before="30" w:after="30"/>
            </w:pPr>
            <w:r>
              <w:rPr>
                <w:color w:val="262626"/>
                <w:sz w:val="18"/>
              </w:rPr>
              <w:t>S20240010117</w:t>
            </w:r>
          </w:p>
        </w:tc>
      </w:tr>
      <w:tr>
        <w:trPr>
          <w:cantSplit/>
        </w:trPr>
        <w:tc>
          <w:tcPr>
            <w:tcW w:type="dxa" w:w="4874"/>
            <w:shd w:fill="F9FBFD"/>
          </w:tcPr>
          <w:p>
            <w:pPr>
              <w:spacing w:before="30" w:after="30"/>
            </w:pPr>
            <w:r>
              <w:rPr>
                <w:color w:val="262626"/>
                <w:sz w:val="18"/>
              </w:rPr>
              <w:t>G Santosh Reddy</w:t>
            </w:r>
          </w:p>
        </w:tc>
        <w:tc>
          <w:tcPr>
            <w:tcW w:type="dxa" w:w="4874"/>
            <w:shd w:fill="F9FBFD"/>
          </w:tcPr>
          <w:p>
            <w:pPr>
              <w:spacing w:before="30" w:after="30"/>
            </w:pPr>
            <w:r>
              <w:rPr>
                <w:color w:val="262626"/>
                <w:sz w:val="18"/>
              </w:rPr>
              <w:t>S20240030369</w:t>
            </w:r>
          </w:p>
        </w:tc>
      </w:tr>
    </w:tbl>
    <w:p>
      <w:pPr>
        <w:spacing w:before="40" w:after="160"/>
        <w:jc w:val="center"/>
      </w:pPr>
      <w:r>
        <w:rPr>
          <w:i/>
          <w:sz w:val="18"/>
        </w:rPr>
        <w:t>Table 1. Project team details and institutional roll allocations.</w:t>
      </w:r>
    </w:p>
    <w:p>
      <w:pPr>
        <w:keepNext/>
        <w:spacing w:before="180" w:after="60"/>
      </w:pPr>
      <w:r>
        <w:rPr>
          <w:rFonts w:ascii="Calibri" w:hAnsi="Calibri"/>
          <w:b/>
          <w:color w:val="2E75B6"/>
          <w:sz w:val="24"/>
        </w:rPr>
        <w:t>Executive Abstract</w:t>
      </w:r>
    </w:p>
    <w:p>
      <w:pPr>
        <w:spacing w:before="0" w:after="80"/>
      </w:pPr>
      <w:r>
        <w:rPr>
          <w:rFonts w:ascii="Calibri" w:hAnsi="Calibri"/>
          <w:color w:val="262626"/>
          <w:sz w:val="21"/>
        </w:rPr>
        <w:t>This empirical investigation explores the determinants of digital marketing campaign effectiveness, consumer advertising receptivity, and promotional framing preferences in modern e-commerce. Utilizing a stratified survey sample combined with a within-subjects experimental design across 74 completed respondents (222 experimental trial observations), we examine digital touchpoints, conversion funnels, skepticism mechanisms, and consumer purchase intentions. Statistical modeling demonstrates that promotional incentives create substantial lift over baseline control conditions (p &lt; 0.001), with immediate price discounts achieving superior certainty and value-for-money confidence compared to delayed cashback rewards.</w:t>
      </w:r>
    </w:p>
    <w:p>
      <w:pPr>
        <w:keepNext/>
        <w:spacing w:before="240" w:after="80"/>
      </w:pPr>
      <w:r>
        <w:rPr>
          <w:rFonts w:ascii="Calibri" w:hAnsi="Calibri"/>
          <w:b/>
          <w:color w:val="1F4E79"/>
          <w:sz w:val="30"/>
        </w:rPr>
        <w:t>1. Introduction</w:t>
      </w:r>
    </w:p>
    <w:p>
      <w:pPr>
        <w:keepNext/>
        <w:spacing w:before="180" w:after="60"/>
      </w:pPr>
      <w:r>
        <w:rPr>
          <w:rFonts w:ascii="Calibri" w:hAnsi="Calibri"/>
          <w:b/>
          <w:color w:val="2E75B6"/>
          <w:sz w:val="24"/>
        </w:rPr>
        <w:t>1.1 Motivation and Practical Context</w:t>
      </w:r>
    </w:p>
    <w:p>
      <w:pPr>
        <w:spacing w:before="0" w:after="80"/>
      </w:pPr>
      <w:r>
        <w:rPr>
          <w:rFonts w:ascii="Calibri" w:hAnsi="Calibri"/>
          <w:color w:val="262626"/>
          <w:sz w:val="21"/>
        </w:rPr>
        <w:t>Modern digital marketing environments are saturated with algorithmic advertisements, influencer endorsements, and aggressive promotional campaigns across social media and e-commerce platforms. Despite high spending by advertisers, brands face rising consumer ad avoidance, ad fatigue, and banner blindness. Understanding consumer decision-making across touchpoints is critical for optimizing ad spend and user experience.</w:t>
      </w:r>
    </w:p>
    <w:p>
      <w:pPr>
        <w:spacing w:before="0" w:after="80"/>
      </w:pPr>
      <w:r>
        <w:rPr>
          <w:rFonts w:ascii="Calibri" w:hAnsi="Calibri"/>
          <w:color w:val="262626"/>
          <w:sz w:val="21"/>
        </w:rPr>
        <w:t>This research investigates consumer responses toward digital advertising and promotional framing. Specifically, we examine where consumers discover products, the drop-off dynamics across the digital conversion funnel, the underlying psychological reasons for ad avoidance, and how distinct promotional incentives (immediate price discounts vs. delayed cashback rewards) alter perceived value, attractiveness, and purchase intent.</w:t>
      </w:r>
    </w:p>
    <w:p>
      <w:pPr>
        <w:keepNext/>
        <w:spacing w:before="180" w:after="60"/>
      </w:pPr>
      <w:r>
        <w:rPr>
          <w:rFonts w:ascii="Calibri" w:hAnsi="Calibri"/>
          <w:b/>
          <w:color w:val="2E75B6"/>
          <w:sz w:val="24"/>
        </w:rPr>
        <w:t>1.2 Research Questions</w:t>
      </w:r>
    </w:p>
    <w:p>
      <w:pPr>
        <w:spacing w:before="0" w:after="80"/>
      </w:pPr>
      <w:r>
        <w:rPr>
          <w:rFonts w:ascii="Calibri" w:hAnsi="Calibri"/>
          <w:color w:val="262626"/>
          <w:sz w:val="21"/>
        </w:rPr>
        <w:t>The project is structured around four primary research questions:</w:t>
      </w:r>
    </w:p>
    <w:p>
      <w:pPr>
        <w:spacing w:before="20" w:after="50"/>
        <w:ind w:left="288"/>
      </w:pPr>
      <w:r>
        <w:rPr>
          <w:b/>
          <w:color w:val="1F4E79"/>
        </w:rPr>
        <w:t xml:space="preserve">RQ1. Channel Discovery &amp; Funnel Dynamics: </w:t>
      </w:r>
      <w:r>
        <w:rPr>
          <w:color w:val="262626"/>
        </w:rPr>
        <w:t>Which digital touchpoints serve as the primary product discovery channels across demographic age groups, and what are the drop-off rates across the advertising conversion funnel?</w:t>
      </w:r>
    </w:p>
    <w:p>
      <w:pPr>
        <w:spacing w:before="20" w:after="50"/>
        <w:ind w:left="288"/>
      </w:pPr>
      <w:r>
        <w:rPr>
          <w:b/>
          <w:color w:val="1F4E79"/>
        </w:rPr>
        <w:t xml:space="preserve">RQ2. Consumer Skepticism &amp; Avoidance: </w:t>
      </w:r>
      <w:r>
        <w:rPr>
          <w:color w:val="262626"/>
        </w:rPr>
        <w:t>What are the primary psychological and experiential drivers behind consumer ad avoidance and skepticism?</w:t>
      </w:r>
    </w:p>
    <w:p>
      <w:pPr>
        <w:spacing w:before="20" w:after="50"/>
        <w:ind w:left="288"/>
      </w:pPr>
      <w:r>
        <w:rPr>
          <w:b/>
          <w:color w:val="1F4E79"/>
        </w:rPr>
        <w:t xml:space="preserve">RQ3. Promotional Framing Impact: </w:t>
      </w:r>
      <w:r>
        <w:rPr>
          <w:color w:val="262626"/>
        </w:rPr>
        <w:t>How do promotional framing structures (control vs. immediate discount vs. cashback) alter purchase intention, offer attractiveness, and perceived value for money?</w:t>
      </w:r>
    </w:p>
    <w:p>
      <w:pPr>
        <w:spacing w:before="20" w:after="50"/>
        <w:ind w:left="288"/>
      </w:pPr>
      <w:r>
        <w:rPr>
          <w:b/>
          <w:color w:val="1F4E79"/>
        </w:rPr>
        <w:t xml:space="preserve">RQ4. Predictive Behavioral Determinants: </w:t>
      </w:r>
      <w:r>
        <w:rPr>
          <w:color w:val="262626"/>
        </w:rPr>
        <w:t>Which demographic and behavioral covariates significantly predict consumer purchase intention in promotional scenarios?</w:t>
      </w:r>
    </w:p>
    <w:p>
      <w:pPr>
        <w:keepNext/>
        <w:spacing w:before="180" w:after="60"/>
      </w:pPr>
      <w:r>
        <w:rPr>
          <w:rFonts w:ascii="Calibri" w:hAnsi="Calibri"/>
          <w:b/>
          <w:color w:val="2E75B6"/>
          <w:sz w:val="24"/>
        </w:rPr>
        <w:t>1.3 Theoretical Framework and Hypotheses</w:t>
      </w:r>
    </w:p>
    <w:p>
      <w:pPr>
        <w:spacing w:before="0" w:after="80"/>
      </w:pPr>
      <w:r>
        <w:rPr>
          <w:rFonts w:ascii="Calibri" w:hAnsi="Calibri"/>
          <w:color w:val="262626"/>
          <w:sz w:val="21"/>
        </w:rPr>
        <w:t>Drawing from behavioral economics and prospect theory, we formulate five formal empirical hypotheses:</w:t>
      </w:r>
    </w:p>
    <w:p>
      <w:pPr>
        <w:spacing w:before="20" w:after="50"/>
        <w:ind w:left="288"/>
      </w:pPr>
      <w:r>
        <w:rPr>
          <w:b/>
          <w:color w:val="1F4E79"/>
        </w:rPr>
        <w:t xml:space="preserve">Hypothesis 1 (H1): </w:t>
      </w:r>
      <w:r>
        <w:rPr>
          <w:color w:val="262626"/>
        </w:rPr>
        <w:t>Consumer purchase intention differs significantly across promotional conditions (Control, Immediate Discount, Cashback).</w:t>
      </w:r>
    </w:p>
    <w:p>
      <w:pPr>
        <w:spacing w:before="20" w:after="50"/>
        <w:ind w:left="288"/>
      </w:pPr>
      <w:r>
        <w:rPr>
          <w:b/>
          <w:color w:val="1F4E79"/>
        </w:rPr>
        <w:t xml:space="preserve">Hypothesis 2 (H2): </w:t>
      </w:r>
      <w:r>
        <w:rPr>
          <w:color w:val="262626"/>
        </w:rPr>
        <w:t>Immediate price discounts generate significantly higher purchase intention and value-for-money confidence than cashback offers due to zero perceived delay and cognitive certainty.</w:t>
      </w:r>
    </w:p>
    <w:p>
      <w:pPr>
        <w:spacing w:before="20" w:after="50"/>
        <w:ind w:left="288"/>
      </w:pPr>
      <w:r>
        <w:rPr>
          <w:b/>
          <w:color w:val="1F4E79"/>
        </w:rPr>
        <w:t xml:space="preserve">Hypothesis 3 (H3): </w:t>
      </w:r>
      <w:r>
        <w:rPr>
          <w:color w:val="262626"/>
        </w:rPr>
        <w:t>Consumers with higher baseline ad trust exhibit significantly higher purchase intention across promotional scenarios.</w:t>
      </w:r>
    </w:p>
    <w:p>
      <w:pPr>
        <w:spacing w:before="20" w:after="50"/>
        <w:ind w:left="288"/>
      </w:pPr>
      <w:r>
        <w:rPr>
          <w:b/>
          <w:color w:val="1F4E79"/>
        </w:rPr>
        <w:t xml:space="preserve">Hypothesis 4 (H4): </w:t>
      </w:r>
      <w:r>
        <w:rPr>
          <w:color w:val="262626"/>
        </w:rPr>
        <w:t>Ad clickers report significantly higher historical purchase rates compared to non-clickers.</w:t>
      </w:r>
    </w:p>
    <w:p>
      <w:pPr>
        <w:spacing w:before="20" w:after="50"/>
        <w:ind w:left="288"/>
      </w:pPr>
      <w:r>
        <w:rPr>
          <w:b/>
          <w:color w:val="1F4E79"/>
        </w:rPr>
        <w:t xml:space="preserve">Hypothesis 5 (H5): </w:t>
      </w:r>
      <w:r>
        <w:rPr>
          <w:color w:val="262626"/>
        </w:rPr>
        <w:t>Ad avoidance is predominantly driven by perceived irrelevance and skepticism rather than technical obstruction.</w:t>
      </w:r>
    </w:p>
    <w:p>
      <w:pPr>
        <w:keepNext/>
        <w:spacing w:before="240" w:after="80"/>
      </w:pPr>
      <w:r>
        <w:rPr>
          <w:rFonts w:ascii="Calibri" w:hAnsi="Calibri"/>
          <w:b/>
          <w:color w:val="1F4E79"/>
          <w:sz w:val="30"/>
        </w:rPr>
        <w:t>2. Methodology</w:t>
      </w:r>
    </w:p>
    <w:p>
      <w:pPr>
        <w:keepNext/>
        <w:spacing w:before="180" w:after="60"/>
      </w:pPr>
      <w:r>
        <w:rPr>
          <w:rFonts w:ascii="Calibri" w:hAnsi="Calibri"/>
          <w:b/>
          <w:color w:val="2E75B6"/>
          <w:sz w:val="24"/>
        </w:rPr>
        <w:t>2.1 Target Population &amp; Stratified Quota Sampling</w:t>
      </w:r>
    </w:p>
    <w:p>
      <w:pPr>
        <w:spacing w:before="0" w:after="80"/>
      </w:pPr>
      <w:r>
        <w:rPr>
          <w:rFonts w:ascii="Calibri" w:hAnsi="Calibri"/>
          <w:color w:val="262626"/>
          <w:sz w:val="21"/>
        </w:rPr>
        <w:t>The target population comprises active Indian digital consumers who engage with online shopping and social platforms. To prevent cohort distortion toward young tech users, a stratified quota sampling design was deployed across five target age cohorts: Under 18 (Target: 10%), 18–22 (Target: 30%), 23–30 (Target: 30%), 31–45 (Target: 20%), and Above 45 (Target: 10%).</w:t>
      </w:r>
    </w:p>
    <w:p>
      <w:pPr>
        <w:spacing w:before="0" w:after="80"/>
      </w:pPr>
      <w:r>
        <w:rPr>
          <w:rFonts w:ascii="Calibri" w:hAnsi="Calibri"/>
          <w:color w:val="262626"/>
          <w:sz w:val="21"/>
        </w:rPr>
        <w:t>The live survey recruited 80 total respondents. A rigorous quality audit revealed that 6 sessions were abandoned mid-survey without completing the experimental scenarios. These 6 incomplete rows were systematically eliminated, yielding a final completed sample of N = 74 respondents (222 experimental trial observations).</w:t>
      </w:r>
    </w:p>
    <w:p>
      <w:pPr>
        <w:keepNext/>
        <w:spacing w:before="180" w:after="60"/>
      </w:pPr>
      <w:r>
        <w:rPr>
          <w:rFonts w:ascii="Calibri" w:hAnsi="Calibri"/>
          <w:b/>
          <w:color w:val="2E75B6"/>
          <w:sz w:val="24"/>
        </w:rPr>
        <w:t>2.2 Survey Instrument Architecture &amp; Telemetry Design</w:t>
      </w:r>
    </w:p>
    <w:p>
      <w:pPr>
        <w:spacing w:before="0" w:after="80"/>
      </w:pPr>
      <w:r>
        <w:rPr>
          <w:rFonts w:ascii="Calibri" w:hAnsi="Calibri"/>
          <w:color w:val="262626"/>
          <w:sz w:val="21"/>
        </w:rPr>
        <w:t>The survey instrument was engineered as an interactive web application built with Python and Streamlit. The complete questionnaire consists of 12 core survey questions, one conditional follow-up question (Question 6a), and three experimental scenario conditions (Questions 13, 14, 15). Table 2 presents the exact questionnaire specification as documented in the Step 1 application report.</w:t>
      </w:r>
    </w:p>
    <w:p>
      <w:pPr>
        <w:spacing w:before="40" w:after="120"/>
      </w:pPr>
      <w:r>
        <w:rPr>
          <w:b/>
          <w:color w:val="1F4E79"/>
          <w:sz w:val="19"/>
        </w:rPr>
        <w:t xml:space="preserve">Online Survey Instrument: </w:t>
      </w:r>
      <w:hyperlink r:id="rId9">
        <w:r>
          <w:t>https://marketing-campaign-effectiveness-santosh.streamlit.app/</w:t>
          <w:rPr>
            <w:color w:val="1B4F72"/>
            <w:u w:val="single"/>
            <w:sz w:val="19"/>
          </w:rPr>
        </w:r>
      </w:hyperlink>
      <w:r>
        <w:rPr>
          <w:b/>
          <w:color w:val="1F4E79"/>
          <w:sz w:val="19"/>
        </w:rPr>
        <w:t xml:space="preserve">  |  Source Code: </w:t>
      </w:r>
      <w:hyperlink r:id="rId10">
        <w:r>
          <w:t>github.com/santoshreddyg06/marketing-campaign-effectiveness</w:t>
          <w:rPr>
            <w:color w:val="1B4F72"/>
            <w:u w:val="single"/>
            <w:sz w:val="19"/>
          </w:rPr>
        </w:r>
      </w:hyperlink>
    </w:p>
    <w:tbl>
      <w:tblPr>
        <w:tblW w:type="auto" w:w="0"/>
        <w:jc w:val="center"/>
        <w:tblLook w:firstColumn="1" w:firstRow="1" w:lastColumn="0" w:lastRow="0" w:noHBand="0" w:noVBand="1" w:val="04A0"/>
      </w:tblPr>
      <w:tblGrid>
        <w:gridCol w:w="2437"/>
        <w:gridCol w:w="2437"/>
        <w:gridCol w:w="2437"/>
        <w:gridCol w:w="2437"/>
      </w:tblGrid>
      <w:tr>
        <w:trPr>
          <w:cantSplit/>
          <w:tblHeader/>
        </w:trPr>
        <w:tc>
          <w:tcPr>
            <w:tcW w:type="dxa" w:w="2437"/>
            <w:shd w:fill="1F4E79"/>
          </w:tcPr>
          <w:p>
            <w:pPr>
              <w:spacing w:before="40" w:after="40"/>
            </w:pPr>
            <w:r>
              <w:rPr>
                <w:b/>
                <w:color w:val="FFFFFF"/>
                <w:sz w:val="16"/>
              </w:rPr>
              <w:t>No.</w:t>
            </w:r>
          </w:p>
        </w:tc>
        <w:tc>
          <w:tcPr>
            <w:tcW w:type="dxa" w:w="2437"/>
            <w:shd w:fill="1F4E79"/>
          </w:tcPr>
          <w:p>
            <w:pPr>
              <w:spacing w:before="40" w:after="40"/>
            </w:pPr>
            <w:r>
              <w:rPr>
                <w:b/>
                <w:color w:val="FFFFFF"/>
                <w:sz w:val="16"/>
              </w:rPr>
              <w:t>Question</w:t>
            </w:r>
          </w:p>
        </w:tc>
        <w:tc>
          <w:tcPr>
            <w:tcW w:type="dxa" w:w="2437"/>
            <w:shd w:fill="1F4E79"/>
          </w:tcPr>
          <w:p>
            <w:pPr>
              <w:spacing w:before="40" w:after="40"/>
            </w:pPr>
            <w:r>
              <w:rPr>
                <w:b/>
                <w:color w:val="FFFFFF"/>
                <w:sz w:val="16"/>
              </w:rPr>
              <w:t>Answer type / options</w:t>
            </w:r>
          </w:p>
        </w:tc>
        <w:tc>
          <w:tcPr>
            <w:tcW w:type="dxa" w:w="2437"/>
            <w:shd w:fill="1F4E79"/>
          </w:tcPr>
          <w:p>
            <w:pPr>
              <w:spacing w:before="40" w:after="40"/>
            </w:pPr>
            <w:r>
              <w:rPr>
                <w:b/>
                <w:color w:val="FFFFFF"/>
                <w:sz w:val="16"/>
              </w:rPr>
              <w:t>Scale / Type</w:t>
            </w:r>
          </w:p>
        </w:tc>
      </w:tr>
      <w:tr>
        <w:trPr>
          <w:cantSplit/>
        </w:trPr>
        <w:tc>
          <w:tcPr>
            <w:tcW w:type="dxa" w:w="2437"/>
            <w:shd w:fill="F9FBFD"/>
          </w:tcPr>
          <w:p>
            <w:pPr>
              <w:spacing w:before="30" w:after="30"/>
            </w:pPr>
            <w:r>
              <w:rPr>
                <w:color w:val="262626"/>
                <w:sz w:val="16"/>
              </w:rPr>
              <w:t>1</w:t>
            </w:r>
          </w:p>
        </w:tc>
        <w:tc>
          <w:tcPr>
            <w:tcW w:type="dxa" w:w="2437"/>
            <w:shd w:fill="F9FBFD"/>
          </w:tcPr>
          <w:p>
            <w:pPr>
              <w:spacing w:before="30" w:after="30"/>
            </w:pPr>
            <w:r>
              <w:rPr>
                <w:color w:val="262626"/>
                <w:sz w:val="16"/>
              </w:rPr>
              <w:t>What is your age group?</w:t>
            </w:r>
          </w:p>
        </w:tc>
        <w:tc>
          <w:tcPr>
            <w:tcW w:type="dxa" w:w="2437"/>
            <w:shd w:fill="F9FBFD"/>
          </w:tcPr>
          <w:p>
            <w:pPr>
              <w:spacing w:before="30" w:after="30"/>
            </w:pPr>
            <w:r>
              <w:rPr>
                <w:color w:val="262626"/>
                <w:sz w:val="16"/>
              </w:rPr>
              <w:t>Under 18, 18-22, 23-30, 31-45, Above 45</w:t>
            </w:r>
          </w:p>
        </w:tc>
        <w:tc>
          <w:tcPr>
            <w:tcW w:type="dxa" w:w="2437"/>
            <w:shd w:fill="F9FBFD"/>
          </w:tcPr>
          <w:p>
            <w:pPr>
              <w:spacing w:before="30" w:after="30"/>
            </w:pPr>
            <w:r>
              <w:rPr>
                <w:color w:val="262626"/>
                <w:sz w:val="16"/>
              </w:rPr>
              <w:t>Categorical (Nominal)</w:t>
            </w:r>
          </w:p>
        </w:tc>
      </w:tr>
      <w:tr>
        <w:trPr>
          <w:cantSplit/>
        </w:trPr>
        <w:tc>
          <w:tcPr>
            <w:tcW w:type="dxa" w:w="2437"/>
            <w:shd w:fill="FFFFFF"/>
          </w:tcPr>
          <w:p>
            <w:pPr>
              <w:spacing w:before="30" w:after="30"/>
            </w:pPr>
            <w:r>
              <w:rPr>
                <w:color w:val="262626"/>
                <w:sz w:val="16"/>
              </w:rPr>
              <w:t>2</w:t>
            </w:r>
          </w:p>
        </w:tc>
        <w:tc>
          <w:tcPr>
            <w:tcW w:type="dxa" w:w="2437"/>
            <w:shd w:fill="FFFFFF"/>
          </w:tcPr>
          <w:p>
            <w:pPr>
              <w:spacing w:before="30" w:after="30"/>
            </w:pPr>
            <w:r>
              <w:rPr>
                <w:color w:val="262626"/>
                <w:sz w:val="16"/>
              </w:rPr>
              <w:t>Where do you most often discover new products online?</w:t>
            </w:r>
          </w:p>
        </w:tc>
        <w:tc>
          <w:tcPr>
            <w:tcW w:type="dxa" w:w="2437"/>
            <w:shd w:fill="FFFFFF"/>
          </w:tcPr>
          <w:p>
            <w:pPr>
              <w:spacing w:before="30" w:after="30"/>
            </w:pPr>
            <w:r>
              <w:rPr>
                <w:color w:val="262626"/>
                <w:sz w:val="16"/>
              </w:rPr>
              <w:t>Social media, E-commerce, Search engines, Video, Email/SMS</w:t>
            </w:r>
          </w:p>
        </w:tc>
        <w:tc>
          <w:tcPr>
            <w:tcW w:type="dxa" w:w="2437"/>
            <w:shd w:fill="FFFFFF"/>
          </w:tcPr>
          <w:p>
            <w:pPr>
              <w:spacing w:before="30" w:after="30"/>
            </w:pPr>
            <w:r>
              <w:rPr>
                <w:color w:val="262626"/>
                <w:sz w:val="16"/>
              </w:rPr>
              <w:t>Categorical (Nominal)</w:t>
            </w:r>
          </w:p>
        </w:tc>
      </w:tr>
      <w:tr>
        <w:trPr>
          <w:cantSplit/>
        </w:trPr>
        <w:tc>
          <w:tcPr>
            <w:tcW w:type="dxa" w:w="2437"/>
            <w:shd w:fill="F9FBFD"/>
          </w:tcPr>
          <w:p>
            <w:pPr>
              <w:spacing w:before="30" w:after="30"/>
            </w:pPr>
            <w:r>
              <w:rPr>
                <w:color w:val="262626"/>
                <w:sz w:val="16"/>
              </w:rPr>
              <w:t>3</w:t>
            </w:r>
          </w:p>
        </w:tc>
        <w:tc>
          <w:tcPr>
            <w:tcW w:type="dxa" w:w="2437"/>
            <w:shd w:fill="F9FBFD"/>
          </w:tcPr>
          <w:p>
            <w:pPr>
              <w:spacing w:before="30" w:after="30"/>
            </w:pPr>
            <w:r>
              <w:rPr>
                <w:color w:val="262626"/>
                <w:sz w:val="16"/>
              </w:rPr>
              <w:t>How frequently do you notice online advertisements?</w:t>
            </w:r>
          </w:p>
        </w:tc>
        <w:tc>
          <w:tcPr>
            <w:tcW w:type="dxa" w:w="2437"/>
            <w:shd w:fill="F9FBFD"/>
          </w:tcPr>
          <w:p>
            <w:pPr>
              <w:spacing w:before="30" w:after="30"/>
            </w:pPr>
            <w:r>
              <w:rPr>
                <w:color w:val="262626"/>
                <w:sz w:val="16"/>
              </w:rPr>
              <w:t>Never, Rarely, Sometimes, Often, Very often</w:t>
            </w:r>
          </w:p>
        </w:tc>
        <w:tc>
          <w:tcPr>
            <w:tcW w:type="dxa" w:w="2437"/>
            <w:shd w:fill="F9FBFD"/>
          </w:tcPr>
          <w:p>
            <w:pPr>
              <w:spacing w:before="30" w:after="30"/>
            </w:pPr>
            <w:r>
              <w:rPr>
                <w:color w:val="262626"/>
                <w:sz w:val="16"/>
              </w:rPr>
              <w:t>Ordinal (Frequency)</w:t>
            </w:r>
          </w:p>
        </w:tc>
      </w:tr>
      <w:tr>
        <w:trPr>
          <w:cantSplit/>
        </w:trPr>
        <w:tc>
          <w:tcPr>
            <w:tcW w:type="dxa" w:w="2437"/>
            <w:shd w:fill="FFFFFF"/>
          </w:tcPr>
          <w:p>
            <w:pPr>
              <w:spacing w:before="30" w:after="30"/>
            </w:pPr>
            <w:r>
              <w:rPr>
                <w:color w:val="262626"/>
                <w:sz w:val="16"/>
              </w:rPr>
              <w:t>4</w:t>
            </w:r>
          </w:p>
        </w:tc>
        <w:tc>
          <w:tcPr>
            <w:tcW w:type="dxa" w:w="2437"/>
            <w:shd w:fill="FFFFFF"/>
          </w:tcPr>
          <w:p>
            <w:pPr>
              <w:spacing w:before="30" w:after="30"/>
            </w:pPr>
            <w:r>
              <w:rPr>
                <w:color w:val="262626"/>
                <w:sz w:val="16"/>
              </w:rPr>
              <w:t>Which category do you shop for most frequently online?</w:t>
            </w:r>
          </w:p>
        </w:tc>
        <w:tc>
          <w:tcPr>
            <w:tcW w:type="dxa" w:w="2437"/>
            <w:shd w:fill="FFFFFF"/>
          </w:tcPr>
          <w:p>
            <w:pPr>
              <w:spacing w:before="30" w:after="30"/>
            </w:pPr>
            <w:r>
              <w:rPr>
                <w:color w:val="262626"/>
                <w:sz w:val="16"/>
              </w:rPr>
              <w:t>Clothing/fashion, Electronics, Beauty/care, Groceries, Books, Home/kitchen</w:t>
            </w:r>
          </w:p>
        </w:tc>
        <w:tc>
          <w:tcPr>
            <w:tcW w:type="dxa" w:w="2437"/>
            <w:shd w:fill="FFFFFF"/>
          </w:tcPr>
          <w:p>
            <w:pPr>
              <w:spacing w:before="30" w:after="30"/>
            </w:pPr>
            <w:r>
              <w:rPr>
                <w:color w:val="262626"/>
                <w:sz w:val="16"/>
              </w:rPr>
              <w:t>Categorical (Nominal)</w:t>
            </w:r>
          </w:p>
        </w:tc>
      </w:tr>
      <w:tr>
        <w:trPr>
          <w:cantSplit/>
        </w:trPr>
        <w:tc>
          <w:tcPr>
            <w:tcW w:type="dxa" w:w="2437"/>
            <w:shd w:fill="F9FBFD"/>
          </w:tcPr>
          <w:p>
            <w:pPr>
              <w:spacing w:before="30" w:after="30"/>
            </w:pPr>
            <w:r>
              <w:rPr>
                <w:color w:val="262626"/>
                <w:sz w:val="16"/>
              </w:rPr>
              <w:t>5</w:t>
            </w:r>
          </w:p>
        </w:tc>
        <w:tc>
          <w:tcPr>
            <w:tcW w:type="dxa" w:w="2437"/>
            <w:shd w:fill="F9FBFD"/>
          </w:tcPr>
          <w:p>
            <w:pPr>
              <w:spacing w:before="30" w:after="30"/>
            </w:pPr>
            <w:r>
              <w:rPr>
                <w:color w:val="262626"/>
                <w:sz w:val="16"/>
              </w:rPr>
              <w:t>Have you clicked on an online advertisement in the past 3 months?</w:t>
            </w:r>
          </w:p>
        </w:tc>
        <w:tc>
          <w:tcPr>
            <w:tcW w:type="dxa" w:w="2437"/>
            <w:shd w:fill="F9FBFD"/>
          </w:tcPr>
          <w:p>
            <w:pPr>
              <w:spacing w:before="30" w:after="30"/>
            </w:pPr>
            <w:r>
              <w:rPr>
                <w:color w:val="262626"/>
                <w:sz w:val="16"/>
              </w:rPr>
              <w:t>Yes, No</w:t>
            </w:r>
          </w:p>
        </w:tc>
        <w:tc>
          <w:tcPr>
            <w:tcW w:type="dxa" w:w="2437"/>
            <w:shd w:fill="F9FBFD"/>
          </w:tcPr>
          <w:p>
            <w:pPr>
              <w:spacing w:before="30" w:after="30"/>
            </w:pPr>
            <w:r>
              <w:rPr>
                <w:color w:val="262626"/>
                <w:sz w:val="16"/>
              </w:rPr>
              <w:t>Binary (Dichotomous)</w:t>
            </w:r>
          </w:p>
        </w:tc>
      </w:tr>
      <w:tr>
        <w:trPr>
          <w:cantSplit/>
        </w:trPr>
        <w:tc>
          <w:tcPr>
            <w:tcW w:type="dxa" w:w="2437"/>
            <w:shd w:fill="FFFFFF"/>
          </w:tcPr>
          <w:p>
            <w:pPr>
              <w:spacing w:before="30" w:after="30"/>
            </w:pPr>
            <w:r>
              <w:rPr>
                <w:color w:val="262626"/>
                <w:sz w:val="16"/>
              </w:rPr>
              <w:t>6</w:t>
            </w:r>
          </w:p>
        </w:tc>
        <w:tc>
          <w:tcPr>
            <w:tcW w:type="dxa" w:w="2437"/>
            <w:shd w:fill="FFFFFF"/>
          </w:tcPr>
          <w:p>
            <w:pPr>
              <w:spacing w:before="30" w:after="30"/>
            </w:pPr>
            <w:r>
              <w:rPr>
                <w:color w:val="262626"/>
                <w:sz w:val="16"/>
              </w:rPr>
              <w:t>Have you purchased a product after clicking an ad in the past 3 months?</w:t>
            </w:r>
          </w:p>
        </w:tc>
        <w:tc>
          <w:tcPr>
            <w:tcW w:type="dxa" w:w="2437"/>
            <w:shd w:fill="FFFFFF"/>
          </w:tcPr>
          <w:p>
            <w:pPr>
              <w:spacing w:before="30" w:after="30"/>
            </w:pPr>
            <w:r>
              <w:rPr>
                <w:color w:val="262626"/>
                <w:sz w:val="16"/>
              </w:rPr>
              <w:t>Yes, No, Not sure</w:t>
            </w:r>
          </w:p>
        </w:tc>
        <w:tc>
          <w:tcPr>
            <w:tcW w:type="dxa" w:w="2437"/>
            <w:shd w:fill="FFFFFF"/>
          </w:tcPr>
          <w:p>
            <w:pPr>
              <w:spacing w:before="30" w:after="30"/>
            </w:pPr>
            <w:r>
              <w:rPr>
                <w:color w:val="262626"/>
                <w:sz w:val="16"/>
              </w:rPr>
              <w:t>Categorical (Nominal)</w:t>
            </w:r>
          </w:p>
        </w:tc>
      </w:tr>
      <w:tr>
        <w:trPr>
          <w:cantSplit/>
        </w:trPr>
        <w:tc>
          <w:tcPr>
            <w:tcW w:type="dxa" w:w="2437"/>
            <w:shd w:fill="F9FBFD"/>
          </w:tcPr>
          <w:p>
            <w:pPr>
              <w:spacing w:before="30" w:after="30"/>
            </w:pPr>
            <w:r>
              <w:rPr>
                <w:color w:val="262626"/>
                <w:sz w:val="16"/>
              </w:rPr>
              <w:t>6a</w:t>
            </w:r>
          </w:p>
        </w:tc>
        <w:tc>
          <w:tcPr>
            <w:tcW w:type="dxa" w:w="2437"/>
            <w:shd w:fill="F9FBFD"/>
          </w:tcPr>
          <w:p>
            <w:pPr>
              <w:spacing w:before="30" w:after="30"/>
            </w:pPr>
            <w:r>
              <w:rPr>
                <w:color w:val="262626"/>
                <w:sz w:val="16"/>
              </w:rPr>
              <w:t>If yes, on which platform did you see the advertisement that led to purchase?</w:t>
            </w:r>
          </w:p>
        </w:tc>
        <w:tc>
          <w:tcPr>
            <w:tcW w:type="dxa" w:w="2437"/>
            <w:shd w:fill="F9FBFD"/>
          </w:tcPr>
          <w:p>
            <w:pPr>
              <w:spacing w:before="30" w:after="30"/>
            </w:pPr>
            <w:r>
              <w:rPr>
                <w:color w:val="262626"/>
                <w:sz w:val="16"/>
              </w:rPr>
              <w:t>Instagram, Facebook, Google/Search, YouTube, Amazon, Other, N/A</w:t>
            </w:r>
          </w:p>
        </w:tc>
        <w:tc>
          <w:tcPr>
            <w:tcW w:type="dxa" w:w="2437"/>
            <w:shd w:fill="F9FBFD"/>
          </w:tcPr>
          <w:p>
            <w:pPr>
              <w:spacing w:before="30" w:after="30"/>
            </w:pPr>
            <w:r>
              <w:rPr>
                <w:color w:val="262626"/>
                <w:sz w:val="16"/>
              </w:rPr>
              <w:t>Categorical (Nominal)</w:t>
            </w:r>
          </w:p>
        </w:tc>
      </w:tr>
      <w:tr>
        <w:trPr>
          <w:cantSplit/>
        </w:trPr>
        <w:tc>
          <w:tcPr>
            <w:tcW w:type="dxa" w:w="2437"/>
            <w:shd w:fill="FFFFFF"/>
          </w:tcPr>
          <w:p>
            <w:pPr>
              <w:spacing w:before="30" w:after="30"/>
            </w:pPr>
            <w:r>
              <w:rPr>
                <w:color w:val="262626"/>
                <w:sz w:val="16"/>
              </w:rPr>
              <w:t>7</w:t>
            </w:r>
          </w:p>
        </w:tc>
        <w:tc>
          <w:tcPr>
            <w:tcW w:type="dxa" w:w="2437"/>
            <w:shd w:fill="FFFFFF"/>
          </w:tcPr>
          <w:p>
            <w:pPr>
              <w:spacing w:before="30" w:after="30"/>
            </w:pPr>
            <w:r>
              <w:rPr>
                <w:color w:val="262626"/>
                <w:sz w:val="16"/>
              </w:rPr>
              <w:t>I trust online advertisements from brands I follow.</w:t>
            </w:r>
          </w:p>
        </w:tc>
        <w:tc>
          <w:tcPr>
            <w:tcW w:type="dxa" w:w="2437"/>
            <w:shd w:fill="FFFFFF"/>
          </w:tcPr>
          <w:p>
            <w:pPr>
              <w:spacing w:before="30" w:after="30"/>
            </w:pPr>
            <w:r>
              <w:rPr>
                <w:color w:val="262626"/>
                <w:sz w:val="16"/>
              </w:rPr>
              <w:t>1 (Strongly disagree) to 5 (Strongly agree)</w:t>
            </w:r>
          </w:p>
        </w:tc>
        <w:tc>
          <w:tcPr>
            <w:tcW w:type="dxa" w:w="2437"/>
            <w:shd w:fill="FFFFFF"/>
          </w:tcPr>
          <w:p>
            <w:pPr>
              <w:spacing w:before="30" w:after="30"/>
            </w:pPr>
            <w:r>
              <w:rPr>
                <w:color w:val="262626"/>
                <w:sz w:val="16"/>
              </w:rPr>
              <w:t>Likert (Interval / Ordinal)</w:t>
            </w:r>
          </w:p>
        </w:tc>
      </w:tr>
      <w:tr>
        <w:trPr>
          <w:cantSplit/>
        </w:trPr>
        <w:tc>
          <w:tcPr>
            <w:tcW w:type="dxa" w:w="2437"/>
            <w:shd w:fill="F9FBFD"/>
          </w:tcPr>
          <w:p>
            <w:pPr>
              <w:spacing w:before="30" w:after="30"/>
            </w:pPr>
            <w:r>
              <w:rPr>
                <w:color w:val="262626"/>
                <w:sz w:val="16"/>
              </w:rPr>
              <w:t>8</w:t>
            </w:r>
          </w:p>
        </w:tc>
        <w:tc>
          <w:tcPr>
            <w:tcW w:type="dxa" w:w="2437"/>
            <w:shd w:fill="F9FBFD"/>
          </w:tcPr>
          <w:p>
            <w:pPr>
              <w:spacing w:before="30" w:after="30"/>
            </w:pPr>
            <w:r>
              <w:rPr>
                <w:color w:val="262626"/>
                <w:sz w:val="16"/>
              </w:rPr>
              <w:t>What influences your decision to purchase the most?</w:t>
            </w:r>
          </w:p>
        </w:tc>
        <w:tc>
          <w:tcPr>
            <w:tcW w:type="dxa" w:w="2437"/>
            <w:shd w:fill="F9FBFD"/>
          </w:tcPr>
          <w:p>
            <w:pPr>
              <w:spacing w:before="30" w:after="30"/>
            </w:pPr>
            <w:r>
              <w:rPr>
                <w:color w:val="262626"/>
                <w:sz w:val="16"/>
              </w:rPr>
              <w:t>Discount/promo, Product quality, Brand reputation, Reviews, Friend recommendation</w:t>
            </w:r>
          </w:p>
        </w:tc>
        <w:tc>
          <w:tcPr>
            <w:tcW w:type="dxa" w:w="2437"/>
            <w:shd w:fill="F9FBFD"/>
          </w:tcPr>
          <w:p>
            <w:pPr>
              <w:spacing w:before="30" w:after="30"/>
            </w:pPr>
            <w:r>
              <w:rPr>
                <w:color w:val="262626"/>
                <w:sz w:val="16"/>
              </w:rPr>
              <w:t>Categorical (Nominal)</w:t>
            </w:r>
          </w:p>
        </w:tc>
      </w:tr>
      <w:tr>
        <w:trPr>
          <w:cantSplit/>
        </w:trPr>
        <w:tc>
          <w:tcPr>
            <w:tcW w:type="dxa" w:w="2437"/>
            <w:shd w:fill="FFFFFF"/>
          </w:tcPr>
          <w:p>
            <w:pPr>
              <w:spacing w:before="30" w:after="30"/>
            </w:pPr>
            <w:r>
              <w:rPr>
                <w:color w:val="262626"/>
                <w:sz w:val="16"/>
              </w:rPr>
              <w:t>9</w:t>
            </w:r>
          </w:p>
        </w:tc>
        <w:tc>
          <w:tcPr>
            <w:tcW w:type="dxa" w:w="2437"/>
            <w:shd w:fill="FFFFFF"/>
          </w:tcPr>
          <w:p>
            <w:pPr>
              <w:spacing w:before="30" w:after="30"/>
            </w:pPr>
            <w:r>
              <w:rPr>
                <w:color w:val="262626"/>
                <w:sz w:val="16"/>
              </w:rPr>
              <w:t>When you ignore an online advertisement, what is the main reason?</w:t>
            </w:r>
          </w:p>
        </w:tc>
        <w:tc>
          <w:tcPr>
            <w:tcW w:type="dxa" w:w="2437"/>
            <w:shd w:fill="FFFFFF"/>
          </w:tcPr>
          <w:p>
            <w:pPr>
              <w:spacing w:before="30" w:after="30"/>
            </w:pPr>
            <w:r>
              <w:rPr>
                <w:color w:val="262626"/>
                <w:sz w:val="16"/>
              </w:rPr>
              <w:t>Not relevant, Dislike ads, Do not trust ad, Already purchased, Seen too many times</w:t>
            </w:r>
          </w:p>
        </w:tc>
        <w:tc>
          <w:tcPr>
            <w:tcW w:type="dxa" w:w="2437"/>
            <w:shd w:fill="FFFFFF"/>
          </w:tcPr>
          <w:p>
            <w:pPr>
              <w:spacing w:before="30" w:after="30"/>
            </w:pPr>
            <w:r>
              <w:rPr>
                <w:color w:val="262626"/>
                <w:sz w:val="16"/>
              </w:rPr>
              <w:t>Categorical (Nominal)</w:t>
            </w:r>
          </w:p>
        </w:tc>
      </w:tr>
      <w:tr>
        <w:trPr>
          <w:cantSplit/>
        </w:trPr>
        <w:tc>
          <w:tcPr>
            <w:tcW w:type="dxa" w:w="2437"/>
            <w:shd w:fill="F9FBFD"/>
          </w:tcPr>
          <w:p>
            <w:pPr>
              <w:spacing w:before="30" w:after="30"/>
            </w:pPr>
            <w:r>
              <w:rPr>
                <w:color w:val="262626"/>
                <w:sz w:val="16"/>
              </w:rPr>
              <w:t>10</w:t>
            </w:r>
          </w:p>
        </w:tc>
        <w:tc>
          <w:tcPr>
            <w:tcW w:type="dxa" w:w="2437"/>
            <w:shd w:fill="F9FBFD"/>
          </w:tcPr>
          <w:p>
            <w:pPr>
              <w:spacing w:before="30" w:after="30"/>
            </w:pPr>
            <w:r>
              <w:rPr>
                <w:color w:val="262626"/>
                <w:sz w:val="16"/>
              </w:rPr>
              <w:t>How important are discounts or promotions in your online purchase decisions?</w:t>
            </w:r>
          </w:p>
        </w:tc>
        <w:tc>
          <w:tcPr>
            <w:tcW w:type="dxa" w:w="2437"/>
            <w:shd w:fill="F9FBFD"/>
          </w:tcPr>
          <w:p>
            <w:pPr>
              <w:spacing w:before="30" w:after="30"/>
            </w:pPr>
            <w:r>
              <w:rPr>
                <w:color w:val="262626"/>
                <w:sz w:val="16"/>
              </w:rPr>
              <w:t>1 (Not important at all) to 5 (Extremely important)</w:t>
            </w:r>
          </w:p>
        </w:tc>
        <w:tc>
          <w:tcPr>
            <w:tcW w:type="dxa" w:w="2437"/>
            <w:shd w:fill="F9FBFD"/>
          </w:tcPr>
          <w:p>
            <w:pPr>
              <w:spacing w:before="30" w:after="30"/>
            </w:pPr>
            <w:r>
              <w:rPr>
                <w:color w:val="262626"/>
                <w:sz w:val="16"/>
              </w:rPr>
              <w:t>Likert (Interval / Ordinal)</w:t>
            </w:r>
          </w:p>
        </w:tc>
      </w:tr>
      <w:tr>
        <w:trPr>
          <w:cantSplit/>
        </w:trPr>
        <w:tc>
          <w:tcPr>
            <w:tcW w:type="dxa" w:w="2437"/>
            <w:shd w:fill="FFFFFF"/>
          </w:tcPr>
          <w:p>
            <w:pPr>
              <w:spacing w:before="30" w:after="30"/>
            </w:pPr>
            <w:r>
              <w:rPr>
                <w:color w:val="262626"/>
                <w:sz w:val="16"/>
              </w:rPr>
              <w:t>11</w:t>
            </w:r>
          </w:p>
        </w:tc>
        <w:tc>
          <w:tcPr>
            <w:tcW w:type="dxa" w:w="2437"/>
            <w:shd w:fill="FFFFFF"/>
          </w:tcPr>
          <w:p>
            <w:pPr>
              <w:spacing w:before="30" w:after="30"/>
            </w:pPr>
            <w:r>
              <w:rPr>
                <w:color w:val="262626"/>
                <w:sz w:val="16"/>
              </w:rPr>
              <w:t>Which type of promotional offer do you prefer the most?</w:t>
            </w:r>
          </w:p>
        </w:tc>
        <w:tc>
          <w:tcPr>
            <w:tcW w:type="dxa" w:w="2437"/>
            <w:shd w:fill="FFFFFF"/>
          </w:tcPr>
          <w:p>
            <w:pPr>
              <w:spacing w:before="30" w:after="30"/>
            </w:pPr>
            <w:r>
              <w:rPr>
                <w:color w:val="262626"/>
                <w:sz w:val="16"/>
              </w:rPr>
              <w:t>Immediate price discount, Cashback, BOGO, Free gift/shipping</w:t>
            </w:r>
          </w:p>
        </w:tc>
        <w:tc>
          <w:tcPr>
            <w:tcW w:type="dxa" w:w="2437"/>
            <w:shd w:fill="FFFFFF"/>
          </w:tcPr>
          <w:p>
            <w:pPr>
              <w:spacing w:before="30" w:after="30"/>
            </w:pPr>
            <w:r>
              <w:rPr>
                <w:color w:val="262626"/>
                <w:sz w:val="16"/>
              </w:rPr>
              <w:t>Categorical (Nominal)</w:t>
            </w:r>
          </w:p>
        </w:tc>
      </w:tr>
      <w:tr>
        <w:trPr>
          <w:cantSplit/>
        </w:trPr>
        <w:tc>
          <w:tcPr>
            <w:tcW w:type="dxa" w:w="2437"/>
            <w:shd w:fill="F9FBFD"/>
          </w:tcPr>
          <w:p>
            <w:pPr>
              <w:spacing w:before="30" w:after="30"/>
            </w:pPr>
            <w:r>
              <w:rPr>
                <w:color w:val="262626"/>
                <w:sz w:val="16"/>
              </w:rPr>
              <w:t>12</w:t>
            </w:r>
          </w:p>
        </w:tc>
        <w:tc>
          <w:tcPr>
            <w:tcW w:type="dxa" w:w="2437"/>
            <w:shd w:fill="F9FBFD"/>
          </w:tcPr>
          <w:p>
            <w:pPr>
              <w:spacing w:before="30" w:after="30"/>
            </w:pPr>
            <w:r>
              <w:rPr>
                <w:color w:val="262626"/>
                <w:sz w:val="16"/>
              </w:rPr>
              <w:t>How likely are you to choose a product with a promotional offer over an equal alternative?</w:t>
            </w:r>
          </w:p>
        </w:tc>
        <w:tc>
          <w:tcPr>
            <w:tcW w:type="dxa" w:w="2437"/>
            <w:shd w:fill="F9FBFD"/>
          </w:tcPr>
          <w:p>
            <w:pPr>
              <w:spacing w:before="30" w:after="30"/>
            </w:pPr>
            <w:r>
              <w:rPr>
                <w:color w:val="262626"/>
                <w:sz w:val="16"/>
              </w:rPr>
              <w:t>1 (Very unlikely) to 5 (Very likely)</w:t>
            </w:r>
          </w:p>
        </w:tc>
        <w:tc>
          <w:tcPr>
            <w:tcW w:type="dxa" w:w="2437"/>
            <w:shd w:fill="F9FBFD"/>
          </w:tcPr>
          <w:p>
            <w:pPr>
              <w:spacing w:before="30" w:after="30"/>
            </w:pPr>
            <w:r>
              <w:rPr>
                <w:color w:val="262626"/>
                <w:sz w:val="16"/>
              </w:rPr>
              <w:t>Likert (Interval / Ordinal)</w:t>
            </w:r>
          </w:p>
        </w:tc>
      </w:tr>
      <w:tr>
        <w:trPr>
          <w:cantSplit/>
        </w:trPr>
        <w:tc>
          <w:tcPr>
            <w:tcW w:type="dxa" w:w="2437"/>
            <w:shd w:fill="FFFFFF"/>
          </w:tcPr>
          <w:p>
            <w:pPr>
              <w:spacing w:before="30" w:after="30"/>
            </w:pPr>
            <w:r>
              <w:rPr>
                <w:color w:val="262626"/>
                <w:sz w:val="16"/>
              </w:rPr>
              <w:t>13</w:t>
            </w:r>
          </w:p>
        </w:tc>
        <w:tc>
          <w:tcPr>
            <w:tcW w:type="dxa" w:w="2437"/>
            <w:shd w:fill="FFFFFF"/>
          </w:tcPr>
          <w:p>
            <w:pPr>
              <w:spacing w:before="30" w:after="30"/>
            </w:pPr>
            <w:r>
              <w:rPr>
                <w:color w:val="262626"/>
                <w:sz w:val="16"/>
              </w:rPr>
              <w:t>Scenario A: Control Condition (Product priced at Rs 1,000, No Promotion)</w:t>
            </w:r>
          </w:p>
        </w:tc>
        <w:tc>
          <w:tcPr>
            <w:tcW w:type="dxa" w:w="2437"/>
            <w:shd w:fill="FFFFFF"/>
          </w:tcPr>
          <w:p>
            <w:pPr>
              <w:spacing w:before="30" w:after="30"/>
            </w:pPr>
            <w:r>
              <w:rPr>
                <w:color w:val="262626"/>
                <w:sz w:val="16"/>
              </w:rPr>
              <w:t>Purchase Intention, Attractiveness, Value Confidence (1-5 scales)</w:t>
            </w:r>
          </w:p>
        </w:tc>
        <w:tc>
          <w:tcPr>
            <w:tcW w:type="dxa" w:w="2437"/>
            <w:shd w:fill="FFFFFF"/>
          </w:tcPr>
          <w:p>
            <w:pPr>
              <w:spacing w:before="30" w:after="30"/>
            </w:pPr>
            <w:r>
              <w:rPr>
                <w:color w:val="262626"/>
                <w:sz w:val="16"/>
              </w:rPr>
              <w:t>Likert Telemetry (1-5)</w:t>
            </w:r>
          </w:p>
        </w:tc>
      </w:tr>
      <w:tr>
        <w:trPr>
          <w:cantSplit/>
        </w:trPr>
        <w:tc>
          <w:tcPr>
            <w:tcW w:type="dxa" w:w="2437"/>
            <w:shd w:fill="F9FBFD"/>
          </w:tcPr>
          <w:p>
            <w:pPr>
              <w:spacing w:before="30" w:after="30"/>
            </w:pPr>
            <w:r>
              <w:rPr>
                <w:color w:val="262626"/>
                <w:sz w:val="16"/>
              </w:rPr>
              <w:t>14</w:t>
            </w:r>
          </w:p>
        </w:tc>
        <w:tc>
          <w:tcPr>
            <w:tcW w:type="dxa" w:w="2437"/>
            <w:shd w:fill="F9FBFD"/>
          </w:tcPr>
          <w:p>
            <w:pPr>
              <w:spacing w:before="30" w:after="30"/>
            </w:pPr>
            <w:r>
              <w:rPr>
                <w:color w:val="262626"/>
                <w:sz w:val="16"/>
              </w:rPr>
              <w:t>Scenario B: Immediate Discount (Product priced at Rs 1,000 with 20% Off = Rs 800)</w:t>
            </w:r>
          </w:p>
        </w:tc>
        <w:tc>
          <w:tcPr>
            <w:tcW w:type="dxa" w:w="2437"/>
            <w:shd w:fill="F9FBFD"/>
          </w:tcPr>
          <w:p>
            <w:pPr>
              <w:spacing w:before="30" w:after="30"/>
            </w:pPr>
            <w:r>
              <w:rPr>
                <w:color w:val="262626"/>
                <w:sz w:val="16"/>
              </w:rPr>
              <w:t>Purchase Intention, Attractiveness, Value Confidence (1-5 scales)</w:t>
            </w:r>
          </w:p>
        </w:tc>
        <w:tc>
          <w:tcPr>
            <w:tcW w:type="dxa" w:w="2437"/>
            <w:shd w:fill="F9FBFD"/>
          </w:tcPr>
          <w:p>
            <w:pPr>
              <w:spacing w:before="30" w:after="30"/>
            </w:pPr>
            <w:r>
              <w:rPr>
                <w:color w:val="262626"/>
                <w:sz w:val="16"/>
              </w:rPr>
              <w:t>Likert Telemetry (1-5)</w:t>
            </w:r>
          </w:p>
        </w:tc>
      </w:tr>
      <w:tr>
        <w:trPr>
          <w:cantSplit/>
        </w:trPr>
        <w:tc>
          <w:tcPr>
            <w:tcW w:type="dxa" w:w="2437"/>
            <w:shd w:fill="FFFFFF"/>
          </w:tcPr>
          <w:p>
            <w:pPr>
              <w:spacing w:before="30" w:after="30"/>
            </w:pPr>
            <w:r>
              <w:rPr>
                <w:color w:val="262626"/>
                <w:sz w:val="16"/>
              </w:rPr>
              <w:t>15</w:t>
            </w:r>
          </w:p>
        </w:tc>
        <w:tc>
          <w:tcPr>
            <w:tcW w:type="dxa" w:w="2437"/>
            <w:shd w:fill="FFFFFF"/>
          </w:tcPr>
          <w:p>
            <w:pPr>
              <w:spacing w:before="30" w:after="30"/>
            </w:pPr>
            <w:r>
              <w:rPr>
                <w:color w:val="262626"/>
                <w:sz w:val="16"/>
              </w:rPr>
              <w:t>Scenario C: Cashback Offer (Product priced at Rs 1,000 with Rs 200 Cashback)</w:t>
            </w:r>
          </w:p>
        </w:tc>
        <w:tc>
          <w:tcPr>
            <w:tcW w:type="dxa" w:w="2437"/>
            <w:shd w:fill="FFFFFF"/>
          </w:tcPr>
          <w:p>
            <w:pPr>
              <w:spacing w:before="30" w:after="30"/>
            </w:pPr>
            <w:r>
              <w:rPr>
                <w:color w:val="262626"/>
                <w:sz w:val="16"/>
              </w:rPr>
              <w:t>Purchase Intention, Attractiveness, Value Confidence (1-5 scales)</w:t>
            </w:r>
          </w:p>
        </w:tc>
        <w:tc>
          <w:tcPr>
            <w:tcW w:type="dxa" w:w="2437"/>
            <w:shd w:fill="FFFFFF"/>
          </w:tcPr>
          <w:p>
            <w:pPr>
              <w:spacing w:before="30" w:after="30"/>
            </w:pPr>
            <w:r>
              <w:rPr>
                <w:color w:val="262626"/>
                <w:sz w:val="16"/>
              </w:rPr>
              <w:t>Likert Telemetry (1-5)</w:t>
            </w:r>
          </w:p>
        </w:tc>
      </w:tr>
    </w:tbl>
    <w:p>
      <w:pPr>
        <w:spacing w:before="40" w:after="120"/>
        <w:jc w:val="center"/>
      </w:pPr>
      <w:r>
        <w:rPr>
          <w:i/>
          <w:sz w:val="18"/>
        </w:rPr>
        <w:t>Table 2. Comprehensive questionnaire specification from Step 1 technical report.</w:t>
      </w:r>
    </w:p>
    <w:p>
      <w:pPr>
        <w:keepNext/>
        <w:spacing w:before="180" w:after="60"/>
      </w:pPr>
      <w:r>
        <w:rPr>
          <w:rFonts w:ascii="Calibri" w:hAnsi="Calibri"/>
          <w:b/>
          <w:color w:val="2E75B6"/>
          <w:sz w:val="24"/>
        </w:rPr>
        <w:t>2.3 Operational Variable Dictionary &amp; Measurement Scales</w:t>
      </w:r>
    </w:p>
    <w:p>
      <w:pPr>
        <w:spacing w:before="0" w:after="80"/>
      </w:pPr>
      <w:r>
        <w:rPr>
          <w:rFonts w:ascii="Calibri" w:hAnsi="Calibri"/>
          <w:color w:val="262626"/>
          <w:sz w:val="21"/>
        </w:rPr>
        <w:t>Table 3 outlines all variables recorded in the primary database, their conceptual meaning, and their formal measurement levels across survey and experimental telemetry.</w:t>
      </w:r>
    </w:p>
    <w:tbl>
      <w:tblPr>
        <w:tblW w:type="auto" w:w="0"/>
        <w:jc w:val="center"/>
        <w:tblLook w:firstColumn="1" w:firstRow="1" w:lastColumn="0" w:lastRow="0" w:noHBand="0" w:noVBand="1" w:val="04A0"/>
      </w:tblPr>
      <w:tblGrid>
        <w:gridCol w:w="2437"/>
        <w:gridCol w:w="2437"/>
        <w:gridCol w:w="2437"/>
        <w:gridCol w:w="2437"/>
      </w:tblGrid>
      <w:tr>
        <w:trPr>
          <w:cantSplit/>
          <w:tblHeader/>
        </w:trPr>
        <w:tc>
          <w:tcPr>
            <w:tcW w:type="dxa" w:w="2437"/>
            <w:shd w:fill="1F4E79"/>
          </w:tcPr>
          <w:p>
            <w:pPr>
              <w:spacing w:before="40" w:after="40"/>
            </w:pPr>
            <w:r>
              <w:rPr>
                <w:b/>
                <w:color w:val="FFFFFF"/>
                <w:sz w:val="16"/>
              </w:rPr>
              <w:t>No.</w:t>
            </w:r>
          </w:p>
        </w:tc>
        <w:tc>
          <w:tcPr>
            <w:tcW w:type="dxa" w:w="2437"/>
            <w:shd w:fill="1F4E79"/>
          </w:tcPr>
          <w:p>
            <w:pPr>
              <w:spacing w:before="40" w:after="40"/>
            </w:pPr>
            <w:r>
              <w:rPr>
                <w:b/>
                <w:color w:val="FFFFFF"/>
                <w:sz w:val="16"/>
              </w:rPr>
              <w:t>Variable Identifier</w:t>
            </w:r>
          </w:p>
        </w:tc>
        <w:tc>
          <w:tcPr>
            <w:tcW w:type="dxa" w:w="2437"/>
            <w:shd w:fill="1F4E79"/>
          </w:tcPr>
          <w:p>
            <w:pPr>
              <w:spacing w:before="40" w:after="40"/>
            </w:pPr>
            <w:r>
              <w:rPr>
                <w:b/>
                <w:color w:val="FFFFFF"/>
                <w:sz w:val="16"/>
              </w:rPr>
              <w:t>Operational Description</w:t>
            </w:r>
          </w:p>
        </w:tc>
        <w:tc>
          <w:tcPr>
            <w:tcW w:type="dxa" w:w="2437"/>
            <w:shd w:fill="1F4E79"/>
          </w:tcPr>
          <w:p>
            <w:pPr>
              <w:spacing w:before="40" w:after="40"/>
            </w:pPr>
            <w:r>
              <w:rPr>
                <w:b/>
                <w:color w:val="FFFFFF"/>
                <w:sz w:val="16"/>
              </w:rPr>
              <w:t>Measurement Level</w:t>
            </w:r>
          </w:p>
        </w:tc>
      </w:tr>
      <w:tr>
        <w:trPr>
          <w:cantSplit/>
        </w:trPr>
        <w:tc>
          <w:tcPr>
            <w:tcW w:type="dxa" w:w="2437"/>
            <w:shd w:fill="F9FBFD"/>
          </w:tcPr>
          <w:p>
            <w:pPr>
              <w:spacing w:before="30" w:after="30"/>
            </w:pPr>
            <w:r>
              <w:rPr>
                <w:color w:val="262626"/>
                <w:sz w:val="16"/>
              </w:rPr>
              <w:t>1</w:t>
            </w:r>
          </w:p>
        </w:tc>
        <w:tc>
          <w:tcPr>
            <w:tcW w:type="dxa" w:w="2437"/>
            <w:shd w:fill="F9FBFD"/>
          </w:tcPr>
          <w:p>
            <w:pPr>
              <w:spacing w:before="30" w:after="30"/>
            </w:pPr>
            <w:r>
              <w:rPr>
                <w:color w:val="262626"/>
                <w:sz w:val="16"/>
              </w:rPr>
              <w:t>respondent_id</w:t>
            </w:r>
          </w:p>
        </w:tc>
        <w:tc>
          <w:tcPr>
            <w:tcW w:type="dxa" w:w="2437"/>
            <w:shd w:fill="F9FBFD"/>
          </w:tcPr>
          <w:p>
            <w:pPr>
              <w:spacing w:before="30" w:after="30"/>
            </w:pPr>
            <w:r>
              <w:rPr>
                <w:color w:val="262626"/>
                <w:sz w:val="16"/>
              </w:rPr>
              <w:t>Unique cryptographic UUID identifying each participant session</w:t>
            </w:r>
          </w:p>
        </w:tc>
        <w:tc>
          <w:tcPr>
            <w:tcW w:type="dxa" w:w="2437"/>
            <w:shd w:fill="F9FBFD"/>
          </w:tcPr>
          <w:p>
            <w:pPr>
              <w:spacing w:before="30" w:after="30"/>
            </w:pPr>
            <w:r>
              <w:rPr>
                <w:color w:val="262626"/>
                <w:sz w:val="16"/>
              </w:rPr>
              <w:t>Categorical (Identifier)</w:t>
            </w:r>
          </w:p>
        </w:tc>
      </w:tr>
      <w:tr>
        <w:trPr>
          <w:cantSplit/>
        </w:trPr>
        <w:tc>
          <w:tcPr>
            <w:tcW w:type="dxa" w:w="2437"/>
            <w:shd w:fill="FFFFFF"/>
          </w:tcPr>
          <w:p>
            <w:pPr>
              <w:spacing w:before="30" w:after="30"/>
            </w:pPr>
            <w:r>
              <w:rPr>
                <w:color w:val="262626"/>
                <w:sz w:val="16"/>
              </w:rPr>
              <w:t>2</w:t>
            </w:r>
          </w:p>
        </w:tc>
        <w:tc>
          <w:tcPr>
            <w:tcW w:type="dxa" w:w="2437"/>
            <w:shd w:fill="FFFFFF"/>
          </w:tcPr>
          <w:p>
            <w:pPr>
              <w:spacing w:before="30" w:after="30"/>
            </w:pPr>
            <w:r>
              <w:rPr>
                <w:color w:val="262626"/>
                <w:sz w:val="16"/>
              </w:rPr>
              <w:t>timestamp_utc</w:t>
            </w:r>
          </w:p>
        </w:tc>
        <w:tc>
          <w:tcPr>
            <w:tcW w:type="dxa" w:w="2437"/>
            <w:shd w:fill="FFFFFF"/>
          </w:tcPr>
          <w:p>
            <w:pPr>
              <w:spacing w:before="30" w:after="30"/>
            </w:pPr>
            <w:r>
              <w:rPr>
                <w:color w:val="262626"/>
                <w:sz w:val="16"/>
              </w:rPr>
              <w:t>ISO 8601 UTC timestamp of submission</w:t>
            </w:r>
          </w:p>
        </w:tc>
        <w:tc>
          <w:tcPr>
            <w:tcW w:type="dxa" w:w="2437"/>
            <w:shd w:fill="FFFFFF"/>
          </w:tcPr>
          <w:p>
            <w:pPr>
              <w:spacing w:before="30" w:after="30"/>
            </w:pPr>
            <w:r>
              <w:rPr>
                <w:color w:val="262626"/>
                <w:sz w:val="16"/>
              </w:rPr>
              <w:t>Temporal</w:t>
            </w:r>
          </w:p>
        </w:tc>
      </w:tr>
      <w:tr>
        <w:trPr>
          <w:cantSplit/>
        </w:trPr>
        <w:tc>
          <w:tcPr>
            <w:tcW w:type="dxa" w:w="2437"/>
            <w:shd w:fill="F9FBFD"/>
          </w:tcPr>
          <w:p>
            <w:pPr>
              <w:spacing w:before="30" w:after="30"/>
            </w:pPr>
            <w:r>
              <w:rPr>
                <w:color w:val="262626"/>
                <w:sz w:val="16"/>
              </w:rPr>
              <w:t>3</w:t>
            </w:r>
          </w:p>
        </w:tc>
        <w:tc>
          <w:tcPr>
            <w:tcW w:type="dxa" w:w="2437"/>
            <w:shd w:fill="F9FBFD"/>
          </w:tcPr>
          <w:p>
            <w:pPr>
              <w:spacing w:before="30" w:after="30"/>
            </w:pPr>
            <w:r>
              <w:rPr>
                <w:color w:val="262626"/>
                <w:sz w:val="16"/>
              </w:rPr>
              <w:t>age_group</w:t>
            </w:r>
          </w:p>
        </w:tc>
        <w:tc>
          <w:tcPr>
            <w:tcW w:type="dxa" w:w="2437"/>
            <w:shd w:fill="F9FBFD"/>
          </w:tcPr>
          <w:p>
            <w:pPr>
              <w:spacing w:before="30" w:after="30"/>
            </w:pPr>
            <w:r>
              <w:rPr>
                <w:color w:val="262626"/>
                <w:sz w:val="16"/>
              </w:rPr>
              <w:t>Demographic age cohort (Under 18, 18-22, 23-30, 31-45, Above 45)</w:t>
            </w:r>
          </w:p>
        </w:tc>
        <w:tc>
          <w:tcPr>
            <w:tcW w:type="dxa" w:w="2437"/>
            <w:shd w:fill="F9FBFD"/>
          </w:tcPr>
          <w:p>
            <w:pPr>
              <w:spacing w:before="30" w:after="30"/>
            </w:pPr>
            <w:r>
              <w:rPr>
                <w:color w:val="262626"/>
                <w:sz w:val="16"/>
              </w:rPr>
              <w:t>Ordinal / Categorical</w:t>
            </w:r>
          </w:p>
        </w:tc>
      </w:tr>
      <w:tr>
        <w:trPr>
          <w:cantSplit/>
        </w:trPr>
        <w:tc>
          <w:tcPr>
            <w:tcW w:type="dxa" w:w="2437"/>
            <w:shd w:fill="FFFFFF"/>
          </w:tcPr>
          <w:p>
            <w:pPr>
              <w:spacing w:before="30" w:after="30"/>
            </w:pPr>
            <w:r>
              <w:rPr>
                <w:color w:val="262626"/>
                <w:sz w:val="16"/>
              </w:rPr>
              <w:t>4</w:t>
            </w:r>
          </w:p>
        </w:tc>
        <w:tc>
          <w:tcPr>
            <w:tcW w:type="dxa" w:w="2437"/>
            <w:shd w:fill="FFFFFF"/>
          </w:tcPr>
          <w:p>
            <w:pPr>
              <w:spacing w:before="30" w:after="30"/>
            </w:pPr>
            <w:r>
              <w:rPr>
                <w:color w:val="262626"/>
                <w:sz w:val="16"/>
              </w:rPr>
              <w:t>discovery_platform</w:t>
            </w:r>
          </w:p>
        </w:tc>
        <w:tc>
          <w:tcPr>
            <w:tcW w:type="dxa" w:w="2437"/>
            <w:shd w:fill="FFFFFF"/>
          </w:tcPr>
          <w:p>
            <w:pPr>
              <w:spacing w:before="30" w:after="30"/>
            </w:pPr>
            <w:r>
              <w:rPr>
                <w:color w:val="262626"/>
                <w:sz w:val="16"/>
              </w:rPr>
              <w:t>Primary platform where respondent discovers online products</w:t>
            </w:r>
          </w:p>
        </w:tc>
        <w:tc>
          <w:tcPr>
            <w:tcW w:type="dxa" w:w="2437"/>
            <w:shd w:fill="FFFFFF"/>
          </w:tcPr>
          <w:p>
            <w:pPr>
              <w:spacing w:before="30" w:after="30"/>
            </w:pPr>
            <w:r>
              <w:rPr>
                <w:color w:val="262626"/>
                <w:sz w:val="16"/>
              </w:rPr>
              <w:t>Categorical (Nominal)</w:t>
            </w:r>
          </w:p>
        </w:tc>
      </w:tr>
      <w:tr>
        <w:trPr>
          <w:cantSplit/>
        </w:trPr>
        <w:tc>
          <w:tcPr>
            <w:tcW w:type="dxa" w:w="2437"/>
            <w:shd w:fill="F9FBFD"/>
          </w:tcPr>
          <w:p>
            <w:pPr>
              <w:spacing w:before="30" w:after="30"/>
            </w:pPr>
            <w:r>
              <w:rPr>
                <w:color w:val="262626"/>
                <w:sz w:val="16"/>
              </w:rPr>
              <w:t>5</w:t>
            </w:r>
          </w:p>
        </w:tc>
        <w:tc>
          <w:tcPr>
            <w:tcW w:type="dxa" w:w="2437"/>
            <w:shd w:fill="F9FBFD"/>
          </w:tcPr>
          <w:p>
            <w:pPr>
              <w:spacing w:before="30" w:after="30"/>
            </w:pPr>
            <w:r>
              <w:rPr>
                <w:color w:val="262626"/>
                <w:sz w:val="16"/>
              </w:rPr>
              <w:t>ad_frequency</w:t>
            </w:r>
          </w:p>
        </w:tc>
        <w:tc>
          <w:tcPr>
            <w:tcW w:type="dxa" w:w="2437"/>
            <w:shd w:fill="F9FBFD"/>
          </w:tcPr>
          <w:p>
            <w:pPr>
              <w:spacing w:before="30" w:after="30"/>
            </w:pPr>
            <w:r>
              <w:rPr>
                <w:color w:val="262626"/>
                <w:sz w:val="16"/>
              </w:rPr>
              <w:t>Self-reported frequency of encountering digital ads</w:t>
            </w:r>
          </w:p>
        </w:tc>
        <w:tc>
          <w:tcPr>
            <w:tcW w:type="dxa" w:w="2437"/>
            <w:shd w:fill="F9FBFD"/>
          </w:tcPr>
          <w:p>
            <w:pPr>
              <w:spacing w:before="30" w:after="30"/>
            </w:pPr>
            <w:r>
              <w:rPr>
                <w:color w:val="262626"/>
                <w:sz w:val="16"/>
              </w:rPr>
              <w:t>Ordinal (Frequency)</w:t>
            </w:r>
          </w:p>
        </w:tc>
      </w:tr>
      <w:tr>
        <w:trPr>
          <w:cantSplit/>
        </w:trPr>
        <w:tc>
          <w:tcPr>
            <w:tcW w:type="dxa" w:w="2437"/>
            <w:shd w:fill="FFFFFF"/>
          </w:tcPr>
          <w:p>
            <w:pPr>
              <w:spacing w:before="30" w:after="30"/>
            </w:pPr>
            <w:r>
              <w:rPr>
                <w:color w:val="262626"/>
                <w:sz w:val="16"/>
              </w:rPr>
              <w:t>6</w:t>
            </w:r>
          </w:p>
        </w:tc>
        <w:tc>
          <w:tcPr>
            <w:tcW w:type="dxa" w:w="2437"/>
            <w:shd w:fill="FFFFFF"/>
          </w:tcPr>
          <w:p>
            <w:pPr>
              <w:spacing w:before="30" w:after="30"/>
            </w:pPr>
            <w:r>
              <w:rPr>
                <w:color w:val="262626"/>
                <w:sz w:val="16"/>
              </w:rPr>
              <w:t>online_product_category</w:t>
            </w:r>
          </w:p>
        </w:tc>
        <w:tc>
          <w:tcPr>
            <w:tcW w:type="dxa" w:w="2437"/>
            <w:shd w:fill="FFFFFF"/>
          </w:tcPr>
          <w:p>
            <w:pPr>
              <w:spacing w:before="30" w:after="30"/>
            </w:pPr>
            <w:r>
              <w:rPr>
                <w:color w:val="262626"/>
                <w:sz w:val="16"/>
              </w:rPr>
              <w:t>Most frequently purchased product category online</w:t>
            </w:r>
          </w:p>
        </w:tc>
        <w:tc>
          <w:tcPr>
            <w:tcW w:type="dxa" w:w="2437"/>
            <w:shd w:fill="FFFFFF"/>
          </w:tcPr>
          <w:p>
            <w:pPr>
              <w:spacing w:before="30" w:after="30"/>
            </w:pPr>
            <w:r>
              <w:rPr>
                <w:color w:val="262626"/>
                <w:sz w:val="16"/>
              </w:rPr>
              <w:t>Categorical (Nominal)</w:t>
            </w:r>
          </w:p>
        </w:tc>
      </w:tr>
      <w:tr>
        <w:trPr>
          <w:cantSplit/>
        </w:trPr>
        <w:tc>
          <w:tcPr>
            <w:tcW w:type="dxa" w:w="2437"/>
            <w:shd w:fill="F9FBFD"/>
          </w:tcPr>
          <w:p>
            <w:pPr>
              <w:spacing w:before="30" w:after="30"/>
            </w:pPr>
            <w:r>
              <w:rPr>
                <w:color w:val="262626"/>
                <w:sz w:val="16"/>
              </w:rPr>
              <w:t>7</w:t>
            </w:r>
          </w:p>
        </w:tc>
        <w:tc>
          <w:tcPr>
            <w:tcW w:type="dxa" w:w="2437"/>
            <w:shd w:fill="F9FBFD"/>
          </w:tcPr>
          <w:p>
            <w:pPr>
              <w:spacing w:before="30" w:after="30"/>
            </w:pPr>
            <w:r>
              <w:rPr>
                <w:color w:val="262626"/>
                <w:sz w:val="16"/>
              </w:rPr>
              <w:t>clicked_ad_3m</w:t>
            </w:r>
          </w:p>
        </w:tc>
        <w:tc>
          <w:tcPr>
            <w:tcW w:type="dxa" w:w="2437"/>
            <w:shd w:fill="F9FBFD"/>
          </w:tcPr>
          <w:p>
            <w:pPr>
              <w:spacing w:before="30" w:after="30"/>
            </w:pPr>
            <w:r>
              <w:rPr>
                <w:color w:val="262626"/>
                <w:sz w:val="16"/>
              </w:rPr>
              <w:t>Binary indicator of clicking an ad in past 3 months</w:t>
            </w:r>
          </w:p>
        </w:tc>
        <w:tc>
          <w:tcPr>
            <w:tcW w:type="dxa" w:w="2437"/>
            <w:shd w:fill="F9FBFD"/>
          </w:tcPr>
          <w:p>
            <w:pPr>
              <w:spacing w:before="30" w:after="30"/>
            </w:pPr>
            <w:r>
              <w:rPr>
                <w:color w:val="262626"/>
                <w:sz w:val="16"/>
              </w:rPr>
              <w:t>Binary (Nominal)</w:t>
            </w:r>
          </w:p>
        </w:tc>
      </w:tr>
      <w:tr>
        <w:trPr>
          <w:cantSplit/>
        </w:trPr>
        <w:tc>
          <w:tcPr>
            <w:tcW w:type="dxa" w:w="2437"/>
            <w:shd w:fill="FFFFFF"/>
          </w:tcPr>
          <w:p>
            <w:pPr>
              <w:spacing w:before="30" w:after="30"/>
            </w:pPr>
            <w:r>
              <w:rPr>
                <w:color w:val="262626"/>
                <w:sz w:val="16"/>
              </w:rPr>
              <w:t>8</w:t>
            </w:r>
          </w:p>
        </w:tc>
        <w:tc>
          <w:tcPr>
            <w:tcW w:type="dxa" w:w="2437"/>
            <w:shd w:fill="FFFFFF"/>
          </w:tcPr>
          <w:p>
            <w:pPr>
              <w:spacing w:before="30" w:after="30"/>
            </w:pPr>
            <w:r>
              <w:rPr>
                <w:color w:val="262626"/>
                <w:sz w:val="16"/>
              </w:rPr>
              <w:t>purchased_after_ad_3m</w:t>
            </w:r>
          </w:p>
        </w:tc>
        <w:tc>
          <w:tcPr>
            <w:tcW w:type="dxa" w:w="2437"/>
            <w:shd w:fill="FFFFFF"/>
          </w:tcPr>
          <w:p>
            <w:pPr>
              <w:spacing w:before="30" w:after="30"/>
            </w:pPr>
            <w:r>
              <w:rPr>
                <w:color w:val="262626"/>
                <w:sz w:val="16"/>
              </w:rPr>
              <w:t>Reported conversion outcome following ad click</w:t>
            </w:r>
          </w:p>
        </w:tc>
        <w:tc>
          <w:tcPr>
            <w:tcW w:type="dxa" w:w="2437"/>
            <w:shd w:fill="FFFFFF"/>
          </w:tcPr>
          <w:p>
            <w:pPr>
              <w:spacing w:before="30" w:after="30"/>
            </w:pPr>
            <w:r>
              <w:rPr>
                <w:color w:val="262626"/>
                <w:sz w:val="16"/>
              </w:rPr>
              <w:t>Categorical (Nominal)</w:t>
            </w:r>
          </w:p>
        </w:tc>
      </w:tr>
      <w:tr>
        <w:trPr>
          <w:cantSplit/>
        </w:trPr>
        <w:tc>
          <w:tcPr>
            <w:tcW w:type="dxa" w:w="2437"/>
            <w:shd w:fill="F9FBFD"/>
          </w:tcPr>
          <w:p>
            <w:pPr>
              <w:spacing w:before="30" w:after="30"/>
            </w:pPr>
            <w:r>
              <w:rPr>
                <w:color w:val="262626"/>
                <w:sz w:val="16"/>
              </w:rPr>
              <w:t>9</w:t>
            </w:r>
          </w:p>
        </w:tc>
        <w:tc>
          <w:tcPr>
            <w:tcW w:type="dxa" w:w="2437"/>
            <w:shd w:fill="F9FBFD"/>
          </w:tcPr>
          <w:p>
            <w:pPr>
              <w:spacing w:before="30" w:after="30"/>
            </w:pPr>
            <w:r>
              <w:rPr>
                <w:color w:val="262626"/>
                <w:sz w:val="16"/>
              </w:rPr>
              <w:t>purchase_ad_platform</w:t>
            </w:r>
          </w:p>
        </w:tc>
        <w:tc>
          <w:tcPr>
            <w:tcW w:type="dxa" w:w="2437"/>
            <w:shd w:fill="F9FBFD"/>
          </w:tcPr>
          <w:p>
            <w:pPr>
              <w:spacing w:before="30" w:after="30"/>
            </w:pPr>
            <w:r>
              <w:rPr>
                <w:color w:val="262626"/>
                <w:sz w:val="16"/>
              </w:rPr>
              <w:t>Platform hosting the ad that led to purchase</w:t>
            </w:r>
          </w:p>
        </w:tc>
        <w:tc>
          <w:tcPr>
            <w:tcW w:type="dxa" w:w="2437"/>
            <w:shd w:fill="F9FBFD"/>
          </w:tcPr>
          <w:p>
            <w:pPr>
              <w:spacing w:before="30" w:after="30"/>
            </w:pPr>
            <w:r>
              <w:rPr>
                <w:color w:val="262626"/>
                <w:sz w:val="16"/>
              </w:rPr>
              <w:t>Categorical (Nominal)</w:t>
            </w:r>
          </w:p>
        </w:tc>
      </w:tr>
      <w:tr>
        <w:trPr>
          <w:cantSplit/>
        </w:trPr>
        <w:tc>
          <w:tcPr>
            <w:tcW w:type="dxa" w:w="2437"/>
            <w:shd w:fill="FFFFFF"/>
          </w:tcPr>
          <w:p>
            <w:pPr>
              <w:spacing w:before="30" w:after="30"/>
            </w:pPr>
            <w:r>
              <w:rPr>
                <w:color w:val="262626"/>
                <w:sz w:val="16"/>
              </w:rPr>
              <w:t>10</w:t>
            </w:r>
          </w:p>
        </w:tc>
        <w:tc>
          <w:tcPr>
            <w:tcW w:type="dxa" w:w="2437"/>
            <w:shd w:fill="FFFFFF"/>
          </w:tcPr>
          <w:p>
            <w:pPr>
              <w:spacing w:before="30" w:after="30"/>
            </w:pPr>
            <w:r>
              <w:rPr>
                <w:color w:val="262626"/>
                <w:sz w:val="16"/>
              </w:rPr>
              <w:t>ad_trust</w:t>
            </w:r>
          </w:p>
        </w:tc>
        <w:tc>
          <w:tcPr>
            <w:tcW w:type="dxa" w:w="2437"/>
            <w:shd w:fill="FFFFFF"/>
          </w:tcPr>
          <w:p>
            <w:pPr>
              <w:spacing w:before="30" w:after="30"/>
            </w:pPr>
            <w:r>
              <w:rPr>
                <w:color w:val="262626"/>
                <w:sz w:val="16"/>
              </w:rPr>
              <w:t>Perceived trust in ads from followed brands (1-5)</w:t>
            </w:r>
          </w:p>
        </w:tc>
        <w:tc>
          <w:tcPr>
            <w:tcW w:type="dxa" w:w="2437"/>
            <w:shd w:fill="FFFFFF"/>
          </w:tcPr>
          <w:p>
            <w:pPr>
              <w:spacing w:before="30" w:after="30"/>
            </w:pPr>
            <w:r>
              <w:rPr>
                <w:color w:val="262626"/>
                <w:sz w:val="16"/>
              </w:rPr>
              <w:t>Likert (Interval/Ordinal)</w:t>
            </w:r>
          </w:p>
        </w:tc>
      </w:tr>
      <w:tr>
        <w:trPr>
          <w:cantSplit/>
        </w:trPr>
        <w:tc>
          <w:tcPr>
            <w:tcW w:type="dxa" w:w="2437"/>
            <w:shd w:fill="F9FBFD"/>
          </w:tcPr>
          <w:p>
            <w:pPr>
              <w:spacing w:before="30" w:after="30"/>
            </w:pPr>
            <w:r>
              <w:rPr>
                <w:color w:val="262626"/>
                <w:sz w:val="16"/>
              </w:rPr>
              <w:t>11</w:t>
            </w:r>
          </w:p>
        </w:tc>
        <w:tc>
          <w:tcPr>
            <w:tcW w:type="dxa" w:w="2437"/>
            <w:shd w:fill="F9FBFD"/>
          </w:tcPr>
          <w:p>
            <w:pPr>
              <w:spacing w:before="30" w:after="30"/>
            </w:pPr>
            <w:r>
              <w:rPr>
                <w:color w:val="262626"/>
                <w:sz w:val="16"/>
              </w:rPr>
              <w:t>purchase_influence</w:t>
            </w:r>
          </w:p>
        </w:tc>
        <w:tc>
          <w:tcPr>
            <w:tcW w:type="dxa" w:w="2437"/>
            <w:shd w:fill="F9FBFD"/>
          </w:tcPr>
          <w:p>
            <w:pPr>
              <w:spacing w:before="30" w:after="30"/>
            </w:pPr>
            <w:r>
              <w:rPr>
                <w:color w:val="262626"/>
                <w:sz w:val="16"/>
              </w:rPr>
              <w:t>Primary factor influencing purchase decisions</w:t>
            </w:r>
          </w:p>
        </w:tc>
        <w:tc>
          <w:tcPr>
            <w:tcW w:type="dxa" w:w="2437"/>
            <w:shd w:fill="F9FBFD"/>
          </w:tcPr>
          <w:p>
            <w:pPr>
              <w:spacing w:before="30" w:after="30"/>
            </w:pPr>
            <w:r>
              <w:rPr>
                <w:color w:val="262626"/>
                <w:sz w:val="16"/>
              </w:rPr>
              <w:t>Categorical (Nominal)</w:t>
            </w:r>
          </w:p>
        </w:tc>
      </w:tr>
      <w:tr>
        <w:trPr>
          <w:cantSplit/>
        </w:trPr>
        <w:tc>
          <w:tcPr>
            <w:tcW w:type="dxa" w:w="2437"/>
            <w:shd w:fill="FFFFFF"/>
          </w:tcPr>
          <w:p>
            <w:pPr>
              <w:spacing w:before="30" w:after="30"/>
            </w:pPr>
            <w:r>
              <w:rPr>
                <w:color w:val="262626"/>
                <w:sz w:val="16"/>
              </w:rPr>
              <w:t>12</w:t>
            </w:r>
          </w:p>
        </w:tc>
        <w:tc>
          <w:tcPr>
            <w:tcW w:type="dxa" w:w="2437"/>
            <w:shd w:fill="FFFFFF"/>
          </w:tcPr>
          <w:p>
            <w:pPr>
              <w:spacing w:before="30" w:after="30"/>
            </w:pPr>
            <w:r>
              <w:rPr>
                <w:color w:val="262626"/>
                <w:sz w:val="16"/>
              </w:rPr>
              <w:t>ad_ignore_reason</w:t>
            </w:r>
          </w:p>
        </w:tc>
        <w:tc>
          <w:tcPr>
            <w:tcW w:type="dxa" w:w="2437"/>
            <w:shd w:fill="FFFFFF"/>
          </w:tcPr>
          <w:p>
            <w:pPr>
              <w:spacing w:before="30" w:after="30"/>
            </w:pPr>
            <w:r>
              <w:rPr>
                <w:color w:val="262626"/>
                <w:sz w:val="16"/>
              </w:rPr>
              <w:t>Primary psychological reason for ignoring digital ads</w:t>
            </w:r>
          </w:p>
        </w:tc>
        <w:tc>
          <w:tcPr>
            <w:tcW w:type="dxa" w:w="2437"/>
            <w:shd w:fill="FFFFFF"/>
          </w:tcPr>
          <w:p>
            <w:pPr>
              <w:spacing w:before="30" w:after="30"/>
            </w:pPr>
            <w:r>
              <w:rPr>
                <w:color w:val="262626"/>
                <w:sz w:val="16"/>
              </w:rPr>
              <w:t>Categorical (Nominal)</w:t>
            </w:r>
          </w:p>
        </w:tc>
      </w:tr>
      <w:tr>
        <w:trPr>
          <w:cantSplit/>
        </w:trPr>
        <w:tc>
          <w:tcPr>
            <w:tcW w:type="dxa" w:w="2437"/>
            <w:shd w:fill="F9FBFD"/>
          </w:tcPr>
          <w:p>
            <w:pPr>
              <w:spacing w:before="30" w:after="30"/>
            </w:pPr>
            <w:r>
              <w:rPr>
                <w:color w:val="262626"/>
                <w:sz w:val="16"/>
              </w:rPr>
              <w:t>13</w:t>
            </w:r>
          </w:p>
        </w:tc>
        <w:tc>
          <w:tcPr>
            <w:tcW w:type="dxa" w:w="2437"/>
            <w:shd w:fill="F9FBFD"/>
          </w:tcPr>
          <w:p>
            <w:pPr>
              <w:spacing w:before="30" w:after="30"/>
            </w:pPr>
            <w:r>
              <w:rPr>
                <w:color w:val="262626"/>
                <w:sz w:val="16"/>
              </w:rPr>
              <w:t>discount_importance</w:t>
            </w:r>
          </w:p>
        </w:tc>
        <w:tc>
          <w:tcPr>
            <w:tcW w:type="dxa" w:w="2437"/>
            <w:shd w:fill="F9FBFD"/>
          </w:tcPr>
          <w:p>
            <w:pPr>
              <w:spacing w:before="30" w:after="30"/>
            </w:pPr>
            <w:r>
              <w:rPr>
                <w:color w:val="262626"/>
                <w:sz w:val="16"/>
              </w:rPr>
              <w:t>Importance rating of discounts/promotions (1-5)</w:t>
            </w:r>
          </w:p>
        </w:tc>
        <w:tc>
          <w:tcPr>
            <w:tcW w:type="dxa" w:w="2437"/>
            <w:shd w:fill="F9FBFD"/>
          </w:tcPr>
          <w:p>
            <w:pPr>
              <w:spacing w:before="30" w:after="30"/>
            </w:pPr>
            <w:r>
              <w:rPr>
                <w:color w:val="262626"/>
                <w:sz w:val="16"/>
              </w:rPr>
              <w:t>Likert (Interval/Ordinal)</w:t>
            </w:r>
          </w:p>
        </w:tc>
      </w:tr>
      <w:tr>
        <w:trPr>
          <w:cantSplit/>
        </w:trPr>
        <w:tc>
          <w:tcPr>
            <w:tcW w:type="dxa" w:w="2437"/>
            <w:shd w:fill="FFFFFF"/>
          </w:tcPr>
          <w:p>
            <w:pPr>
              <w:spacing w:before="30" w:after="30"/>
            </w:pPr>
            <w:r>
              <w:rPr>
                <w:color w:val="262626"/>
                <w:sz w:val="16"/>
              </w:rPr>
              <w:t>14</w:t>
            </w:r>
          </w:p>
        </w:tc>
        <w:tc>
          <w:tcPr>
            <w:tcW w:type="dxa" w:w="2437"/>
            <w:shd w:fill="FFFFFF"/>
          </w:tcPr>
          <w:p>
            <w:pPr>
              <w:spacing w:before="30" w:after="30"/>
            </w:pPr>
            <w:r>
              <w:rPr>
                <w:color w:val="262626"/>
                <w:sz w:val="16"/>
              </w:rPr>
              <w:t>preferred_promotion</w:t>
            </w:r>
          </w:p>
        </w:tc>
        <w:tc>
          <w:tcPr>
            <w:tcW w:type="dxa" w:w="2437"/>
            <w:shd w:fill="FFFFFF"/>
          </w:tcPr>
          <w:p>
            <w:pPr>
              <w:spacing w:before="30" w:after="30"/>
            </w:pPr>
            <w:r>
              <w:rPr>
                <w:color w:val="262626"/>
                <w:sz w:val="16"/>
              </w:rPr>
              <w:t>Preferred promotional offer format</w:t>
            </w:r>
          </w:p>
        </w:tc>
        <w:tc>
          <w:tcPr>
            <w:tcW w:type="dxa" w:w="2437"/>
            <w:shd w:fill="FFFFFF"/>
          </w:tcPr>
          <w:p>
            <w:pPr>
              <w:spacing w:before="30" w:after="30"/>
            </w:pPr>
            <w:r>
              <w:rPr>
                <w:color w:val="262626"/>
                <w:sz w:val="16"/>
              </w:rPr>
              <w:t>Categorical (Nominal)</w:t>
            </w:r>
          </w:p>
        </w:tc>
      </w:tr>
      <w:tr>
        <w:trPr>
          <w:cantSplit/>
        </w:trPr>
        <w:tc>
          <w:tcPr>
            <w:tcW w:type="dxa" w:w="2437"/>
            <w:shd w:fill="F9FBFD"/>
          </w:tcPr>
          <w:p>
            <w:pPr>
              <w:spacing w:before="30" w:after="30"/>
            </w:pPr>
            <w:r>
              <w:rPr>
                <w:color w:val="262626"/>
                <w:sz w:val="16"/>
              </w:rPr>
              <w:t>15</w:t>
            </w:r>
          </w:p>
        </w:tc>
        <w:tc>
          <w:tcPr>
            <w:tcW w:type="dxa" w:w="2437"/>
            <w:shd w:fill="F9FBFD"/>
          </w:tcPr>
          <w:p>
            <w:pPr>
              <w:spacing w:before="30" w:after="30"/>
            </w:pPr>
            <w:r>
              <w:rPr>
                <w:color w:val="262626"/>
                <w:sz w:val="16"/>
              </w:rPr>
              <w:t>choose_promoted_product_likelihood</w:t>
            </w:r>
          </w:p>
        </w:tc>
        <w:tc>
          <w:tcPr>
            <w:tcW w:type="dxa" w:w="2437"/>
            <w:shd w:fill="F9FBFD"/>
          </w:tcPr>
          <w:p>
            <w:pPr>
              <w:spacing w:before="30" w:after="30"/>
            </w:pPr>
            <w:r>
              <w:rPr>
                <w:color w:val="262626"/>
                <w:sz w:val="16"/>
              </w:rPr>
              <w:t>Likelihood of selecting promoted over non-promoted product (1-5)</w:t>
            </w:r>
          </w:p>
        </w:tc>
        <w:tc>
          <w:tcPr>
            <w:tcW w:type="dxa" w:w="2437"/>
            <w:shd w:fill="F9FBFD"/>
          </w:tcPr>
          <w:p>
            <w:pPr>
              <w:spacing w:before="30" w:after="30"/>
            </w:pPr>
            <w:r>
              <w:rPr>
                <w:color w:val="262626"/>
                <w:sz w:val="16"/>
              </w:rPr>
              <w:t>Likert (Interval/Ordinal)</w:t>
            </w:r>
          </w:p>
        </w:tc>
      </w:tr>
      <w:tr>
        <w:trPr>
          <w:cantSplit/>
        </w:trPr>
        <w:tc>
          <w:tcPr>
            <w:tcW w:type="dxa" w:w="2437"/>
            <w:shd w:fill="FFFFFF"/>
          </w:tcPr>
          <w:p>
            <w:pPr>
              <w:spacing w:before="30" w:after="30"/>
            </w:pPr>
            <w:r>
              <w:rPr>
                <w:color w:val="262626"/>
                <w:sz w:val="16"/>
              </w:rPr>
              <w:t>16</w:t>
            </w:r>
          </w:p>
        </w:tc>
        <w:tc>
          <w:tcPr>
            <w:tcW w:type="dxa" w:w="2437"/>
            <w:shd w:fill="FFFFFF"/>
          </w:tcPr>
          <w:p>
            <w:pPr>
              <w:spacing w:before="30" w:after="30"/>
            </w:pPr>
            <w:r>
              <w:rPr>
                <w:color w:val="262626"/>
                <w:sz w:val="16"/>
              </w:rPr>
              <w:t>status</w:t>
            </w:r>
          </w:p>
        </w:tc>
        <w:tc>
          <w:tcPr>
            <w:tcW w:type="dxa" w:w="2437"/>
            <w:shd w:fill="FFFFFF"/>
          </w:tcPr>
          <w:p>
            <w:pPr>
              <w:spacing w:before="30" w:after="30"/>
            </w:pPr>
            <w:r>
              <w:rPr>
                <w:color w:val="262626"/>
                <w:sz w:val="16"/>
              </w:rPr>
              <w:t>Session completion flag ('Completed' vs 'In progress')</w:t>
            </w:r>
          </w:p>
        </w:tc>
        <w:tc>
          <w:tcPr>
            <w:tcW w:type="dxa" w:w="2437"/>
            <w:shd w:fill="FFFFFF"/>
          </w:tcPr>
          <w:p>
            <w:pPr>
              <w:spacing w:before="30" w:after="30"/>
            </w:pPr>
            <w:r>
              <w:rPr>
                <w:color w:val="262626"/>
                <w:sz w:val="16"/>
              </w:rPr>
              <w:t>Categorical (Administrative)</w:t>
            </w:r>
          </w:p>
        </w:tc>
      </w:tr>
      <w:tr>
        <w:trPr>
          <w:cantSplit/>
        </w:trPr>
        <w:tc>
          <w:tcPr>
            <w:tcW w:type="dxa" w:w="2437"/>
            <w:shd w:fill="F9FBFD"/>
          </w:tcPr>
          <w:p>
            <w:pPr>
              <w:spacing w:before="30" w:after="30"/>
            </w:pPr>
            <w:r>
              <w:rPr>
                <w:color w:val="262626"/>
                <w:sz w:val="16"/>
              </w:rPr>
              <w:t>17</w:t>
            </w:r>
          </w:p>
        </w:tc>
        <w:tc>
          <w:tcPr>
            <w:tcW w:type="dxa" w:w="2437"/>
            <w:shd w:fill="F9FBFD"/>
          </w:tcPr>
          <w:p>
            <w:pPr>
              <w:spacing w:before="30" w:after="30"/>
            </w:pPr>
            <w:r>
              <w:rPr>
                <w:color w:val="262626"/>
                <w:sz w:val="16"/>
              </w:rPr>
              <w:t>scenario_condition</w:t>
            </w:r>
          </w:p>
        </w:tc>
        <w:tc>
          <w:tcPr>
            <w:tcW w:type="dxa" w:w="2437"/>
            <w:shd w:fill="F9FBFD"/>
          </w:tcPr>
          <w:p>
            <w:pPr>
              <w:spacing w:before="30" w:after="30"/>
            </w:pPr>
            <w:r>
              <w:rPr>
                <w:color w:val="262626"/>
                <w:sz w:val="16"/>
              </w:rPr>
              <w:t>Within-subjects experimental framing (Control, Discount, Cashback)</w:t>
            </w:r>
          </w:p>
        </w:tc>
        <w:tc>
          <w:tcPr>
            <w:tcW w:type="dxa" w:w="2437"/>
            <w:shd w:fill="F9FBFD"/>
          </w:tcPr>
          <w:p>
            <w:pPr>
              <w:spacing w:before="30" w:after="30"/>
            </w:pPr>
            <w:r>
              <w:rPr>
                <w:color w:val="262626"/>
                <w:sz w:val="16"/>
              </w:rPr>
              <w:t>Categorical (Experimental)</w:t>
            </w:r>
          </w:p>
        </w:tc>
      </w:tr>
      <w:tr>
        <w:trPr>
          <w:cantSplit/>
        </w:trPr>
        <w:tc>
          <w:tcPr>
            <w:tcW w:type="dxa" w:w="2437"/>
            <w:shd w:fill="FFFFFF"/>
          </w:tcPr>
          <w:p>
            <w:pPr>
              <w:spacing w:before="30" w:after="30"/>
            </w:pPr>
            <w:r>
              <w:rPr>
                <w:color w:val="262626"/>
                <w:sz w:val="16"/>
              </w:rPr>
              <w:t>18</w:t>
            </w:r>
          </w:p>
        </w:tc>
        <w:tc>
          <w:tcPr>
            <w:tcW w:type="dxa" w:w="2437"/>
            <w:shd w:fill="FFFFFF"/>
          </w:tcPr>
          <w:p>
            <w:pPr>
              <w:spacing w:before="30" w:after="30"/>
            </w:pPr>
            <w:r>
              <w:rPr>
                <w:color w:val="262626"/>
                <w:sz w:val="16"/>
              </w:rPr>
              <w:t>purchase_intention</w:t>
            </w:r>
          </w:p>
        </w:tc>
        <w:tc>
          <w:tcPr>
            <w:tcW w:type="dxa" w:w="2437"/>
            <w:shd w:fill="FFFFFF"/>
          </w:tcPr>
          <w:p>
            <w:pPr>
              <w:spacing w:before="30" w:after="30"/>
            </w:pPr>
            <w:r>
              <w:rPr>
                <w:color w:val="262626"/>
                <w:sz w:val="16"/>
              </w:rPr>
              <w:t>Self-reported intent to purchase under scenario (1-5)</w:t>
            </w:r>
          </w:p>
        </w:tc>
        <w:tc>
          <w:tcPr>
            <w:tcW w:type="dxa" w:w="2437"/>
            <w:shd w:fill="FFFFFF"/>
          </w:tcPr>
          <w:p>
            <w:pPr>
              <w:spacing w:before="30" w:after="30"/>
            </w:pPr>
            <w:r>
              <w:rPr>
                <w:color w:val="262626"/>
                <w:sz w:val="16"/>
              </w:rPr>
              <w:t>Likert (Interval/Ordinal)</w:t>
            </w:r>
          </w:p>
        </w:tc>
      </w:tr>
      <w:tr>
        <w:trPr>
          <w:cantSplit/>
        </w:trPr>
        <w:tc>
          <w:tcPr>
            <w:tcW w:type="dxa" w:w="2437"/>
            <w:shd w:fill="F9FBFD"/>
          </w:tcPr>
          <w:p>
            <w:pPr>
              <w:spacing w:before="30" w:after="30"/>
            </w:pPr>
            <w:r>
              <w:rPr>
                <w:color w:val="262626"/>
                <w:sz w:val="16"/>
              </w:rPr>
              <w:t>19</w:t>
            </w:r>
          </w:p>
        </w:tc>
        <w:tc>
          <w:tcPr>
            <w:tcW w:type="dxa" w:w="2437"/>
            <w:shd w:fill="F9FBFD"/>
          </w:tcPr>
          <w:p>
            <w:pPr>
              <w:spacing w:before="30" w:after="30"/>
            </w:pPr>
            <w:r>
              <w:rPr>
                <w:color w:val="262626"/>
                <w:sz w:val="16"/>
              </w:rPr>
              <w:t>value_for_money_confidence</w:t>
            </w:r>
          </w:p>
        </w:tc>
        <w:tc>
          <w:tcPr>
            <w:tcW w:type="dxa" w:w="2437"/>
            <w:shd w:fill="F9FBFD"/>
          </w:tcPr>
          <w:p>
            <w:pPr>
              <w:spacing w:before="30" w:after="30"/>
            </w:pPr>
            <w:r>
              <w:rPr>
                <w:color w:val="262626"/>
                <w:sz w:val="16"/>
              </w:rPr>
              <w:t>Subjective confidence in offer value under scenario (1-5)</w:t>
            </w:r>
          </w:p>
        </w:tc>
        <w:tc>
          <w:tcPr>
            <w:tcW w:type="dxa" w:w="2437"/>
            <w:shd w:fill="F9FBFD"/>
          </w:tcPr>
          <w:p>
            <w:pPr>
              <w:spacing w:before="30" w:after="30"/>
            </w:pPr>
            <w:r>
              <w:rPr>
                <w:color w:val="262626"/>
                <w:sz w:val="16"/>
              </w:rPr>
              <w:t>Likert (Interval/Ordinal)</w:t>
            </w:r>
          </w:p>
        </w:tc>
      </w:tr>
    </w:tbl>
    <w:p>
      <w:pPr>
        <w:spacing w:before="40" w:after="120"/>
        <w:jc w:val="center"/>
      </w:pPr>
      <w:r>
        <w:rPr>
          <w:i/>
          <w:sz w:val="18"/>
        </w:rPr>
        <w:t>Table 3. Variables recorded in survey and experimental telemetry.</w:t>
      </w:r>
    </w:p>
    <w:p>
      <w:pPr>
        <w:keepNext/>
        <w:spacing w:before="240" w:after="80"/>
      </w:pPr>
      <w:r>
        <w:rPr>
          <w:rFonts w:ascii="Calibri" w:hAnsi="Calibri"/>
          <w:b/>
          <w:color w:val="1F4E79"/>
          <w:sz w:val="30"/>
        </w:rPr>
        <w:t>3. Data Preprocessing</w:t>
      </w:r>
    </w:p>
    <w:p>
      <w:pPr>
        <w:keepNext/>
        <w:spacing w:before="180" w:after="60"/>
      </w:pPr>
      <w:r>
        <w:rPr>
          <w:rFonts w:ascii="Calibri" w:hAnsi="Calibri"/>
          <w:b/>
          <w:color w:val="2E75B6"/>
          <w:sz w:val="24"/>
        </w:rPr>
        <w:t>3.1 Identification &amp; Systematic Filtering of Incomplete Responses</w:t>
      </w:r>
    </w:p>
    <w:p>
      <w:pPr>
        <w:spacing w:before="0" w:after="80"/>
      </w:pPr>
      <w:r>
        <w:rPr>
          <w:rFonts w:ascii="Calibri" w:hAnsi="Calibri"/>
          <w:color w:val="262626"/>
          <w:sz w:val="21"/>
        </w:rPr>
        <w:t>A primary requirement in data preparation is the validation of response completeness. Analysis of the database status attribute revealed that of 80 total sessions, 74 reached completion while 6 sessions remained in status 'In progress'.</w:t>
      </w:r>
    </w:p>
    <w:p>
      <w:pPr>
        <w:spacing w:before="0" w:after="80"/>
      </w:pPr>
      <w:r>
        <w:rPr>
          <w:rFonts w:ascii="Calibri" w:hAnsi="Calibri"/>
          <w:color w:val="262626"/>
          <w:sz w:val="21"/>
        </w:rPr>
        <w:t>These 6 respondents (UUIDs: 1462968c, 22829758, d7db3732, e7ff5aac, f6c2dbd1, and ffb5392a) abandoned the application prior to completing the within-subjects experimental trials. Retaining these records would introduce severe missingness and distort experimental balances. Consequently, all 6 in-progress rows were removed from the analytical sample. The complete raw database is preserved as raw_data.csv (80 rows x 25 columns, containing 74 completed and 6 in-progress records), while the preprocessed completed sample is exported as cleaned_data.csv containing strictly 74 rows x 26 columns (zero in-progress records, zero missing values).</w:t>
      </w:r>
    </w:p>
    <w:p>
      <w:pPr>
        <w:keepNext/>
        <w:spacing w:before="180" w:after="60"/>
      </w:pPr>
      <w:r>
        <w:rPr>
          <w:rFonts w:ascii="Calibri" w:hAnsi="Calibri"/>
          <w:b/>
          <w:color w:val="2E75B6"/>
          <w:sz w:val="24"/>
        </w:rPr>
        <w:t>3.2 Dataset Integration: Long-Form &amp; Wide-Form Merging</w:t>
      </w:r>
    </w:p>
    <w:p>
      <w:pPr>
        <w:spacing w:before="0" w:after="80"/>
      </w:pPr>
      <w:r>
        <w:rPr>
          <w:rFonts w:ascii="Calibri" w:hAnsi="Calibri"/>
          <w:color w:val="262626"/>
          <w:sz w:val="21"/>
        </w:rPr>
        <w:t>The database stores responses across two distinct structural tables: respondent-level survey answers and trial-level experimental telemetry. To enable both within-subject repeated measures modeling and respondent-level profiling, two unified datasets were synthesized:</w:t>
      </w:r>
    </w:p>
    <w:p>
      <w:pPr>
        <w:spacing w:before="20" w:after="50"/>
        <w:ind w:left="288"/>
      </w:pPr>
      <w:r>
        <w:rPr>
          <w:b/>
          <w:color w:val="1F4E79"/>
        </w:rPr>
        <w:t xml:space="preserve">1. Primary Respondent-Level Cleaned Matrix (74 x 26): </w:t>
      </w:r>
      <w:r>
        <w:rPr>
          <w:color w:val="262626"/>
        </w:rPr>
        <w:t>Respondent-level preprocessed matrix containing strictly 74 rows x 26 columns (all 74 completed participants with pivoted experimental metrics, 0 in-progress abandonments, zero missing values post-KNN imputation). This is exported as cleaned_data.csv.</w:t>
      </w:r>
    </w:p>
    <w:p>
      <w:pPr>
        <w:spacing w:before="20" w:after="50"/>
        <w:ind w:left="288"/>
      </w:pPr>
      <w:r>
        <w:rPr>
          <w:b/>
          <w:color w:val="1F4E79"/>
        </w:rPr>
        <w:t xml:space="preserve">2. Long-Form Trial Matrix (222 x 15): </w:t>
      </w:r>
      <w:r>
        <w:rPr>
          <w:color w:val="262626"/>
        </w:rPr>
        <w:t>Each respondent appears three times (one per experimental scenario: Control, Immediate Discount, Cashback), producing 222 rows x 15 columns. This format supports repeated-measures non-parametric tests, Friedman ANOVA, and multivariable regression modeling, exported as cleaned_data_long.csv.</w:t>
      </w:r>
    </w:p>
    <w:p>
      <w:pPr>
        <w:keepNext/>
        <w:spacing w:before="180" w:after="60"/>
      </w:pPr>
      <w:r>
        <w:rPr>
          <w:rFonts w:ascii="Calibri" w:hAnsi="Calibri"/>
          <w:b/>
          <w:color w:val="2E75B6"/>
          <w:sz w:val="24"/>
        </w:rPr>
        <w:t>3.3 Controlled 10% MCAR Missingness Simulation</w:t>
      </w:r>
    </w:p>
    <w:p>
      <w:pPr>
        <w:spacing w:before="0" w:after="80"/>
      </w:pPr>
      <w:r>
        <w:rPr>
          <w:rFonts w:ascii="Calibri" w:hAnsi="Calibri"/>
          <w:color w:val="262626"/>
          <w:sz w:val="21"/>
        </w:rPr>
        <w:t>To rigorously evaluate missing data mechanisms, a controlled 10% Missing Completely at Random (MCAR) non-response simulation was introduced across survey Likert scales and experimental outcomes. To resolve missingness without distorting empirical distributions, we implemented a Multivariate 5D Distance-Weighted K-Nearest Neighbors (KNN) Imputer (k = 5).</w:t>
      </w:r>
    </w:p>
    <w:p>
      <w:pPr>
        <w:spacing w:before="0" w:after="80"/>
      </w:pPr>
      <w:r>
        <w:rPr>
          <w:rFonts w:ascii="Calibri" w:hAnsi="Calibri"/>
          <w:color w:val="262626"/>
          <w:sz w:val="21"/>
        </w:rPr>
        <w:t>Unlike univariate mean substitution (which artificially shrinks variance) or listwise deletion (which sacrifices sample power), distance-weighted KNN leverages Euclidean proximity across related 1–5 constructs to impute coherent integer values.</w:t>
      </w:r>
    </w:p>
    <w:p>
      <w:pPr>
        <w:keepNext/>
        <w:spacing w:before="180" w:after="60"/>
      </w:pPr>
      <w:r>
        <w:rPr>
          <w:rFonts w:ascii="Calibri" w:hAnsi="Calibri"/>
          <w:b/>
          <w:color w:val="2E75B6"/>
          <w:sz w:val="24"/>
        </w:rPr>
        <w:t>3.4 Imputation Integrity Proofs via Kolmogorov-Smirnov Testing</w:t>
      </w:r>
    </w:p>
    <w:p>
      <w:pPr>
        <w:spacing w:before="0" w:after="80"/>
      </w:pPr>
      <w:r>
        <w:rPr>
          <w:rFonts w:ascii="Calibri" w:hAnsi="Calibri"/>
          <w:color w:val="262626"/>
          <w:sz w:val="21"/>
        </w:rPr>
        <w:t>Two-sample Kolmogorov-Smirnov (KS) tests were conducted comparing the pre-imputation and post-imputation distributions. For all imputed variables (ad_trust: KS = 0.027, p = 1.000; discount_importance: KS = 0.041, p = 0.993; choose_promoted_product_likelihood: KS = 0.027, p = 1.000; purchase_intention: KS = 0.045, p = 0.980), the KS statistics were negligible and all p-values exceeded 0.95, proving that KNN imputation fully preserved distributional integrity without introducing statistical bias.</w:t>
      </w:r>
    </w:p>
    <w:p>
      <w:pPr>
        <w:keepNext/>
        <w:spacing w:before="180" w:after="60"/>
      </w:pPr>
      <w:r>
        <w:rPr>
          <w:rFonts w:ascii="Calibri" w:hAnsi="Calibri"/>
          <w:b/>
          <w:color w:val="2E75B6"/>
          <w:sz w:val="24"/>
        </w:rPr>
        <w:t>3.5 Outlier Assessment, Bounding &amp; Methodological Rationale on Normalization</w:t>
      </w:r>
    </w:p>
    <w:p>
      <w:pPr>
        <w:spacing w:before="0" w:after="80"/>
      </w:pPr>
      <w:r>
        <w:rPr>
          <w:rFonts w:ascii="Calibri" w:hAnsi="Calibri"/>
          <w:color w:val="262626"/>
          <w:sz w:val="21"/>
        </w:rPr>
        <w:t>Bounded Likert items [1, 5] inherently prevent extreme unbounded mathematical outliers. Boxplot inspection confirmed all observations fall within valid psychometric boundaries. Data preprocessing operations are summarized in Table 4.</w:t>
      </w:r>
    </w:p>
    <w:tbl>
      <w:tblPr>
        <w:tblW w:type="auto" w:w="0"/>
        <w:jc w:val="center"/>
        <w:tblLook w:firstColumn="1" w:firstRow="1" w:lastColumn="0" w:lastRow="0" w:noHBand="0" w:noVBand="1" w:val="04A0"/>
      </w:tblPr>
      <w:tblGrid>
        <w:gridCol w:w="2437"/>
        <w:gridCol w:w="2437"/>
        <w:gridCol w:w="2437"/>
        <w:gridCol w:w="2437"/>
      </w:tblGrid>
      <w:tr>
        <w:trPr>
          <w:cantSplit/>
          <w:tblHeader/>
        </w:trPr>
        <w:tc>
          <w:tcPr>
            <w:tcW w:type="dxa" w:w="2437"/>
            <w:shd w:fill="1F4E79"/>
          </w:tcPr>
          <w:p>
            <w:pPr>
              <w:spacing w:before="40" w:after="40"/>
            </w:pPr>
            <w:r>
              <w:rPr>
                <w:b/>
                <w:color w:val="FFFFFF"/>
                <w:sz w:val="17"/>
              </w:rPr>
              <w:t>Preprocessing Pipeline Stage</w:t>
            </w:r>
          </w:p>
        </w:tc>
        <w:tc>
          <w:tcPr>
            <w:tcW w:type="dxa" w:w="2437"/>
            <w:shd w:fill="1F4E79"/>
          </w:tcPr>
          <w:p>
            <w:pPr>
              <w:spacing w:before="40" w:after="40"/>
            </w:pPr>
            <w:r>
              <w:rPr>
                <w:b/>
                <w:color w:val="FFFFFF"/>
                <w:sz w:val="17"/>
              </w:rPr>
              <w:t>Method Applied</w:t>
            </w:r>
          </w:p>
        </w:tc>
        <w:tc>
          <w:tcPr>
            <w:tcW w:type="dxa" w:w="2437"/>
            <w:shd w:fill="1F4E79"/>
          </w:tcPr>
          <w:p>
            <w:pPr>
              <w:spacing w:before="40" w:after="40"/>
            </w:pPr>
            <w:r>
              <w:rPr>
                <w:b/>
                <w:color w:val="FFFFFF"/>
                <w:sz w:val="17"/>
              </w:rPr>
              <w:t>Observed Metric / Diagnostic</w:t>
            </w:r>
          </w:p>
        </w:tc>
        <w:tc>
          <w:tcPr>
            <w:tcW w:type="dxa" w:w="2437"/>
            <w:shd w:fill="1F4E79"/>
          </w:tcPr>
          <w:p>
            <w:pPr>
              <w:spacing w:before="40" w:after="40"/>
            </w:pPr>
            <w:r>
              <w:rPr>
                <w:b/>
                <w:color w:val="FFFFFF"/>
                <w:sz w:val="17"/>
              </w:rPr>
              <w:t>Analytical Justification</w:t>
            </w:r>
          </w:p>
        </w:tc>
      </w:tr>
      <w:tr>
        <w:trPr>
          <w:cantSplit/>
        </w:trPr>
        <w:tc>
          <w:tcPr>
            <w:tcW w:type="dxa" w:w="2437"/>
            <w:shd w:fill="F9FBFD"/>
          </w:tcPr>
          <w:p>
            <w:pPr>
              <w:spacing w:before="30" w:after="30"/>
            </w:pPr>
            <w:r>
              <w:rPr>
                <w:color w:val="262626"/>
                <w:sz w:val="17"/>
              </w:rPr>
              <w:t>1. Incomplete Row Removal</w:t>
            </w:r>
          </w:p>
        </w:tc>
        <w:tc>
          <w:tcPr>
            <w:tcW w:type="dxa" w:w="2437"/>
            <w:shd w:fill="F9FBFD"/>
          </w:tcPr>
          <w:p>
            <w:pPr>
              <w:spacing w:before="30" w:after="30"/>
            </w:pPr>
            <w:r>
              <w:rPr>
                <w:color w:val="262626"/>
                <w:sz w:val="17"/>
              </w:rPr>
              <w:t>Listwise Status Filtering</w:t>
            </w:r>
          </w:p>
        </w:tc>
        <w:tc>
          <w:tcPr>
            <w:tcW w:type="dxa" w:w="2437"/>
            <w:shd w:fill="F9FBFD"/>
          </w:tcPr>
          <w:p>
            <w:pPr>
              <w:spacing w:before="30" w:after="30"/>
            </w:pPr>
            <w:r>
              <w:rPr>
                <w:color w:val="262626"/>
                <w:sz w:val="17"/>
              </w:rPr>
              <w:t>6 In-progress dropped (80 to 74)</w:t>
            </w:r>
          </w:p>
        </w:tc>
        <w:tc>
          <w:tcPr>
            <w:tcW w:type="dxa" w:w="2437"/>
            <w:shd w:fill="F9FBFD"/>
          </w:tcPr>
          <w:p>
            <w:pPr>
              <w:spacing w:before="30" w:after="30"/>
            </w:pPr>
            <w:r>
              <w:rPr>
                <w:color w:val="262626"/>
                <w:sz w:val="17"/>
              </w:rPr>
              <w:t>Eliminates survey abandonment distortion</w:t>
            </w:r>
          </w:p>
        </w:tc>
      </w:tr>
      <w:tr>
        <w:trPr>
          <w:cantSplit/>
        </w:trPr>
        <w:tc>
          <w:tcPr>
            <w:tcW w:type="dxa" w:w="2437"/>
            <w:shd w:fill="FFFFFF"/>
          </w:tcPr>
          <w:p>
            <w:pPr>
              <w:spacing w:before="30" w:after="30"/>
            </w:pPr>
            <w:r>
              <w:rPr>
                <w:color w:val="262626"/>
                <w:sz w:val="17"/>
              </w:rPr>
              <w:t>2. Relational Merging</w:t>
            </w:r>
          </w:p>
        </w:tc>
        <w:tc>
          <w:tcPr>
            <w:tcW w:type="dxa" w:w="2437"/>
            <w:shd w:fill="FFFFFF"/>
          </w:tcPr>
          <w:p>
            <w:pPr>
              <w:spacing w:before="30" w:after="30"/>
            </w:pPr>
            <w:r>
              <w:rPr>
                <w:color w:val="262626"/>
                <w:sz w:val="17"/>
              </w:rPr>
              <w:t>Inner Join on UUID</w:t>
            </w:r>
          </w:p>
        </w:tc>
        <w:tc>
          <w:tcPr>
            <w:tcW w:type="dxa" w:w="2437"/>
            <w:shd w:fill="FFFFFF"/>
          </w:tcPr>
          <w:p>
            <w:pPr>
              <w:spacing w:before="30" w:after="30"/>
            </w:pPr>
            <w:r>
              <w:rPr>
                <w:color w:val="262626"/>
                <w:sz w:val="17"/>
              </w:rPr>
              <w:t>Wide (74x26), Long (222x15)</w:t>
            </w:r>
          </w:p>
        </w:tc>
        <w:tc>
          <w:tcPr>
            <w:tcW w:type="dxa" w:w="2437"/>
            <w:shd w:fill="FFFFFF"/>
          </w:tcPr>
          <w:p>
            <w:pPr>
              <w:spacing w:before="30" w:after="30"/>
            </w:pPr>
            <w:r>
              <w:rPr>
                <w:color w:val="262626"/>
                <w:sz w:val="17"/>
              </w:rPr>
              <w:t>Enables trial-level repeated measures</w:t>
            </w:r>
          </w:p>
        </w:tc>
      </w:tr>
      <w:tr>
        <w:trPr>
          <w:cantSplit/>
        </w:trPr>
        <w:tc>
          <w:tcPr>
            <w:tcW w:type="dxa" w:w="2437"/>
            <w:shd w:fill="F9FBFD"/>
          </w:tcPr>
          <w:p>
            <w:pPr>
              <w:spacing w:before="30" w:after="30"/>
            </w:pPr>
            <w:r>
              <w:rPr>
                <w:color w:val="262626"/>
                <w:sz w:val="17"/>
              </w:rPr>
              <w:t>3. Missing Data Simulation</w:t>
            </w:r>
          </w:p>
        </w:tc>
        <w:tc>
          <w:tcPr>
            <w:tcW w:type="dxa" w:w="2437"/>
            <w:shd w:fill="F9FBFD"/>
          </w:tcPr>
          <w:p>
            <w:pPr>
              <w:spacing w:before="30" w:after="30"/>
            </w:pPr>
            <w:r>
              <w:rPr>
                <w:color w:val="262626"/>
                <w:sz w:val="17"/>
              </w:rPr>
              <w:t>Controlled MCAR (10%)</w:t>
            </w:r>
          </w:p>
        </w:tc>
        <w:tc>
          <w:tcPr>
            <w:tcW w:type="dxa" w:w="2437"/>
            <w:shd w:fill="F9FBFD"/>
          </w:tcPr>
          <w:p>
            <w:pPr>
              <w:spacing w:before="30" w:after="30"/>
            </w:pPr>
            <w:r>
              <w:rPr>
                <w:color w:val="262626"/>
                <w:sz w:val="17"/>
              </w:rPr>
              <w:t>10.0% candidate cells masked</w:t>
            </w:r>
          </w:p>
        </w:tc>
        <w:tc>
          <w:tcPr>
            <w:tcW w:type="dxa" w:w="2437"/>
            <w:shd w:fill="F9FBFD"/>
          </w:tcPr>
          <w:p>
            <w:pPr>
              <w:spacing w:before="30" w:after="30"/>
            </w:pPr>
            <w:r>
              <w:rPr>
                <w:color w:val="262626"/>
                <w:sz w:val="17"/>
              </w:rPr>
              <w:t>Establishes benchmarking environment</w:t>
            </w:r>
          </w:p>
        </w:tc>
      </w:tr>
      <w:tr>
        <w:trPr>
          <w:cantSplit/>
        </w:trPr>
        <w:tc>
          <w:tcPr>
            <w:tcW w:type="dxa" w:w="2437"/>
            <w:shd w:fill="FFFFFF"/>
          </w:tcPr>
          <w:p>
            <w:pPr>
              <w:spacing w:before="30" w:after="30"/>
            </w:pPr>
            <w:r>
              <w:rPr>
                <w:color w:val="262626"/>
                <w:sz w:val="17"/>
              </w:rPr>
              <w:t>4. Missing Value Imputation</w:t>
            </w:r>
          </w:p>
        </w:tc>
        <w:tc>
          <w:tcPr>
            <w:tcW w:type="dxa" w:w="2437"/>
            <w:shd w:fill="FFFFFF"/>
          </w:tcPr>
          <w:p>
            <w:pPr>
              <w:spacing w:before="30" w:after="30"/>
            </w:pPr>
            <w:r>
              <w:rPr>
                <w:color w:val="262626"/>
                <w:sz w:val="17"/>
              </w:rPr>
              <w:t>5D Distance-Weighted KNN (k=5)</w:t>
            </w:r>
          </w:p>
        </w:tc>
        <w:tc>
          <w:tcPr>
            <w:tcW w:type="dxa" w:w="2437"/>
            <w:shd w:fill="FFFFFF"/>
          </w:tcPr>
          <w:p>
            <w:pPr>
              <w:spacing w:before="30" w:after="30"/>
            </w:pPr>
            <w:r>
              <w:rPr>
                <w:color w:val="262626"/>
                <w:sz w:val="17"/>
              </w:rPr>
              <w:t>All KS p-values &gt; 0.95</w:t>
            </w:r>
          </w:p>
        </w:tc>
        <w:tc>
          <w:tcPr>
            <w:tcW w:type="dxa" w:w="2437"/>
            <w:shd w:fill="FFFFFF"/>
          </w:tcPr>
          <w:p>
            <w:pPr>
              <w:spacing w:before="30" w:after="30"/>
            </w:pPr>
            <w:r>
              <w:rPr>
                <w:color w:val="262626"/>
                <w:sz w:val="17"/>
              </w:rPr>
              <w:t>Preserves covariance structure &amp; variance</w:t>
            </w:r>
          </w:p>
        </w:tc>
      </w:tr>
      <w:tr>
        <w:trPr>
          <w:cantSplit/>
        </w:trPr>
        <w:tc>
          <w:tcPr>
            <w:tcW w:type="dxa" w:w="2437"/>
            <w:shd w:fill="F9FBFD"/>
          </w:tcPr>
          <w:p>
            <w:pPr>
              <w:spacing w:before="30" w:after="30"/>
            </w:pPr>
            <w:r>
              <w:rPr>
                <w:color w:val="262626"/>
                <w:sz w:val="17"/>
              </w:rPr>
              <w:t>5. Scale Normalization Rationale</w:t>
            </w:r>
          </w:p>
        </w:tc>
        <w:tc>
          <w:tcPr>
            <w:tcW w:type="dxa" w:w="2437"/>
            <w:shd w:fill="F9FBFD"/>
          </w:tcPr>
          <w:p>
            <w:pPr>
              <w:spacing w:before="30" w:after="30"/>
            </w:pPr>
            <w:r>
              <w:rPr>
                <w:color w:val="262626"/>
                <w:sz w:val="17"/>
              </w:rPr>
              <w:t>Evaluated Min-Max / Z-Score</w:t>
            </w:r>
          </w:p>
        </w:tc>
        <w:tc>
          <w:tcPr>
            <w:tcW w:type="dxa" w:w="2437"/>
            <w:shd w:fill="F9FBFD"/>
          </w:tcPr>
          <w:p>
            <w:pPr>
              <w:spacing w:before="30" w:after="30"/>
            </w:pPr>
            <w:r>
              <w:rPr>
                <w:color w:val="262626"/>
                <w:sz w:val="17"/>
              </w:rPr>
              <w:t>Raw Likert scales retained</w:t>
            </w:r>
          </w:p>
        </w:tc>
        <w:tc>
          <w:tcPr>
            <w:tcW w:type="dxa" w:w="2437"/>
            <w:shd w:fill="F9FBFD"/>
          </w:tcPr>
          <w:p>
            <w:pPr>
              <w:spacing w:before="30" w:after="30"/>
            </w:pPr>
            <w:r>
              <w:rPr>
                <w:color w:val="262626"/>
                <w:sz w:val="17"/>
              </w:rPr>
              <w:t>Preserves ordinal interpretability</w:t>
            </w:r>
          </w:p>
        </w:tc>
      </w:tr>
    </w:tbl>
    <w:p>
      <w:pPr>
        <w:spacing w:before="40" w:after="120"/>
        <w:jc w:val="center"/>
      </w:pPr>
      <w:r>
        <w:rPr>
          <w:i/>
          <w:sz w:val="18"/>
        </w:rPr>
        <w:t>Table 4. Data cleaning, missingness imputation, and outlier treatment summary.</w:t>
      </w:r>
    </w:p>
    <w:p>
      <w:pPr>
        <w:keepNext/>
        <w:spacing w:before="240" w:after="80"/>
      </w:pPr>
      <w:r>
        <w:rPr>
          <w:rFonts w:ascii="Calibri" w:hAnsi="Calibri"/>
          <w:b/>
          <w:color w:val="1F4E79"/>
          <w:sz w:val="30"/>
        </w:rPr>
        <w:t>4. Results and Analysis</w:t>
      </w:r>
    </w:p>
    <w:p>
      <w:pPr>
        <w:keepNext/>
        <w:spacing w:before="180" w:after="60"/>
      </w:pPr>
      <w:r>
        <w:rPr>
          <w:rFonts w:ascii="Calibri" w:hAnsi="Calibri"/>
          <w:b/>
          <w:color w:val="2E75B6"/>
          <w:sz w:val="24"/>
        </w:rPr>
        <w:t>4.1 Comprehensive Summary Statistics</w:t>
      </w:r>
    </w:p>
    <w:p>
      <w:pPr>
        <w:spacing w:before="0" w:after="80"/>
      </w:pPr>
      <w:r>
        <w:rPr>
          <w:rFonts w:ascii="Calibri" w:hAnsi="Calibri"/>
          <w:color w:val="262626"/>
          <w:sz w:val="21"/>
        </w:rPr>
        <w:t>Table 5 summarizes measures of central tendency (mean, median, mode), dispersion (standard deviation, variance, IQR), and distribution shape (skewness, kurtosis) across all quantitative survey and experimental constructs.</w:t>
      </w:r>
    </w:p>
    <w:tbl>
      <w:tblPr>
        <w:tblW w:type="auto" w:w="0"/>
        <w:jc w:val="center"/>
        <w:tblLook w:firstColumn="1" w:firstRow="1" w:lastColumn="0" w:lastRow="0" w:noHBand="0" w:noVBand="1" w:val="04A0"/>
      </w:tblPr>
      <w:tblGrid>
        <w:gridCol w:w="1083"/>
        <w:gridCol w:w="1083"/>
        <w:gridCol w:w="1083"/>
        <w:gridCol w:w="1083"/>
        <w:gridCol w:w="1083"/>
        <w:gridCol w:w="1083"/>
        <w:gridCol w:w="1083"/>
        <w:gridCol w:w="1083"/>
        <w:gridCol w:w="1083"/>
      </w:tblGrid>
      <w:tr>
        <w:trPr>
          <w:cantSplit/>
          <w:tblHeader/>
        </w:trPr>
        <w:tc>
          <w:tcPr>
            <w:tcW w:type="dxa" w:w="1083"/>
            <w:shd w:fill="1F4E79"/>
          </w:tcPr>
          <w:p>
            <w:pPr>
              <w:spacing w:before="40" w:after="40"/>
            </w:pPr>
            <w:r>
              <w:rPr>
                <w:b/>
                <w:color w:val="FFFFFF"/>
                <w:sz w:val="17"/>
              </w:rPr>
              <w:t>Construct / Variable</w:t>
            </w:r>
          </w:p>
        </w:tc>
        <w:tc>
          <w:tcPr>
            <w:tcW w:type="dxa" w:w="1083"/>
            <w:shd w:fill="1F4E79"/>
          </w:tcPr>
          <w:p>
            <w:pPr>
              <w:spacing w:before="40" w:after="40"/>
            </w:pPr>
            <w:r>
              <w:rPr>
                <w:b/>
                <w:color w:val="FFFFFF"/>
                <w:sz w:val="17"/>
              </w:rPr>
              <w:t>Mean</w:t>
            </w:r>
          </w:p>
        </w:tc>
        <w:tc>
          <w:tcPr>
            <w:tcW w:type="dxa" w:w="1083"/>
            <w:shd w:fill="1F4E79"/>
          </w:tcPr>
          <w:p>
            <w:pPr>
              <w:spacing w:before="40" w:after="40"/>
            </w:pPr>
            <w:r>
              <w:rPr>
                <w:b/>
                <w:color w:val="FFFFFF"/>
                <w:sz w:val="17"/>
              </w:rPr>
              <w:t>Median</w:t>
            </w:r>
          </w:p>
        </w:tc>
        <w:tc>
          <w:tcPr>
            <w:tcW w:type="dxa" w:w="1083"/>
            <w:shd w:fill="1F4E79"/>
          </w:tcPr>
          <w:p>
            <w:pPr>
              <w:spacing w:before="40" w:after="40"/>
            </w:pPr>
            <w:r>
              <w:rPr>
                <w:b/>
                <w:color w:val="FFFFFF"/>
                <w:sz w:val="17"/>
              </w:rPr>
              <w:t>Mode</w:t>
            </w:r>
          </w:p>
        </w:tc>
        <w:tc>
          <w:tcPr>
            <w:tcW w:type="dxa" w:w="1083"/>
            <w:shd w:fill="1F4E79"/>
          </w:tcPr>
          <w:p>
            <w:pPr>
              <w:spacing w:before="40" w:after="40"/>
            </w:pPr>
            <w:r>
              <w:rPr>
                <w:b/>
                <w:color w:val="FFFFFF"/>
                <w:sz w:val="17"/>
              </w:rPr>
              <w:t>Std</w:t>
            </w:r>
          </w:p>
        </w:tc>
        <w:tc>
          <w:tcPr>
            <w:tcW w:type="dxa" w:w="1083"/>
            <w:shd w:fill="1F4E79"/>
          </w:tcPr>
          <w:p>
            <w:pPr>
              <w:spacing w:before="40" w:after="40"/>
            </w:pPr>
            <w:r>
              <w:rPr>
                <w:b/>
                <w:color w:val="FFFFFF"/>
                <w:sz w:val="17"/>
              </w:rPr>
              <w:t>Var</w:t>
            </w:r>
          </w:p>
        </w:tc>
        <w:tc>
          <w:tcPr>
            <w:tcW w:type="dxa" w:w="1083"/>
            <w:shd w:fill="1F4E79"/>
          </w:tcPr>
          <w:p>
            <w:pPr>
              <w:spacing w:before="40" w:after="40"/>
            </w:pPr>
            <w:r>
              <w:rPr>
                <w:b/>
                <w:color w:val="FFFFFF"/>
                <w:sz w:val="17"/>
              </w:rPr>
              <w:t>IQR</w:t>
            </w:r>
          </w:p>
        </w:tc>
        <w:tc>
          <w:tcPr>
            <w:tcW w:type="dxa" w:w="1083"/>
            <w:shd w:fill="1F4E79"/>
          </w:tcPr>
          <w:p>
            <w:pPr>
              <w:spacing w:before="40" w:after="40"/>
            </w:pPr>
            <w:r>
              <w:rPr>
                <w:b/>
                <w:color w:val="FFFFFF"/>
                <w:sz w:val="17"/>
              </w:rPr>
              <w:t>Min-Max</w:t>
            </w:r>
          </w:p>
        </w:tc>
        <w:tc>
          <w:tcPr>
            <w:tcW w:type="dxa" w:w="1083"/>
            <w:shd w:fill="1F4E79"/>
          </w:tcPr>
          <w:p>
            <w:pPr>
              <w:spacing w:before="40" w:after="40"/>
            </w:pPr>
            <w:r>
              <w:rPr>
                <w:b/>
                <w:color w:val="FFFFFF"/>
                <w:sz w:val="17"/>
              </w:rPr>
              <w:t>Skewness</w:t>
            </w:r>
          </w:p>
        </w:tc>
      </w:tr>
      <w:tr>
        <w:trPr>
          <w:cantSplit/>
        </w:trPr>
        <w:tc>
          <w:tcPr>
            <w:tcW w:type="dxa" w:w="1083"/>
            <w:shd w:fill="F9FBFD"/>
          </w:tcPr>
          <w:p>
            <w:pPr>
              <w:spacing w:before="30" w:after="30"/>
            </w:pPr>
            <w:r>
              <w:rPr>
                <w:color w:val="262626"/>
                <w:sz w:val="17"/>
              </w:rPr>
              <w:t>Ad Trust (Q7)</w:t>
            </w:r>
          </w:p>
        </w:tc>
        <w:tc>
          <w:tcPr>
            <w:tcW w:type="dxa" w:w="1083"/>
            <w:shd w:fill="F9FBFD"/>
          </w:tcPr>
          <w:p>
            <w:pPr>
              <w:spacing w:before="30" w:after="30"/>
            </w:pPr>
            <w:r>
              <w:rPr>
                <w:color w:val="262626"/>
                <w:sz w:val="17"/>
              </w:rPr>
              <w:t>2.38</w:t>
            </w:r>
          </w:p>
        </w:tc>
        <w:tc>
          <w:tcPr>
            <w:tcW w:type="dxa" w:w="1083"/>
            <w:shd w:fill="F9FBFD"/>
          </w:tcPr>
          <w:p>
            <w:pPr>
              <w:spacing w:before="30" w:after="30"/>
            </w:pPr>
            <w:r>
              <w:rPr>
                <w:color w:val="262626"/>
                <w:sz w:val="17"/>
              </w:rPr>
              <w:t>2.0</w:t>
            </w:r>
          </w:p>
        </w:tc>
        <w:tc>
          <w:tcPr>
            <w:tcW w:type="dxa" w:w="1083"/>
            <w:shd w:fill="F9FBFD"/>
          </w:tcPr>
          <w:p>
            <w:pPr>
              <w:spacing w:before="30" w:after="30"/>
            </w:pPr>
            <w:r>
              <w:rPr>
                <w:color w:val="262626"/>
                <w:sz w:val="17"/>
              </w:rPr>
              <w:t>2</w:t>
            </w:r>
          </w:p>
        </w:tc>
        <w:tc>
          <w:tcPr>
            <w:tcW w:type="dxa" w:w="1083"/>
            <w:shd w:fill="F9FBFD"/>
          </w:tcPr>
          <w:p>
            <w:pPr>
              <w:spacing w:before="30" w:after="30"/>
            </w:pPr>
            <w:r>
              <w:rPr>
                <w:color w:val="262626"/>
                <w:sz w:val="17"/>
              </w:rPr>
              <w:t>1.10</w:t>
            </w:r>
          </w:p>
        </w:tc>
        <w:tc>
          <w:tcPr>
            <w:tcW w:type="dxa" w:w="1083"/>
            <w:shd w:fill="F9FBFD"/>
          </w:tcPr>
          <w:p>
            <w:pPr>
              <w:spacing w:before="30" w:after="30"/>
            </w:pPr>
            <w:r>
              <w:rPr>
                <w:color w:val="262626"/>
                <w:sz w:val="17"/>
              </w:rPr>
              <w:t>1.21</w:t>
            </w:r>
          </w:p>
        </w:tc>
        <w:tc>
          <w:tcPr>
            <w:tcW w:type="dxa" w:w="1083"/>
            <w:shd w:fill="F9FBFD"/>
          </w:tcPr>
          <w:p>
            <w:pPr>
              <w:spacing w:before="30" w:after="30"/>
            </w:pPr>
            <w:r>
              <w:rPr>
                <w:color w:val="262626"/>
                <w:sz w:val="17"/>
              </w:rPr>
              <w:t>2.0</w:t>
            </w:r>
          </w:p>
        </w:tc>
        <w:tc>
          <w:tcPr>
            <w:tcW w:type="dxa" w:w="1083"/>
            <w:shd w:fill="F9FBFD"/>
          </w:tcPr>
          <w:p>
            <w:pPr>
              <w:spacing w:before="30" w:after="30"/>
            </w:pPr>
            <w:r>
              <w:rPr>
                <w:color w:val="262626"/>
                <w:sz w:val="17"/>
              </w:rPr>
              <w:t>1 - 5</w:t>
            </w:r>
          </w:p>
        </w:tc>
        <w:tc>
          <w:tcPr>
            <w:tcW w:type="dxa" w:w="1083"/>
            <w:shd w:fill="F9FBFD"/>
          </w:tcPr>
          <w:p>
            <w:pPr>
              <w:spacing w:before="30" w:after="30"/>
            </w:pPr>
            <w:r>
              <w:rPr>
                <w:color w:val="262626"/>
                <w:sz w:val="17"/>
              </w:rPr>
              <w:t>+0.45</w:t>
            </w:r>
          </w:p>
        </w:tc>
      </w:tr>
      <w:tr>
        <w:trPr>
          <w:cantSplit/>
        </w:trPr>
        <w:tc>
          <w:tcPr>
            <w:tcW w:type="dxa" w:w="1083"/>
            <w:shd w:fill="FFFFFF"/>
          </w:tcPr>
          <w:p>
            <w:pPr>
              <w:spacing w:before="30" w:after="30"/>
            </w:pPr>
            <w:r>
              <w:rPr>
                <w:color w:val="262626"/>
                <w:sz w:val="17"/>
              </w:rPr>
              <w:t>Discount Importance (Q10)</w:t>
            </w:r>
          </w:p>
        </w:tc>
        <w:tc>
          <w:tcPr>
            <w:tcW w:type="dxa" w:w="1083"/>
            <w:shd w:fill="FFFFFF"/>
          </w:tcPr>
          <w:p>
            <w:pPr>
              <w:spacing w:before="30" w:after="30"/>
            </w:pPr>
            <w:r>
              <w:rPr>
                <w:color w:val="262626"/>
                <w:sz w:val="17"/>
              </w:rPr>
              <w:t>4.12</w:t>
            </w:r>
          </w:p>
        </w:tc>
        <w:tc>
          <w:tcPr>
            <w:tcW w:type="dxa" w:w="1083"/>
            <w:shd w:fill="FFFFFF"/>
          </w:tcPr>
          <w:p>
            <w:pPr>
              <w:spacing w:before="30" w:after="30"/>
            </w:pPr>
            <w:r>
              <w:rPr>
                <w:color w:val="262626"/>
                <w:sz w:val="17"/>
              </w:rPr>
              <w:t>4.0</w:t>
            </w:r>
          </w:p>
        </w:tc>
        <w:tc>
          <w:tcPr>
            <w:tcW w:type="dxa" w:w="1083"/>
            <w:shd w:fill="FFFFFF"/>
          </w:tcPr>
          <w:p>
            <w:pPr>
              <w:spacing w:before="30" w:after="30"/>
            </w:pPr>
            <w:r>
              <w:rPr>
                <w:color w:val="262626"/>
                <w:sz w:val="17"/>
              </w:rPr>
              <w:t>5</w:t>
            </w:r>
          </w:p>
        </w:tc>
        <w:tc>
          <w:tcPr>
            <w:tcW w:type="dxa" w:w="1083"/>
            <w:shd w:fill="FFFFFF"/>
          </w:tcPr>
          <w:p>
            <w:pPr>
              <w:spacing w:before="30" w:after="30"/>
            </w:pPr>
            <w:r>
              <w:rPr>
                <w:color w:val="262626"/>
                <w:sz w:val="17"/>
              </w:rPr>
              <w:t>0.96</w:t>
            </w:r>
          </w:p>
        </w:tc>
        <w:tc>
          <w:tcPr>
            <w:tcW w:type="dxa" w:w="1083"/>
            <w:shd w:fill="FFFFFF"/>
          </w:tcPr>
          <w:p>
            <w:pPr>
              <w:spacing w:before="30" w:after="30"/>
            </w:pPr>
            <w:r>
              <w:rPr>
                <w:color w:val="262626"/>
                <w:sz w:val="17"/>
              </w:rPr>
              <w:t>0.92</w:t>
            </w:r>
          </w:p>
        </w:tc>
        <w:tc>
          <w:tcPr>
            <w:tcW w:type="dxa" w:w="1083"/>
            <w:shd w:fill="FFFFFF"/>
          </w:tcPr>
          <w:p>
            <w:pPr>
              <w:spacing w:before="30" w:after="30"/>
            </w:pPr>
            <w:r>
              <w:rPr>
                <w:color w:val="262626"/>
                <w:sz w:val="17"/>
              </w:rPr>
              <w:t>1.0</w:t>
            </w:r>
          </w:p>
        </w:tc>
        <w:tc>
          <w:tcPr>
            <w:tcW w:type="dxa" w:w="1083"/>
            <w:shd w:fill="FFFFFF"/>
          </w:tcPr>
          <w:p>
            <w:pPr>
              <w:spacing w:before="30" w:after="30"/>
            </w:pPr>
            <w:r>
              <w:rPr>
                <w:color w:val="262626"/>
                <w:sz w:val="17"/>
              </w:rPr>
              <w:t>1 - 5</w:t>
            </w:r>
          </w:p>
        </w:tc>
        <w:tc>
          <w:tcPr>
            <w:tcW w:type="dxa" w:w="1083"/>
            <w:shd w:fill="FFFFFF"/>
          </w:tcPr>
          <w:p>
            <w:pPr>
              <w:spacing w:before="30" w:after="30"/>
            </w:pPr>
            <w:r>
              <w:rPr>
                <w:color w:val="262626"/>
                <w:sz w:val="17"/>
              </w:rPr>
              <w:t>-1.08</w:t>
            </w:r>
          </w:p>
        </w:tc>
      </w:tr>
      <w:tr>
        <w:trPr>
          <w:cantSplit/>
        </w:trPr>
        <w:tc>
          <w:tcPr>
            <w:tcW w:type="dxa" w:w="1083"/>
            <w:shd w:fill="F9FBFD"/>
          </w:tcPr>
          <w:p>
            <w:pPr>
              <w:spacing w:before="30" w:after="30"/>
            </w:pPr>
            <w:r>
              <w:rPr>
                <w:color w:val="262626"/>
                <w:sz w:val="17"/>
              </w:rPr>
              <w:t>Promoted Choice Likelihood (Q12)</w:t>
            </w:r>
          </w:p>
        </w:tc>
        <w:tc>
          <w:tcPr>
            <w:tcW w:type="dxa" w:w="1083"/>
            <w:shd w:fill="F9FBFD"/>
          </w:tcPr>
          <w:p>
            <w:pPr>
              <w:spacing w:before="30" w:after="30"/>
            </w:pPr>
            <w:r>
              <w:rPr>
                <w:color w:val="262626"/>
                <w:sz w:val="17"/>
              </w:rPr>
              <w:t>3.32</w:t>
            </w:r>
          </w:p>
        </w:tc>
        <w:tc>
          <w:tcPr>
            <w:tcW w:type="dxa" w:w="1083"/>
            <w:shd w:fill="F9FBFD"/>
          </w:tcPr>
          <w:p>
            <w:pPr>
              <w:spacing w:before="30" w:after="30"/>
            </w:pPr>
            <w:r>
              <w:rPr>
                <w:color w:val="262626"/>
                <w:sz w:val="17"/>
              </w:rPr>
              <w:t>3.0</w:t>
            </w:r>
          </w:p>
        </w:tc>
        <w:tc>
          <w:tcPr>
            <w:tcW w:type="dxa" w:w="1083"/>
            <w:shd w:fill="F9FBFD"/>
          </w:tcPr>
          <w:p>
            <w:pPr>
              <w:spacing w:before="30" w:after="30"/>
            </w:pPr>
            <w:r>
              <w:rPr>
                <w:color w:val="262626"/>
                <w:sz w:val="17"/>
              </w:rPr>
              <w:t>3</w:t>
            </w:r>
          </w:p>
        </w:tc>
        <w:tc>
          <w:tcPr>
            <w:tcW w:type="dxa" w:w="1083"/>
            <w:shd w:fill="F9FBFD"/>
          </w:tcPr>
          <w:p>
            <w:pPr>
              <w:spacing w:before="30" w:after="30"/>
            </w:pPr>
            <w:r>
              <w:rPr>
                <w:color w:val="262626"/>
                <w:sz w:val="17"/>
              </w:rPr>
              <w:t>1.04</w:t>
            </w:r>
          </w:p>
        </w:tc>
        <w:tc>
          <w:tcPr>
            <w:tcW w:type="dxa" w:w="1083"/>
            <w:shd w:fill="F9FBFD"/>
          </w:tcPr>
          <w:p>
            <w:pPr>
              <w:spacing w:before="30" w:after="30"/>
            </w:pPr>
            <w:r>
              <w:rPr>
                <w:color w:val="262626"/>
                <w:sz w:val="17"/>
              </w:rPr>
              <w:t>1.09</w:t>
            </w:r>
          </w:p>
        </w:tc>
        <w:tc>
          <w:tcPr>
            <w:tcW w:type="dxa" w:w="1083"/>
            <w:shd w:fill="F9FBFD"/>
          </w:tcPr>
          <w:p>
            <w:pPr>
              <w:spacing w:before="30" w:after="30"/>
            </w:pPr>
            <w:r>
              <w:rPr>
                <w:color w:val="262626"/>
                <w:sz w:val="17"/>
              </w:rPr>
              <w:t>1.0</w:t>
            </w:r>
          </w:p>
        </w:tc>
        <w:tc>
          <w:tcPr>
            <w:tcW w:type="dxa" w:w="1083"/>
            <w:shd w:fill="F9FBFD"/>
          </w:tcPr>
          <w:p>
            <w:pPr>
              <w:spacing w:before="30" w:after="30"/>
            </w:pPr>
            <w:r>
              <w:rPr>
                <w:color w:val="262626"/>
                <w:sz w:val="17"/>
              </w:rPr>
              <w:t>1 - 5</w:t>
            </w:r>
          </w:p>
        </w:tc>
        <w:tc>
          <w:tcPr>
            <w:tcW w:type="dxa" w:w="1083"/>
            <w:shd w:fill="F9FBFD"/>
          </w:tcPr>
          <w:p>
            <w:pPr>
              <w:spacing w:before="30" w:after="30"/>
            </w:pPr>
            <w:r>
              <w:rPr>
                <w:color w:val="262626"/>
                <w:sz w:val="17"/>
              </w:rPr>
              <w:t>-0.16</w:t>
            </w:r>
          </w:p>
        </w:tc>
      </w:tr>
      <w:tr>
        <w:trPr>
          <w:cantSplit/>
        </w:trPr>
        <w:tc>
          <w:tcPr>
            <w:tcW w:type="dxa" w:w="1083"/>
            <w:shd w:fill="FFFFFF"/>
          </w:tcPr>
          <w:p>
            <w:pPr>
              <w:spacing w:before="30" w:after="30"/>
            </w:pPr>
            <w:r>
              <w:rPr>
                <w:color w:val="262626"/>
                <w:sz w:val="17"/>
              </w:rPr>
              <w:t>Composite Ad Receptivity</w:t>
            </w:r>
          </w:p>
        </w:tc>
        <w:tc>
          <w:tcPr>
            <w:tcW w:type="dxa" w:w="1083"/>
            <w:shd w:fill="FFFFFF"/>
          </w:tcPr>
          <w:p>
            <w:pPr>
              <w:spacing w:before="30" w:after="30"/>
            </w:pPr>
            <w:r>
              <w:rPr>
                <w:color w:val="262626"/>
                <w:sz w:val="17"/>
              </w:rPr>
              <w:t>3.28</w:t>
            </w:r>
          </w:p>
        </w:tc>
        <w:tc>
          <w:tcPr>
            <w:tcW w:type="dxa" w:w="1083"/>
            <w:shd w:fill="FFFFFF"/>
          </w:tcPr>
          <w:p>
            <w:pPr>
              <w:spacing w:before="30" w:after="30"/>
            </w:pPr>
            <w:r>
              <w:rPr>
                <w:color w:val="262626"/>
                <w:sz w:val="17"/>
              </w:rPr>
              <w:t>3.33</w:t>
            </w:r>
          </w:p>
        </w:tc>
        <w:tc>
          <w:tcPr>
            <w:tcW w:type="dxa" w:w="1083"/>
            <w:shd w:fill="FFFFFF"/>
          </w:tcPr>
          <w:p>
            <w:pPr>
              <w:spacing w:before="30" w:after="30"/>
            </w:pPr>
            <w:r>
              <w:rPr>
                <w:color w:val="262626"/>
                <w:sz w:val="17"/>
              </w:rPr>
              <w:t>3.33</w:t>
            </w:r>
          </w:p>
        </w:tc>
        <w:tc>
          <w:tcPr>
            <w:tcW w:type="dxa" w:w="1083"/>
            <w:shd w:fill="FFFFFF"/>
          </w:tcPr>
          <w:p>
            <w:pPr>
              <w:spacing w:before="30" w:after="30"/>
            </w:pPr>
            <w:r>
              <w:rPr>
                <w:color w:val="262626"/>
                <w:sz w:val="17"/>
              </w:rPr>
              <w:t>0.67</w:t>
            </w:r>
          </w:p>
        </w:tc>
        <w:tc>
          <w:tcPr>
            <w:tcW w:type="dxa" w:w="1083"/>
            <w:shd w:fill="FFFFFF"/>
          </w:tcPr>
          <w:p>
            <w:pPr>
              <w:spacing w:before="30" w:after="30"/>
            </w:pPr>
            <w:r>
              <w:rPr>
                <w:color w:val="262626"/>
                <w:sz w:val="17"/>
              </w:rPr>
              <w:t>0.45</w:t>
            </w:r>
          </w:p>
        </w:tc>
        <w:tc>
          <w:tcPr>
            <w:tcW w:type="dxa" w:w="1083"/>
            <w:shd w:fill="FFFFFF"/>
          </w:tcPr>
          <w:p>
            <w:pPr>
              <w:spacing w:before="30" w:after="30"/>
            </w:pPr>
            <w:r>
              <w:rPr>
                <w:color w:val="262626"/>
                <w:sz w:val="17"/>
              </w:rPr>
              <w:t>1.0</w:t>
            </w:r>
          </w:p>
        </w:tc>
        <w:tc>
          <w:tcPr>
            <w:tcW w:type="dxa" w:w="1083"/>
            <w:shd w:fill="FFFFFF"/>
          </w:tcPr>
          <w:p>
            <w:pPr>
              <w:spacing w:before="30" w:after="30"/>
            </w:pPr>
            <w:r>
              <w:rPr>
                <w:color w:val="262626"/>
                <w:sz w:val="17"/>
              </w:rPr>
              <w:t>1.67 - 5</w:t>
            </w:r>
          </w:p>
        </w:tc>
        <w:tc>
          <w:tcPr>
            <w:tcW w:type="dxa" w:w="1083"/>
            <w:shd w:fill="FFFFFF"/>
          </w:tcPr>
          <w:p>
            <w:pPr>
              <w:spacing w:before="30" w:after="30"/>
            </w:pPr>
            <w:r>
              <w:rPr>
                <w:color w:val="262626"/>
                <w:sz w:val="17"/>
              </w:rPr>
              <w:t>+0.09</w:t>
            </w:r>
          </w:p>
        </w:tc>
      </w:tr>
      <w:tr>
        <w:trPr>
          <w:cantSplit/>
        </w:trPr>
        <w:tc>
          <w:tcPr>
            <w:tcW w:type="dxa" w:w="1083"/>
            <w:shd w:fill="F9FBFD"/>
          </w:tcPr>
          <w:p>
            <w:pPr>
              <w:spacing w:before="30" w:after="30"/>
            </w:pPr>
            <w:r>
              <w:rPr>
                <w:color w:val="262626"/>
                <w:sz w:val="17"/>
              </w:rPr>
              <w:t>Purchase Intent - Control</w:t>
            </w:r>
          </w:p>
        </w:tc>
        <w:tc>
          <w:tcPr>
            <w:tcW w:type="dxa" w:w="1083"/>
            <w:shd w:fill="F9FBFD"/>
          </w:tcPr>
          <w:p>
            <w:pPr>
              <w:spacing w:before="30" w:after="30"/>
            </w:pPr>
            <w:r>
              <w:rPr>
                <w:color w:val="262626"/>
                <w:sz w:val="17"/>
              </w:rPr>
              <w:t>2.61</w:t>
            </w:r>
          </w:p>
        </w:tc>
        <w:tc>
          <w:tcPr>
            <w:tcW w:type="dxa" w:w="1083"/>
            <w:shd w:fill="F9FBFD"/>
          </w:tcPr>
          <w:p>
            <w:pPr>
              <w:spacing w:before="30" w:after="30"/>
            </w:pPr>
            <w:r>
              <w:rPr>
                <w:color w:val="262626"/>
                <w:sz w:val="17"/>
              </w:rPr>
              <w:t>3.0</w:t>
            </w:r>
          </w:p>
        </w:tc>
        <w:tc>
          <w:tcPr>
            <w:tcW w:type="dxa" w:w="1083"/>
            <w:shd w:fill="F9FBFD"/>
          </w:tcPr>
          <w:p>
            <w:pPr>
              <w:spacing w:before="30" w:after="30"/>
            </w:pPr>
            <w:r>
              <w:rPr>
                <w:color w:val="262626"/>
                <w:sz w:val="17"/>
              </w:rPr>
              <w:t>3</w:t>
            </w:r>
          </w:p>
        </w:tc>
        <w:tc>
          <w:tcPr>
            <w:tcW w:type="dxa" w:w="1083"/>
            <w:shd w:fill="F9FBFD"/>
          </w:tcPr>
          <w:p>
            <w:pPr>
              <w:spacing w:before="30" w:after="30"/>
            </w:pPr>
            <w:r>
              <w:rPr>
                <w:color w:val="262626"/>
                <w:sz w:val="17"/>
              </w:rPr>
              <w:t>1.03</w:t>
            </w:r>
          </w:p>
        </w:tc>
        <w:tc>
          <w:tcPr>
            <w:tcW w:type="dxa" w:w="1083"/>
            <w:shd w:fill="F9FBFD"/>
          </w:tcPr>
          <w:p>
            <w:pPr>
              <w:spacing w:before="30" w:after="30"/>
            </w:pPr>
            <w:r>
              <w:rPr>
                <w:color w:val="262626"/>
                <w:sz w:val="17"/>
              </w:rPr>
              <w:t>1.06</w:t>
            </w:r>
          </w:p>
        </w:tc>
        <w:tc>
          <w:tcPr>
            <w:tcW w:type="dxa" w:w="1083"/>
            <w:shd w:fill="F9FBFD"/>
          </w:tcPr>
          <w:p>
            <w:pPr>
              <w:spacing w:before="30" w:after="30"/>
            </w:pPr>
            <w:r>
              <w:rPr>
                <w:color w:val="262626"/>
                <w:sz w:val="17"/>
              </w:rPr>
              <w:t>1.0</w:t>
            </w:r>
          </w:p>
        </w:tc>
        <w:tc>
          <w:tcPr>
            <w:tcW w:type="dxa" w:w="1083"/>
            <w:shd w:fill="F9FBFD"/>
          </w:tcPr>
          <w:p>
            <w:pPr>
              <w:spacing w:before="30" w:after="30"/>
            </w:pPr>
            <w:r>
              <w:rPr>
                <w:color w:val="262626"/>
                <w:sz w:val="17"/>
              </w:rPr>
              <w:t>1 - 5</w:t>
            </w:r>
          </w:p>
        </w:tc>
        <w:tc>
          <w:tcPr>
            <w:tcW w:type="dxa" w:w="1083"/>
            <w:shd w:fill="F9FBFD"/>
          </w:tcPr>
          <w:p>
            <w:pPr>
              <w:spacing w:before="30" w:after="30"/>
            </w:pPr>
            <w:r>
              <w:rPr>
                <w:color w:val="262626"/>
                <w:sz w:val="17"/>
              </w:rPr>
              <w:t>+0.32</w:t>
            </w:r>
          </w:p>
        </w:tc>
      </w:tr>
      <w:tr>
        <w:trPr>
          <w:cantSplit/>
        </w:trPr>
        <w:tc>
          <w:tcPr>
            <w:tcW w:type="dxa" w:w="1083"/>
            <w:shd w:fill="FFFFFF"/>
          </w:tcPr>
          <w:p>
            <w:pPr>
              <w:spacing w:before="30" w:after="30"/>
            </w:pPr>
            <w:r>
              <w:rPr>
                <w:color w:val="262626"/>
                <w:sz w:val="17"/>
              </w:rPr>
              <w:t>Purchase Intent - Discount</w:t>
            </w:r>
          </w:p>
        </w:tc>
        <w:tc>
          <w:tcPr>
            <w:tcW w:type="dxa" w:w="1083"/>
            <w:shd w:fill="FFFFFF"/>
          </w:tcPr>
          <w:p>
            <w:pPr>
              <w:spacing w:before="30" w:after="30"/>
            </w:pPr>
            <w:r>
              <w:rPr>
                <w:color w:val="262626"/>
                <w:sz w:val="17"/>
              </w:rPr>
              <w:t>3.51</w:t>
            </w:r>
          </w:p>
        </w:tc>
        <w:tc>
          <w:tcPr>
            <w:tcW w:type="dxa" w:w="1083"/>
            <w:shd w:fill="FFFFFF"/>
          </w:tcPr>
          <w:p>
            <w:pPr>
              <w:spacing w:before="30" w:after="30"/>
            </w:pPr>
            <w:r>
              <w:rPr>
                <w:color w:val="262626"/>
                <w:sz w:val="17"/>
              </w:rPr>
              <w:t>4.0</w:t>
            </w:r>
          </w:p>
        </w:tc>
        <w:tc>
          <w:tcPr>
            <w:tcW w:type="dxa" w:w="1083"/>
            <w:shd w:fill="FFFFFF"/>
          </w:tcPr>
          <w:p>
            <w:pPr>
              <w:spacing w:before="30" w:after="30"/>
            </w:pPr>
            <w:r>
              <w:rPr>
                <w:color w:val="262626"/>
                <w:sz w:val="17"/>
              </w:rPr>
              <w:t>4</w:t>
            </w:r>
          </w:p>
        </w:tc>
        <w:tc>
          <w:tcPr>
            <w:tcW w:type="dxa" w:w="1083"/>
            <w:shd w:fill="FFFFFF"/>
          </w:tcPr>
          <w:p>
            <w:pPr>
              <w:spacing w:before="30" w:after="30"/>
            </w:pPr>
            <w:r>
              <w:rPr>
                <w:color w:val="262626"/>
                <w:sz w:val="17"/>
              </w:rPr>
              <w:t>0.97</w:t>
            </w:r>
          </w:p>
        </w:tc>
        <w:tc>
          <w:tcPr>
            <w:tcW w:type="dxa" w:w="1083"/>
            <w:shd w:fill="FFFFFF"/>
          </w:tcPr>
          <w:p>
            <w:pPr>
              <w:spacing w:before="30" w:after="30"/>
            </w:pPr>
            <w:r>
              <w:rPr>
                <w:color w:val="262626"/>
                <w:sz w:val="17"/>
              </w:rPr>
              <w:t>0.94</w:t>
            </w:r>
          </w:p>
        </w:tc>
        <w:tc>
          <w:tcPr>
            <w:tcW w:type="dxa" w:w="1083"/>
            <w:shd w:fill="FFFFFF"/>
          </w:tcPr>
          <w:p>
            <w:pPr>
              <w:spacing w:before="30" w:after="30"/>
            </w:pPr>
            <w:r>
              <w:rPr>
                <w:color w:val="262626"/>
                <w:sz w:val="17"/>
              </w:rPr>
              <w:t>1.0</w:t>
            </w:r>
          </w:p>
        </w:tc>
        <w:tc>
          <w:tcPr>
            <w:tcW w:type="dxa" w:w="1083"/>
            <w:shd w:fill="FFFFFF"/>
          </w:tcPr>
          <w:p>
            <w:pPr>
              <w:spacing w:before="30" w:after="30"/>
            </w:pPr>
            <w:r>
              <w:rPr>
                <w:color w:val="262626"/>
                <w:sz w:val="17"/>
              </w:rPr>
              <w:t>1 - 5</w:t>
            </w:r>
          </w:p>
        </w:tc>
        <w:tc>
          <w:tcPr>
            <w:tcW w:type="dxa" w:w="1083"/>
            <w:shd w:fill="FFFFFF"/>
          </w:tcPr>
          <w:p>
            <w:pPr>
              <w:spacing w:before="30" w:after="30"/>
            </w:pPr>
            <w:r>
              <w:rPr>
                <w:color w:val="262626"/>
                <w:sz w:val="17"/>
              </w:rPr>
              <w:t>-0.48</w:t>
            </w:r>
          </w:p>
        </w:tc>
      </w:tr>
      <w:tr>
        <w:trPr>
          <w:cantSplit/>
        </w:trPr>
        <w:tc>
          <w:tcPr>
            <w:tcW w:type="dxa" w:w="1083"/>
            <w:shd w:fill="F9FBFD"/>
          </w:tcPr>
          <w:p>
            <w:pPr>
              <w:spacing w:before="30" w:after="30"/>
            </w:pPr>
            <w:r>
              <w:rPr>
                <w:color w:val="262626"/>
                <w:sz w:val="17"/>
              </w:rPr>
              <w:t>Purchase Intent - Cashback</w:t>
            </w:r>
          </w:p>
        </w:tc>
        <w:tc>
          <w:tcPr>
            <w:tcW w:type="dxa" w:w="1083"/>
            <w:shd w:fill="F9FBFD"/>
          </w:tcPr>
          <w:p>
            <w:pPr>
              <w:spacing w:before="30" w:after="30"/>
            </w:pPr>
            <w:r>
              <w:rPr>
                <w:color w:val="262626"/>
                <w:sz w:val="17"/>
              </w:rPr>
              <w:t>3.41</w:t>
            </w:r>
          </w:p>
        </w:tc>
        <w:tc>
          <w:tcPr>
            <w:tcW w:type="dxa" w:w="1083"/>
            <w:shd w:fill="F9FBFD"/>
          </w:tcPr>
          <w:p>
            <w:pPr>
              <w:spacing w:before="30" w:after="30"/>
            </w:pPr>
            <w:r>
              <w:rPr>
                <w:color w:val="262626"/>
                <w:sz w:val="17"/>
              </w:rPr>
              <w:t>3.5</w:t>
            </w:r>
          </w:p>
        </w:tc>
        <w:tc>
          <w:tcPr>
            <w:tcW w:type="dxa" w:w="1083"/>
            <w:shd w:fill="F9FBFD"/>
          </w:tcPr>
          <w:p>
            <w:pPr>
              <w:spacing w:before="30" w:after="30"/>
            </w:pPr>
            <w:r>
              <w:rPr>
                <w:color w:val="262626"/>
                <w:sz w:val="17"/>
              </w:rPr>
              <w:t>4</w:t>
            </w:r>
          </w:p>
        </w:tc>
        <w:tc>
          <w:tcPr>
            <w:tcW w:type="dxa" w:w="1083"/>
            <w:shd w:fill="F9FBFD"/>
          </w:tcPr>
          <w:p>
            <w:pPr>
              <w:spacing w:before="30" w:after="30"/>
            </w:pPr>
            <w:r>
              <w:rPr>
                <w:color w:val="262626"/>
                <w:sz w:val="17"/>
              </w:rPr>
              <w:t>1.09</w:t>
            </w:r>
          </w:p>
        </w:tc>
        <w:tc>
          <w:tcPr>
            <w:tcW w:type="dxa" w:w="1083"/>
            <w:shd w:fill="F9FBFD"/>
          </w:tcPr>
          <w:p>
            <w:pPr>
              <w:spacing w:before="30" w:after="30"/>
            </w:pPr>
            <w:r>
              <w:rPr>
                <w:color w:val="262626"/>
                <w:sz w:val="17"/>
              </w:rPr>
              <w:t>1.18</w:t>
            </w:r>
          </w:p>
        </w:tc>
        <w:tc>
          <w:tcPr>
            <w:tcW w:type="dxa" w:w="1083"/>
            <w:shd w:fill="F9FBFD"/>
          </w:tcPr>
          <w:p>
            <w:pPr>
              <w:spacing w:before="30" w:after="30"/>
            </w:pPr>
            <w:r>
              <w:rPr>
                <w:color w:val="262626"/>
                <w:sz w:val="17"/>
              </w:rPr>
              <w:t>2.0</w:t>
            </w:r>
          </w:p>
        </w:tc>
        <w:tc>
          <w:tcPr>
            <w:tcW w:type="dxa" w:w="1083"/>
            <w:shd w:fill="F9FBFD"/>
          </w:tcPr>
          <w:p>
            <w:pPr>
              <w:spacing w:before="30" w:after="30"/>
            </w:pPr>
            <w:r>
              <w:rPr>
                <w:color w:val="262626"/>
                <w:sz w:val="17"/>
              </w:rPr>
              <w:t>1 - 5</w:t>
            </w:r>
          </w:p>
        </w:tc>
        <w:tc>
          <w:tcPr>
            <w:tcW w:type="dxa" w:w="1083"/>
            <w:shd w:fill="F9FBFD"/>
          </w:tcPr>
          <w:p>
            <w:pPr>
              <w:spacing w:before="30" w:after="30"/>
            </w:pPr>
            <w:r>
              <w:rPr>
                <w:color w:val="262626"/>
                <w:sz w:val="17"/>
              </w:rPr>
              <w:t>-0.38</w:t>
            </w:r>
          </w:p>
        </w:tc>
      </w:tr>
    </w:tbl>
    <w:p>
      <w:pPr>
        <w:spacing w:before="40" w:after="120"/>
        <w:jc w:val="center"/>
      </w:pPr>
      <w:r>
        <w:rPr>
          <w:i/>
          <w:sz w:val="18"/>
        </w:rPr>
        <w:t>Table 5. Central tendency, dispersion, and shape statistics (N = 74 Completed Respondents).</w:t>
      </w:r>
    </w:p>
    <w:p>
      <w:pPr>
        <w:spacing w:before="0" w:after="80"/>
      </w:pPr>
      <w:r>
        <w:rPr>
          <w:rFonts w:ascii="Calibri" w:hAnsi="Calibri"/>
          <w:color w:val="262626"/>
          <w:sz w:val="21"/>
        </w:rPr>
        <w:t>The descriptive results indicate significant differences in consumer attitudes. Baseline ad trust is distinctly low (Mean = 2.38/5.00, Median = 2.0), while discount importance is exceptionally high (Mean = 4.12/5.00, Median = 4.0, Mode = 5.0). Consumers exhibit strong discount-seeking orientations while harboring skepticism toward digital brand claims.</w:t>
      </w:r>
    </w:p>
    <w:p>
      <w:pPr>
        <w:keepNext/>
        <w:spacing w:before="180" w:after="60"/>
      </w:pPr>
      <w:r>
        <w:rPr>
          <w:rFonts w:ascii="Calibri" w:hAnsi="Calibri"/>
          <w:b/>
          <w:color w:val="2E75B6"/>
          <w:sz w:val="24"/>
        </w:rPr>
        <w:t>4.2 Demographic Profile &amp; Digital Discovery Channels</w:t>
      </w:r>
    </w:p>
    <w:p>
      <w:pPr>
        <w:spacing w:before="0" w:after="80"/>
      </w:pPr>
      <w:r>
        <w:rPr>
          <w:rFonts w:ascii="Calibri" w:hAnsi="Calibri"/>
          <w:color w:val="262626"/>
          <w:sz w:val="21"/>
        </w:rPr>
        <w:t>Figure 1 illustrates the demographic age distribution across the 74 completed respondents relative to target quotas. The 18–22 age bracket represents 37.8% (n = 28), followed by 23–30 years at 28.4% (n = 21), 31–45 years at 17.6% (n = 13), Under 18 at 9.5% (n = 7), and Above 45 at 6.8% (n = 5).</w:t>
      </w:r>
    </w:p>
    <w:p>
      <w:pPr>
        <w:keepNext/>
        <w:spacing w:before="120" w:after="40"/>
        <w:jc w:val="center"/>
      </w:pPr>
      <w:r>
        <w:drawing>
          <wp:inline xmlns:a="http://schemas.openxmlformats.org/drawingml/2006/main" xmlns:pic="http://schemas.openxmlformats.org/drawingml/2006/picture">
            <wp:extent cx="4389120" cy="2256299"/>
            <wp:docPr id="1" name="Picture 1"/>
            <wp:cNvGraphicFramePr>
              <a:graphicFrameLocks noChangeAspect="1"/>
            </wp:cNvGraphicFramePr>
            <a:graphic>
              <a:graphicData uri="http://schemas.openxmlformats.org/drawingml/2006/picture">
                <pic:pic>
                  <pic:nvPicPr>
                    <pic:cNvPr id="0" name="fig1_age_distribution.png"/>
                    <pic:cNvPicPr/>
                  </pic:nvPicPr>
                  <pic:blipFill>
                    <a:blip r:embed="rId11"/>
                    <a:stretch>
                      <a:fillRect/>
                    </a:stretch>
                  </pic:blipFill>
                  <pic:spPr>
                    <a:xfrm>
                      <a:off x="0" y="0"/>
                      <a:ext cx="4389120" cy="2256299"/>
                    </a:xfrm>
                    <a:prstGeom prst="rect"/>
                  </pic:spPr>
                </pic:pic>
              </a:graphicData>
            </a:graphic>
          </wp:inline>
        </w:drawing>
      </w:r>
    </w:p>
    <w:p>
      <w:pPr>
        <w:spacing w:before="20" w:after="120"/>
        <w:jc w:val="center"/>
      </w:pPr>
      <w:r>
        <w:rPr>
          <w:rFonts w:ascii="Calibri" w:hAnsi="Calibri"/>
          <w:b/>
          <w:color w:val="1F4E79"/>
          <w:sz w:val="19"/>
        </w:rPr>
        <w:t>Figure 1. Respondent age-group distribution (N = 74 Completed).</w:t>
      </w:r>
    </w:p>
    <w:p>
      <w:pPr>
        <w:spacing w:before="0" w:after="80"/>
      </w:pPr>
      <w:r>
        <w:rPr>
          <w:rFonts w:ascii="Calibri" w:hAnsi="Calibri"/>
          <w:color w:val="262626"/>
          <w:sz w:val="21"/>
        </w:rPr>
        <w:t>Figure 2 displays the primary digital channels where consumers discover new products. Instagram and E-commerce platforms (Amazon, Flipkart) lead digital discovery, together capturing over 58% of product discoveries.</w:t>
      </w:r>
    </w:p>
    <w:p>
      <w:pPr>
        <w:keepNext/>
        <w:spacing w:before="120" w:after="40"/>
        <w:jc w:val="center"/>
      </w:pPr>
      <w:r>
        <w:drawing>
          <wp:inline xmlns:a="http://schemas.openxmlformats.org/drawingml/2006/main" xmlns:pic="http://schemas.openxmlformats.org/drawingml/2006/picture">
            <wp:extent cx="4389120" cy="2278966"/>
            <wp:docPr id="2" name="Picture 2"/>
            <wp:cNvGraphicFramePr>
              <a:graphicFrameLocks noChangeAspect="1"/>
            </wp:cNvGraphicFramePr>
            <a:graphic>
              <a:graphicData uri="http://schemas.openxmlformats.org/drawingml/2006/picture">
                <pic:pic>
                  <pic:nvPicPr>
                    <pic:cNvPr id="0" name="fig2_discovery_platforms.png"/>
                    <pic:cNvPicPr/>
                  </pic:nvPicPr>
                  <pic:blipFill>
                    <a:blip r:embed="rId12"/>
                    <a:stretch>
                      <a:fillRect/>
                    </a:stretch>
                  </pic:blipFill>
                  <pic:spPr>
                    <a:xfrm>
                      <a:off x="0" y="0"/>
                      <a:ext cx="4389120" cy="2278966"/>
                    </a:xfrm>
                    <a:prstGeom prst="rect"/>
                  </pic:spPr>
                </pic:pic>
              </a:graphicData>
            </a:graphic>
          </wp:inline>
        </w:drawing>
      </w:r>
    </w:p>
    <w:p>
      <w:pPr>
        <w:spacing w:before="20" w:after="120"/>
        <w:jc w:val="center"/>
      </w:pPr>
      <w:r>
        <w:rPr>
          <w:rFonts w:ascii="Calibri" w:hAnsi="Calibri"/>
          <w:b/>
          <w:color w:val="1F4E79"/>
          <w:sz w:val="19"/>
        </w:rPr>
        <w:t>Figure 2. Primary digital product discovery channels.</w:t>
      </w:r>
    </w:p>
    <w:tbl>
      <w:tblPr>
        <w:tblW w:type="auto" w:w="0"/>
        <w:jc w:val="center"/>
        <w:tblLook w:firstColumn="1" w:firstRow="1" w:lastColumn="0" w:lastRow="0" w:noHBand="0" w:noVBand="1" w:val="04A0"/>
      </w:tblPr>
      <w:tblGrid>
        <w:gridCol w:w="1393"/>
        <w:gridCol w:w="1393"/>
        <w:gridCol w:w="1393"/>
        <w:gridCol w:w="1393"/>
        <w:gridCol w:w="1393"/>
        <w:gridCol w:w="1393"/>
        <w:gridCol w:w="1393"/>
      </w:tblGrid>
      <w:tr>
        <w:trPr>
          <w:cantSplit/>
          <w:tblHeader/>
        </w:trPr>
        <w:tc>
          <w:tcPr>
            <w:tcW w:type="dxa" w:w="1393"/>
            <w:shd w:fill="1F4E79"/>
          </w:tcPr>
          <w:p>
            <w:pPr>
              <w:spacing w:before="40" w:after="40"/>
            </w:pPr>
            <w:r>
              <w:rPr>
                <w:b/>
                <w:color w:val="FFFFFF"/>
                <w:sz w:val="17"/>
              </w:rPr>
              <w:t>Age Cohort</w:t>
            </w:r>
          </w:p>
        </w:tc>
        <w:tc>
          <w:tcPr>
            <w:tcW w:type="dxa" w:w="1393"/>
            <w:shd w:fill="1F4E79"/>
          </w:tcPr>
          <w:p>
            <w:pPr>
              <w:spacing w:before="40" w:after="40"/>
            </w:pPr>
            <w:r>
              <w:rPr>
                <w:b/>
                <w:color w:val="FFFFFF"/>
                <w:sz w:val="17"/>
              </w:rPr>
              <w:t>Instagram</w:t>
            </w:r>
          </w:p>
        </w:tc>
        <w:tc>
          <w:tcPr>
            <w:tcW w:type="dxa" w:w="1393"/>
            <w:shd w:fill="1F4E79"/>
          </w:tcPr>
          <w:p>
            <w:pPr>
              <w:spacing w:before="40" w:after="40"/>
            </w:pPr>
            <w:r>
              <w:rPr>
                <w:b/>
                <w:color w:val="FFFFFF"/>
                <w:sz w:val="17"/>
              </w:rPr>
              <w:t>E-commerce</w:t>
            </w:r>
          </w:p>
        </w:tc>
        <w:tc>
          <w:tcPr>
            <w:tcW w:type="dxa" w:w="1393"/>
            <w:shd w:fill="1F4E79"/>
          </w:tcPr>
          <w:p>
            <w:pPr>
              <w:spacing w:before="40" w:after="40"/>
            </w:pPr>
            <w:r>
              <w:rPr>
                <w:b/>
                <w:color w:val="FFFFFF"/>
                <w:sz w:val="17"/>
              </w:rPr>
              <w:t>Search (Google)</w:t>
            </w:r>
          </w:p>
        </w:tc>
        <w:tc>
          <w:tcPr>
            <w:tcW w:type="dxa" w:w="1393"/>
            <w:shd w:fill="1F4E79"/>
          </w:tcPr>
          <w:p>
            <w:pPr>
              <w:spacing w:before="40" w:after="40"/>
            </w:pPr>
            <w:r>
              <w:rPr>
                <w:b/>
                <w:color w:val="FFFFFF"/>
                <w:sz w:val="17"/>
              </w:rPr>
              <w:t>YouTube</w:t>
            </w:r>
          </w:p>
        </w:tc>
        <w:tc>
          <w:tcPr>
            <w:tcW w:type="dxa" w:w="1393"/>
            <w:shd w:fill="1F4E79"/>
          </w:tcPr>
          <w:p>
            <w:pPr>
              <w:spacing w:before="40" w:after="40"/>
            </w:pPr>
            <w:r>
              <w:rPr>
                <w:b/>
                <w:color w:val="FFFFFF"/>
                <w:sz w:val="17"/>
              </w:rPr>
              <w:t>Other</w:t>
            </w:r>
          </w:p>
        </w:tc>
        <w:tc>
          <w:tcPr>
            <w:tcW w:type="dxa" w:w="1393"/>
            <w:shd w:fill="1F4E79"/>
          </w:tcPr>
          <w:p>
            <w:pPr>
              <w:spacing w:before="40" w:after="40"/>
            </w:pPr>
            <w:r>
              <w:rPr>
                <w:b/>
                <w:color w:val="FFFFFF"/>
                <w:sz w:val="17"/>
              </w:rPr>
              <w:t>Total</w:t>
            </w:r>
          </w:p>
        </w:tc>
      </w:tr>
      <w:tr>
        <w:trPr>
          <w:cantSplit/>
        </w:trPr>
        <w:tc>
          <w:tcPr>
            <w:tcW w:type="dxa" w:w="1393"/>
            <w:shd w:fill="F9FBFD"/>
          </w:tcPr>
          <w:p>
            <w:pPr>
              <w:spacing w:before="30" w:after="30"/>
            </w:pPr>
            <w:r>
              <w:rPr>
                <w:color w:val="262626"/>
                <w:sz w:val="17"/>
              </w:rPr>
              <w:t>Under 18</w:t>
            </w:r>
          </w:p>
        </w:tc>
        <w:tc>
          <w:tcPr>
            <w:tcW w:type="dxa" w:w="1393"/>
            <w:shd w:fill="F9FBFD"/>
          </w:tcPr>
          <w:p>
            <w:pPr>
              <w:spacing w:before="30" w:after="30"/>
            </w:pPr>
            <w:r>
              <w:rPr>
                <w:color w:val="262626"/>
                <w:sz w:val="17"/>
              </w:rPr>
              <w:t>4 (57.1%)</w:t>
            </w:r>
          </w:p>
        </w:tc>
        <w:tc>
          <w:tcPr>
            <w:tcW w:type="dxa" w:w="1393"/>
            <w:shd w:fill="F9FBFD"/>
          </w:tcPr>
          <w:p>
            <w:pPr>
              <w:spacing w:before="30" w:after="30"/>
            </w:pPr>
            <w:r>
              <w:rPr>
                <w:color w:val="262626"/>
                <w:sz w:val="17"/>
              </w:rPr>
              <w:t>1 (14.3%)</w:t>
            </w:r>
          </w:p>
        </w:tc>
        <w:tc>
          <w:tcPr>
            <w:tcW w:type="dxa" w:w="1393"/>
            <w:shd w:fill="F9FBFD"/>
          </w:tcPr>
          <w:p>
            <w:pPr>
              <w:spacing w:before="30" w:after="30"/>
            </w:pPr>
            <w:r>
              <w:rPr>
                <w:color w:val="262626"/>
                <w:sz w:val="17"/>
              </w:rPr>
              <w:t>1 (14.3%)</w:t>
            </w:r>
          </w:p>
        </w:tc>
        <w:tc>
          <w:tcPr>
            <w:tcW w:type="dxa" w:w="1393"/>
            <w:shd w:fill="F9FBFD"/>
          </w:tcPr>
          <w:p>
            <w:pPr>
              <w:spacing w:before="30" w:after="30"/>
            </w:pPr>
            <w:r>
              <w:rPr>
                <w:color w:val="262626"/>
                <w:sz w:val="17"/>
              </w:rPr>
              <w:t>1 (14.3%)</w:t>
            </w:r>
          </w:p>
        </w:tc>
        <w:tc>
          <w:tcPr>
            <w:tcW w:type="dxa" w:w="1393"/>
            <w:shd w:fill="F9FBFD"/>
          </w:tcPr>
          <w:p>
            <w:pPr>
              <w:spacing w:before="30" w:after="30"/>
            </w:pPr>
            <w:r>
              <w:rPr>
                <w:color w:val="262626"/>
                <w:sz w:val="17"/>
              </w:rPr>
              <w:t>0 (0.0%)</w:t>
            </w:r>
          </w:p>
        </w:tc>
        <w:tc>
          <w:tcPr>
            <w:tcW w:type="dxa" w:w="1393"/>
            <w:shd w:fill="F9FBFD"/>
          </w:tcPr>
          <w:p>
            <w:pPr>
              <w:spacing w:before="30" w:after="30"/>
            </w:pPr>
            <w:r>
              <w:rPr>
                <w:color w:val="262626"/>
                <w:sz w:val="17"/>
              </w:rPr>
              <w:t>7 (100%)</w:t>
            </w:r>
          </w:p>
        </w:tc>
      </w:tr>
      <w:tr>
        <w:trPr>
          <w:cantSplit/>
        </w:trPr>
        <w:tc>
          <w:tcPr>
            <w:tcW w:type="dxa" w:w="1393"/>
            <w:shd w:fill="FFFFFF"/>
          </w:tcPr>
          <w:p>
            <w:pPr>
              <w:spacing w:before="30" w:after="30"/>
            </w:pPr>
            <w:r>
              <w:rPr>
                <w:color w:val="262626"/>
                <w:sz w:val="17"/>
              </w:rPr>
              <w:t>18-22</w:t>
            </w:r>
          </w:p>
        </w:tc>
        <w:tc>
          <w:tcPr>
            <w:tcW w:type="dxa" w:w="1393"/>
            <w:shd w:fill="FFFFFF"/>
          </w:tcPr>
          <w:p>
            <w:pPr>
              <w:spacing w:before="30" w:after="30"/>
            </w:pPr>
            <w:r>
              <w:rPr>
                <w:color w:val="262626"/>
                <w:sz w:val="17"/>
              </w:rPr>
              <w:t>13 (46.4%)</w:t>
            </w:r>
          </w:p>
        </w:tc>
        <w:tc>
          <w:tcPr>
            <w:tcW w:type="dxa" w:w="1393"/>
            <w:shd w:fill="FFFFFF"/>
          </w:tcPr>
          <w:p>
            <w:pPr>
              <w:spacing w:before="30" w:after="30"/>
            </w:pPr>
            <w:r>
              <w:rPr>
                <w:color w:val="262626"/>
                <w:sz w:val="17"/>
              </w:rPr>
              <w:t>6 (21.4%)</w:t>
            </w:r>
          </w:p>
        </w:tc>
        <w:tc>
          <w:tcPr>
            <w:tcW w:type="dxa" w:w="1393"/>
            <w:shd w:fill="FFFFFF"/>
          </w:tcPr>
          <w:p>
            <w:pPr>
              <w:spacing w:before="30" w:after="30"/>
            </w:pPr>
            <w:r>
              <w:rPr>
                <w:color w:val="262626"/>
                <w:sz w:val="17"/>
              </w:rPr>
              <w:t>4 (14.3%)</w:t>
            </w:r>
          </w:p>
        </w:tc>
        <w:tc>
          <w:tcPr>
            <w:tcW w:type="dxa" w:w="1393"/>
            <w:shd w:fill="FFFFFF"/>
          </w:tcPr>
          <w:p>
            <w:pPr>
              <w:spacing w:before="30" w:after="30"/>
            </w:pPr>
            <w:r>
              <w:rPr>
                <w:color w:val="262626"/>
                <w:sz w:val="17"/>
              </w:rPr>
              <w:t>3 (10.7%)</w:t>
            </w:r>
          </w:p>
        </w:tc>
        <w:tc>
          <w:tcPr>
            <w:tcW w:type="dxa" w:w="1393"/>
            <w:shd w:fill="FFFFFF"/>
          </w:tcPr>
          <w:p>
            <w:pPr>
              <w:spacing w:before="30" w:after="30"/>
            </w:pPr>
            <w:r>
              <w:rPr>
                <w:color w:val="262626"/>
                <w:sz w:val="17"/>
              </w:rPr>
              <w:t>2 (7.1%)</w:t>
            </w:r>
          </w:p>
        </w:tc>
        <w:tc>
          <w:tcPr>
            <w:tcW w:type="dxa" w:w="1393"/>
            <w:shd w:fill="FFFFFF"/>
          </w:tcPr>
          <w:p>
            <w:pPr>
              <w:spacing w:before="30" w:after="30"/>
            </w:pPr>
            <w:r>
              <w:rPr>
                <w:color w:val="262626"/>
                <w:sz w:val="17"/>
              </w:rPr>
              <w:t>28 (100%)</w:t>
            </w:r>
          </w:p>
        </w:tc>
      </w:tr>
      <w:tr>
        <w:trPr>
          <w:cantSplit/>
        </w:trPr>
        <w:tc>
          <w:tcPr>
            <w:tcW w:type="dxa" w:w="1393"/>
            <w:shd w:fill="F9FBFD"/>
          </w:tcPr>
          <w:p>
            <w:pPr>
              <w:spacing w:before="30" w:after="30"/>
            </w:pPr>
            <w:r>
              <w:rPr>
                <w:color w:val="262626"/>
                <w:sz w:val="17"/>
              </w:rPr>
              <w:t>23-30</w:t>
            </w:r>
          </w:p>
        </w:tc>
        <w:tc>
          <w:tcPr>
            <w:tcW w:type="dxa" w:w="1393"/>
            <w:shd w:fill="F9FBFD"/>
          </w:tcPr>
          <w:p>
            <w:pPr>
              <w:spacing w:before="30" w:after="30"/>
            </w:pPr>
            <w:r>
              <w:rPr>
                <w:color w:val="262626"/>
                <w:sz w:val="17"/>
              </w:rPr>
              <w:t>5 (23.8%)</w:t>
            </w:r>
          </w:p>
        </w:tc>
        <w:tc>
          <w:tcPr>
            <w:tcW w:type="dxa" w:w="1393"/>
            <w:shd w:fill="F9FBFD"/>
          </w:tcPr>
          <w:p>
            <w:pPr>
              <w:spacing w:before="30" w:after="30"/>
            </w:pPr>
            <w:r>
              <w:rPr>
                <w:color w:val="262626"/>
                <w:sz w:val="17"/>
              </w:rPr>
              <w:t>8 (38.1%)</w:t>
            </w:r>
          </w:p>
        </w:tc>
        <w:tc>
          <w:tcPr>
            <w:tcW w:type="dxa" w:w="1393"/>
            <w:shd w:fill="F9FBFD"/>
          </w:tcPr>
          <w:p>
            <w:pPr>
              <w:spacing w:before="30" w:after="30"/>
            </w:pPr>
            <w:r>
              <w:rPr>
                <w:color w:val="262626"/>
                <w:sz w:val="17"/>
              </w:rPr>
              <w:t>5 (23.8%)</w:t>
            </w:r>
          </w:p>
        </w:tc>
        <w:tc>
          <w:tcPr>
            <w:tcW w:type="dxa" w:w="1393"/>
            <w:shd w:fill="F9FBFD"/>
          </w:tcPr>
          <w:p>
            <w:pPr>
              <w:spacing w:before="30" w:after="30"/>
            </w:pPr>
            <w:r>
              <w:rPr>
                <w:color w:val="262626"/>
                <w:sz w:val="17"/>
              </w:rPr>
              <w:t>2 (9.5%)</w:t>
            </w:r>
          </w:p>
        </w:tc>
        <w:tc>
          <w:tcPr>
            <w:tcW w:type="dxa" w:w="1393"/>
            <w:shd w:fill="F9FBFD"/>
          </w:tcPr>
          <w:p>
            <w:pPr>
              <w:spacing w:before="30" w:after="30"/>
            </w:pPr>
            <w:r>
              <w:rPr>
                <w:color w:val="262626"/>
                <w:sz w:val="17"/>
              </w:rPr>
              <w:t>1 (4.8%)</w:t>
            </w:r>
          </w:p>
        </w:tc>
        <w:tc>
          <w:tcPr>
            <w:tcW w:type="dxa" w:w="1393"/>
            <w:shd w:fill="F9FBFD"/>
          </w:tcPr>
          <w:p>
            <w:pPr>
              <w:spacing w:before="30" w:after="30"/>
            </w:pPr>
            <w:r>
              <w:rPr>
                <w:color w:val="262626"/>
                <w:sz w:val="17"/>
              </w:rPr>
              <w:t>21 (100%)</w:t>
            </w:r>
          </w:p>
        </w:tc>
      </w:tr>
      <w:tr>
        <w:trPr>
          <w:cantSplit/>
        </w:trPr>
        <w:tc>
          <w:tcPr>
            <w:tcW w:type="dxa" w:w="1393"/>
            <w:shd w:fill="FFFFFF"/>
          </w:tcPr>
          <w:p>
            <w:pPr>
              <w:spacing w:before="30" w:after="30"/>
            </w:pPr>
            <w:r>
              <w:rPr>
                <w:color w:val="262626"/>
                <w:sz w:val="17"/>
              </w:rPr>
              <w:t>31-45</w:t>
            </w:r>
          </w:p>
        </w:tc>
        <w:tc>
          <w:tcPr>
            <w:tcW w:type="dxa" w:w="1393"/>
            <w:shd w:fill="FFFFFF"/>
          </w:tcPr>
          <w:p>
            <w:pPr>
              <w:spacing w:before="30" w:after="30"/>
            </w:pPr>
            <w:r>
              <w:rPr>
                <w:color w:val="262626"/>
                <w:sz w:val="17"/>
              </w:rPr>
              <w:t>2 (15.4%)</w:t>
            </w:r>
          </w:p>
        </w:tc>
        <w:tc>
          <w:tcPr>
            <w:tcW w:type="dxa" w:w="1393"/>
            <w:shd w:fill="FFFFFF"/>
          </w:tcPr>
          <w:p>
            <w:pPr>
              <w:spacing w:before="30" w:after="30"/>
            </w:pPr>
            <w:r>
              <w:rPr>
                <w:color w:val="262626"/>
                <w:sz w:val="17"/>
              </w:rPr>
              <w:t>4 (30.8%)</w:t>
            </w:r>
          </w:p>
        </w:tc>
        <w:tc>
          <w:tcPr>
            <w:tcW w:type="dxa" w:w="1393"/>
            <w:shd w:fill="FFFFFF"/>
          </w:tcPr>
          <w:p>
            <w:pPr>
              <w:spacing w:before="30" w:after="30"/>
            </w:pPr>
            <w:r>
              <w:rPr>
                <w:color w:val="262626"/>
                <w:sz w:val="17"/>
              </w:rPr>
              <w:t>4 (30.8%)</w:t>
            </w:r>
          </w:p>
        </w:tc>
        <w:tc>
          <w:tcPr>
            <w:tcW w:type="dxa" w:w="1393"/>
            <w:shd w:fill="FFFFFF"/>
          </w:tcPr>
          <w:p>
            <w:pPr>
              <w:spacing w:before="30" w:after="30"/>
            </w:pPr>
            <w:r>
              <w:rPr>
                <w:color w:val="262626"/>
                <w:sz w:val="17"/>
              </w:rPr>
              <w:t>2 (15.4%)</w:t>
            </w:r>
          </w:p>
        </w:tc>
        <w:tc>
          <w:tcPr>
            <w:tcW w:type="dxa" w:w="1393"/>
            <w:shd w:fill="FFFFFF"/>
          </w:tcPr>
          <w:p>
            <w:pPr>
              <w:spacing w:before="30" w:after="30"/>
            </w:pPr>
            <w:r>
              <w:rPr>
                <w:color w:val="262626"/>
                <w:sz w:val="17"/>
              </w:rPr>
              <w:t>1 (7.7%)</w:t>
            </w:r>
          </w:p>
        </w:tc>
        <w:tc>
          <w:tcPr>
            <w:tcW w:type="dxa" w:w="1393"/>
            <w:shd w:fill="FFFFFF"/>
          </w:tcPr>
          <w:p>
            <w:pPr>
              <w:spacing w:before="30" w:after="30"/>
            </w:pPr>
            <w:r>
              <w:rPr>
                <w:color w:val="262626"/>
                <w:sz w:val="17"/>
              </w:rPr>
              <w:t>13 (100%)</w:t>
            </w:r>
          </w:p>
        </w:tc>
      </w:tr>
      <w:tr>
        <w:trPr>
          <w:cantSplit/>
        </w:trPr>
        <w:tc>
          <w:tcPr>
            <w:tcW w:type="dxa" w:w="1393"/>
            <w:shd w:fill="F9FBFD"/>
          </w:tcPr>
          <w:p>
            <w:pPr>
              <w:spacing w:before="30" w:after="30"/>
            </w:pPr>
            <w:r>
              <w:rPr>
                <w:color w:val="262626"/>
                <w:sz w:val="17"/>
              </w:rPr>
              <w:t>Above 45</w:t>
            </w:r>
          </w:p>
        </w:tc>
        <w:tc>
          <w:tcPr>
            <w:tcW w:type="dxa" w:w="1393"/>
            <w:shd w:fill="F9FBFD"/>
          </w:tcPr>
          <w:p>
            <w:pPr>
              <w:spacing w:before="30" w:after="30"/>
            </w:pPr>
            <w:r>
              <w:rPr>
                <w:color w:val="262626"/>
                <w:sz w:val="17"/>
              </w:rPr>
              <w:t>0 (0.0%)</w:t>
            </w:r>
          </w:p>
        </w:tc>
        <w:tc>
          <w:tcPr>
            <w:tcW w:type="dxa" w:w="1393"/>
            <w:shd w:fill="F9FBFD"/>
          </w:tcPr>
          <w:p>
            <w:pPr>
              <w:spacing w:before="30" w:after="30"/>
            </w:pPr>
            <w:r>
              <w:rPr>
                <w:color w:val="262626"/>
                <w:sz w:val="17"/>
              </w:rPr>
              <w:t>2 (40.0%)</w:t>
            </w:r>
          </w:p>
        </w:tc>
        <w:tc>
          <w:tcPr>
            <w:tcW w:type="dxa" w:w="1393"/>
            <w:shd w:fill="F9FBFD"/>
          </w:tcPr>
          <w:p>
            <w:pPr>
              <w:spacing w:before="30" w:after="30"/>
            </w:pPr>
            <w:r>
              <w:rPr>
                <w:color w:val="262626"/>
                <w:sz w:val="17"/>
              </w:rPr>
              <w:t>2 (40.0%)</w:t>
            </w:r>
          </w:p>
        </w:tc>
        <w:tc>
          <w:tcPr>
            <w:tcW w:type="dxa" w:w="1393"/>
            <w:shd w:fill="F9FBFD"/>
          </w:tcPr>
          <w:p>
            <w:pPr>
              <w:spacing w:before="30" w:after="30"/>
            </w:pPr>
            <w:r>
              <w:rPr>
                <w:color w:val="262626"/>
                <w:sz w:val="17"/>
              </w:rPr>
              <w:t>1 (20.0%)</w:t>
            </w:r>
          </w:p>
        </w:tc>
        <w:tc>
          <w:tcPr>
            <w:tcW w:type="dxa" w:w="1393"/>
            <w:shd w:fill="F9FBFD"/>
          </w:tcPr>
          <w:p>
            <w:pPr>
              <w:spacing w:before="30" w:after="30"/>
            </w:pPr>
            <w:r>
              <w:rPr>
                <w:color w:val="262626"/>
                <w:sz w:val="17"/>
              </w:rPr>
              <w:t>0 (0.0%)</w:t>
            </w:r>
          </w:p>
        </w:tc>
        <w:tc>
          <w:tcPr>
            <w:tcW w:type="dxa" w:w="1393"/>
            <w:shd w:fill="F9FBFD"/>
          </w:tcPr>
          <w:p>
            <w:pPr>
              <w:spacing w:before="30" w:after="30"/>
            </w:pPr>
            <w:r>
              <w:rPr>
                <w:color w:val="262626"/>
                <w:sz w:val="17"/>
              </w:rPr>
              <w:t>5 (100%)</w:t>
            </w:r>
          </w:p>
        </w:tc>
      </w:tr>
      <w:tr>
        <w:trPr>
          <w:cantSplit/>
        </w:trPr>
        <w:tc>
          <w:tcPr>
            <w:tcW w:type="dxa" w:w="1393"/>
            <w:shd w:fill="FFFFFF"/>
          </w:tcPr>
          <w:p>
            <w:pPr>
              <w:spacing w:before="30" w:after="30"/>
            </w:pPr>
            <w:r>
              <w:rPr>
                <w:color w:val="262626"/>
                <w:sz w:val="17"/>
              </w:rPr>
              <w:t>Overall Sample</w:t>
            </w:r>
          </w:p>
        </w:tc>
        <w:tc>
          <w:tcPr>
            <w:tcW w:type="dxa" w:w="1393"/>
            <w:shd w:fill="FFFFFF"/>
          </w:tcPr>
          <w:p>
            <w:pPr>
              <w:spacing w:before="30" w:after="30"/>
            </w:pPr>
            <w:r>
              <w:rPr>
                <w:color w:val="262626"/>
                <w:sz w:val="17"/>
              </w:rPr>
              <w:t>24 (32.4%)</w:t>
            </w:r>
          </w:p>
        </w:tc>
        <w:tc>
          <w:tcPr>
            <w:tcW w:type="dxa" w:w="1393"/>
            <w:shd w:fill="FFFFFF"/>
          </w:tcPr>
          <w:p>
            <w:pPr>
              <w:spacing w:before="30" w:after="30"/>
            </w:pPr>
            <w:r>
              <w:rPr>
                <w:color w:val="262626"/>
                <w:sz w:val="17"/>
              </w:rPr>
              <w:t>21 (28.4%)</w:t>
            </w:r>
          </w:p>
        </w:tc>
        <w:tc>
          <w:tcPr>
            <w:tcW w:type="dxa" w:w="1393"/>
            <w:shd w:fill="FFFFFF"/>
          </w:tcPr>
          <w:p>
            <w:pPr>
              <w:spacing w:before="30" w:after="30"/>
            </w:pPr>
            <w:r>
              <w:rPr>
                <w:color w:val="262626"/>
                <w:sz w:val="17"/>
              </w:rPr>
              <w:t>16 (21.6%)</w:t>
            </w:r>
          </w:p>
        </w:tc>
        <w:tc>
          <w:tcPr>
            <w:tcW w:type="dxa" w:w="1393"/>
            <w:shd w:fill="FFFFFF"/>
          </w:tcPr>
          <w:p>
            <w:pPr>
              <w:spacing w:before="30" w:after="30"/>
            </w:pPr>
            <w:r>
              <w:rPr>
                <w:color w:val="262626"/>
                <w:sz w:val="17"/>
              </w:rPr>
              <w:t>9 (12.2%)</w:t>
            </w:r>
          </w:p>
        </w:tc>
        <w:tc>
          <w:tcPr>
            <w:tcW w:type="dxa" w:w="1393"/>
            <w:shd w:fill="FFFFFF"/>
          </w:tcPr>
          <w:p>
            <w:pPr>
              <w:spacing w:before="30" w:after="30"/>
            </w:pPr>
            <w:r>
              <w:rPr>
                <w:color w:val="262626"/>
                <w:sz w:val="17"/>
              </w:rPr>
              <w:t>4 (5.4%)</w:t>
            </w:r>
          </w:p>
        </w:tc>
        <w:tc>
          <w:tcPr>
            <w:tcW w:type="dxa" w:w="1393"/>
            <w:shd w:fill="FFFFFF"/>
          </w:tcPr>
          <w:p>
            <w:pPr>
              <w:spacing w:before="30" w:after="30"/>
            </w:pPr>
            <w:r>
              <w:rPr>
                <w:color w:val="262626"/>
                <w:sz w:val="17"/>
              </w:rPr>
              <w:t>74 (100%)</w:t>
            </w:r>
          </w:p>
        </w:tc>
      </w:tr>
    </w:tbl>
    <w:p>
      <w:pPr>
        <w:spacing w:before="40" w:after="120"/>
        <w:jc w:val="center"/>
      </w:pPr>
      <w:r>
        <w:rPr>
          <w:i/>
          <w:sz w:val="18"/>
        </w:rPr>
        <w:t>Table 6. Cross-tabulation of primary product discovery platform by age cohort.</w:t>
      </w:r>
    </w:p>
    <w:p>
      <w:pPr>
        <w:keepNext/>
        <w:spacing w:before="180" w:after="60"/>
      </w:pPr>
      <w:r>
        <w:rPr>
          <w:rFonts w:ascii="Calibri" w:hAnsi="Calibri"/>
          <w:b/>
          <w:color w:val="2E75B6"/>
          <w:sz w:val="24"/>
        </w:rPr>
        <w:t>4.3 Advertising Funnel Progression &amp; Avoidance Dynamics</w:t>
      </w:r>
    </w:p>
    <w:p>
      <w:pPr>
        <w:spacing w:before="0" w:after="80"/>
      </w:pPr>
      <w:r>
        <w:rPr>
          <w:rFonts w:ascii="Calibri" w:hAnsi="Calibri"/>
          <w:color w:val="262626"/>
          <w:sz w:val="21"/>
        </w:rPr>
        <w:t>Figure 3 and Table 7 track user progression through the digital advertising conversion funnel from total audience exposure down to confirmed post-ad purchase.</w:t>
      </w:r>
    </w:p>
    <w:p>
      <w:pPr>
        <w:keepNext/>
        <w:spacing w:before="120" w:after="40"/>
        <w:jc w:val="center"/>
      </w:pPr>
      <w:r>
        <w:drawing>
          <wp:inline xmlns:a="http://schemas.openxmlformats.org/drawingml/2006/main" xmlns:pic="http://schemas.openxmlformats.org/drawingml/2006/picture">
            <wp:extent cx="4389120" cy="2144046"/>
            <wp:docPr id="3" name="Picture 3"/>
            <wp:cNvGraphicFramePr>
              <a:graphicFrameLocks noChangeAspect="1"/>
            </wp:cNvGraphicFramePr>
            <a:graphic>
              <a:graphicData uri="http://schemas.openxmlformats.org/drawingml/2006/picture">
                <pic:pic>
                  <pic:nvPicPr>
                    <pic:cNvPr id="0" name="fig3_conversion_funnel.png"/>
                    <pic:cNvPicPr/>
                  </pic:nvPicPr>
                  <pic:blipFill>
                    <a:blip r:embed="rId13"/>
                    <a:stretch>
                      <a:fillRect/>
                    </a:stretch>
                  </pic:blipFill>
                  <pic:spPr>
                    <a:xfrm>
                      <a:off x="0" y="0"/>
                      <a:ext cx="4389120" cy="2144046"/>
                    </a:xfrm>
                    <a:prstGeom prst="rect"/>
                  </pic:spPr>
                </pic:pic>
              </a:graphicData>
            </a:graphic>
          </wp:inline>
        </w:drawing>
      </w:r>
    </w:p>
    <w:p>
      <w:pPr>
        <w:spacing w:before="20" w:after="120"/>
        <w:jc w:val="center"/>
      </w:pPr>
      <w:r>
        <w:rPr>
          <w:rFonts w:ascii="Calibri" w:hAnsi="Calibri"/>
          <w:b/>
          <w:color w:val="1F4E79"/>
          <w:sz w:val="19"/>
        </w:rPr>
        <w:t>Figure 3. Advertising funnel progression and conversion efficiency.</w:t>
      </w:r>
    </w:p>
    <w:tbl>
      <w:tblPr>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1950"/>
            <w:shd w:fill="1F4E79"/>
          </w:tcPr>
          <w:p>
            <w:pPr>
              <w:spacing w:before="40" w:after="40"/>
            </w:pPr>
            <w:r>
              <w:rPr>
                <w:b/>
                <w:color w:val="FFFFFF"/>
                <w:sz w:val="17"/>
              </w:rPr>
              <w:t>Funnel Stage</w:t>
            </w:r>
          </w:p>
        </w:tc>
        <w:tc>
          <w:tcPr>
            <w:tcW w:type="dxa" w:w="1950"/>
            <w:shd w:fill="1F4E79"/>
          </w:tcPr>
          <w:p>
            <w:pPr>
              <w:spacing w:before="40" w:after="40"/>
            </w:pPr>
            <w:r>
              <w:rPr>
                <w:b/>
                <w:color w:val="FFFFFF"/>
                <w:sz w:val="17"/>
              </w:rPr>
              <w:t>Count (n)</w:t>
            </w:r>
          </w:p>
        </w:tc>
        <w:tc>
          <w:tcPr>
            <w:tcW w:type="dxa" w:w="1950"/>
            <w:shd w:fill="1F4E79"/>
          </w:tcPr>
          <w:p>
            <w:pPr>
              <w:spacing w:before="40" w:after="40"/>
            </w:pPr>
            <w:r>
              <w:rPr>
                <w:b/>
                <w:color w:val="FFFFFF"/>
                <w:sz w:val="17"/>
              </w:rPr>
              <w:t>Funnel %</w:t>
            </w:r>
          </w:p>
        </w:tc>
        <w:tc>
          <w:tcPr>
            <w:tcW w:type="dxa" w:w="1950"/>
            <w:shd w:fill="1F4E79"/>
          </w:tcPr>
          <w:p>
            <w:pPr>
              <w:spacing w:before="40" w:after="40"/>
            </w:pPr>
            <w:r>
              <w:rPr>
                <w:b/>
                <w:color w:val="FFFFFF"/>
                <w:sz w:val="17"/>
              </w:rPr>
              <w:t>Drop-off %</w:t>
            </w:r>
          </w:p>
        </w:tc>
        <w:tc>
          <w:tcPr>
            <w:tcW w:type="dxa" w:w="1950"/>
            <w:shd w:fill="1F4E79"/>
          </w:tcPr>
          <w:p>
            <w:pPr>
              <w:spacing w:before="40" w:after="40"/>
            </w:pPr>
            <w:r>
              <w:rPr>
                <w:b/>
                <w:color w:val="FFFFFF"/>
                <w:sz w:val="17"/>
              </w:rPr>
              <w:t>Stage Description</w:t>
            </w:r>
          </w:p>
        </w:tc>
      </w:tr>
      <w:tr>
        <w:trPr>
          <w:cantSplit/>
        </w:trPr>
        <w:tc>
          <w:tcPr>
            <w:tcW w:type="dxa" w:w="1950"/>
            <w:shd w:fill="F9FBFD"/>
          </w:tcPr>
          <w:p>
            <w:pPr>
              <w:spacing w:before="30" w:after="30"/>
            </w:pPr>
            <w:r>
              <w:rPr>
                <w:color w:val="262626"/>
                <w:sz w:val="17"/>
              </w:rPr>
              <w:t>1. Total Audience</w:t>
            </w:r>
          </w:p>
        </w:tc>
        <w:tc>
          <w:tcPr>
            <w:tcW w:type="dxa" w:w="1950"/>
            <w:shd w:fill="F9FBFD"/>
          </w:tcPr>
          <w:p>
            <w:pPr>
              <w:spacing w:before="30" w:after="30"/>
            </w:pPr>
            <w:r>
              <w:rPr>
                <w:color w:val="262626"/>
                <w:sz w:val="17"/>
              </w:rPr>
              <w:t>74</w:t>
            </w:r>
          </w:p>
        </w:tc>
        <w:tc>
          <w:tcPr>
            <w:tcW w:type="dxa" w:w="1950"/>
            <w:shd w:fill="F9FBFD"/>
          </w:tcPr>
          <w:p>
            <w:pPr>
              <w:spacing w:before="30" w:after="30"/>
            </w:pPr>
            <w:r>
              <w:rPr>
                <w:color w:val="262626"/>
                <w:sz w:val="17"/>
              </w:rPr>
              <w:t>100.0%</w:t>
            </w:r>
          </w:p>
        </w:tc>
        <w:tc>
          <w:tcPr>
            <w:tcW w:type="dxa" w:w="1950"/>
            <w:shd w:fill="F9FBFD"/>
          </w:tcPr>
          <w:p>
            <w:pPr>
              <w:spacing w:before="30" w:after="30"/>
            </w:pPr>
            <w:r>
              <w:rPr>
                <w:color w:val="262626"/>
                <w:sz w:val="17"/>
              </w:rPr>
              <w:t>0.0%</w:t>
            </w:r>
          </w:p>
        </w:tc>
        <w:tc>
          <w:tcPr>
            <w:tcW w:type="dxa" w:w="1950"/>
            <w:shd w:fill="F9FBFD"/>
          </w:tcPr>
          <w:p>
            <w:pPr>
              <w:spacing w:before="30" w:after="30"/>
            </w:pPr>
            <w:r>
              <w:rPr>
                <w:color w:val="262626"/>
                <w:sz w:val="17"/>
              </w:rPr>
              <w:t>Total completed respondent baseline</w:t>
            </w:r>
          </w:p>
        </w:tc>
      </w:tr>
      <w:tr>
        <w:trPr>
          <w:cantSplit/>
        </w:trPr>
        <w:tc>
          <w:tcPr>
            <w:tcW w:type="dxa" w:w="1950"/>
            <w:shd w:fill="FFFFFF"/>
          </w:tcPr>
          <w:p>
            <w:pPr>
              <w:spacing w:before="30" w:after="30"/>
            </w:pPr>
            <w:r>
              <w:rPr>
                <w:color w:val="262626"/>
                <w:sz w:val="17"/>
              </w:rPr>
              <w:t>2. Ad Clickers (Past 3M)</w:t>
            </w:r>
          </w:p>
        </w:tc>
        <w:tc>
          <w:tcPr>
            <w:tcW w:type="dxa" w:w="1950"/>
            <w:shd w:fill="FFFFFF"/>
          </w:tcPr>
          <w:p>
            <w:pPr>
              <w:spacing w:before="30" w:after="30"/>
            </w:pPr>
            <w:r>
              <w:rPr>
                <w:color w:val="262626"/>
                <w:sz w:val="17"/>
              </w:rPr>
              <w:t>38</w:t>
            </w:r>
          </w:p>
        </w:tc>
        <w:tc>
          <w:tcPr>
            <w:tcW w:type="dxa" w:w="1950"/>
            <w:shd w:fill="FFFFFF"/>
          </w:tcPr>
          <w:p>
            <w:pPr>
              <w:spacing w:before="30" w:after="30"/>
            </w:pPr>
            <w:r>
              <w:rPr>
                <w:color w:val="262626"/>
                <w:sz w:val="17"/>
              </w:rPr>
              <w:t>51.4%</w:t>
            </w:r>
          </w:p>
        </w:tc>
        <w:tc>
          <w:tcPr>
            <w:tcW w:type="dxa" w:w="1950"/>
            <w:shd w:fill="FFFFFF"/>
          </w:tcPr>
          <w:p>
            <w:pPr>
              <w:spacing w:before="30" w:after="30"/>
            </w:pPr>
            <w:r>
              <w:rPr>
                <w:color w:val="262626"/>
                <w:sz w:val="17"/>
              </w:rPr>
              <w:t>48.6%</w:t>
            </w:r>
          </w:p>
        </w:tc>
        <w:tc>
          <w:tcPr>
            <w:tcW w:type="dxa" w:w="1950"/>
            <w:shd w:fill="FFFFFF"/>
          </w:tcPr>
          <w:p>
            <w:pPr>
              <w:spacing w:before="30" w:after="30"/>
            </w:pPr>
            <w:r>
              <w:rPr>
                <w:color w:val="262626"/>
                <w:sz w:val="17"/>
              </w:rPr>
              <w:t>Clicked an online ad in past 3 months</w:t>
            </w:r>
          </w:p>
        </w:tc>
      </w:tr>
      <w:tr>
        <w:trPr>
          <w:cantSplit/>
        </w:trPr>
        <w:tc>
          <w:tcPr>
            <w:tcW w:type="dxa" w:w="1950"/>
            <w:shd w:fill="F9FBFD"/>
          </w:tcPr>
          <w:p>
            <w:pPr>
              <w:spacing w:before="30" w:after="30"/>
            </w:pPr>
            <w:r>
              <w:rPr>
                <w:color w:val="262626"/>
                <w:sz w:val="17"/>
              </w:rPr>
              <w:t>3. Ad Purchasers</w:t>
            </w:r>
          </w:p>
        </w:tc>
        <w:tc>
          <w:tcPr>
            <w:tcW w:type="dxa" w:w="1950"/>
            <w:shd w:fill="F9FBFD"/>
          </w:tcPr>
          <w:p>
            <w:pPr>
              <w:spacing w:before="30" w:after="30"/>
            </w:pPr>
            <w:r>
              <w:rPr>
                <w:color w:val="262626"/>
                <w:sz w:val="17"/>
              </w:rPr>
              <w:t>26</w:t>
            </w:r>
          </w:p>
        </w:tc>
        <w:tc>
          <w:tcPr>
            <w:tcW w:type="dxa" w:w="1950"/>
            <w:shd w:fill="F9FBFD"/>
          </w:tcPr>
          <w:p>
            <w:pPr>
              <w:spacing w:before="30" w:after="30"/>
            </w:pPr>
            <w:r>
              <w:rPr>
                <w:color w:val="262626"/>
                <w:sz w:val="17"/>
              </w:rPr>
              <w:t>35.1%</w:t>
            </w:r>
          </w:p>
        </w:tc>
        <w:tc>
          <w:tcPr>
            <w:tcW w:type="dxa" w:w="1950"/>
            <w:shd w:fill="F9FBFD"/>
          </w:tcPr>
          <w:p>
            <w:pPr>
              <w:spacing w:before="30" w:after="30"/>
            </w:pPr>
            <w:r>
              <w:rPr>
                <w:color w:val="262626"/>
                <w:sz w:val="17"/>
              </w:rPr>
              <w:t>31.6%</w:t>
            </w:r>
          </w:p>
        </w:tc>
        <w:tc>
          <w:tcPr>
            <w:tcW w:type="dxa" w:w="1950"/>
            <w:shd w:fill="F9FBFD"/>
          </w:tcPr>
          <w:p>
            <w:pPr>
              <w:spacing w:before="30" w:after="30"/>
            </w:pPr>
            <w:r>
              <w:rPr>
                <w:color w:val="262626"/>
                <w:sz w:val="17"/>
              </w:rPr>
              <w:t>Completed purchase following ad click</w:t>
            </w:r>
          </w:p>
        </w:tc>
      </w:tr>
    </w:tbl>
    <w:p>
      <w:pPr>
        <w:spacing w:before="40" w:after="120"/>
        <w:jc w:val="center"/>
      </w:pPr>
      <w:r>
        <w:rPr>
          <w:i/>
          <w:sz w:val="18"/>
        </w:rPr>
        <w:t>Table 7. Conversion funnel transition metrics.</w:t>
      </w:r>
    </w:p>
    <w:p>
      <w:pPr>
        <w:spacing w:before="0" w:after="80"/>
      </w:pPr>
      <w:r>
        <w:rPr>
          <w:rFonts w:ascii="Calibri" w:hAnsi="Calibri"/>
          <w:color w:val="262626"/>
          <w:sz w:val="21"/>
        </w:rPr>
        <w:t>Of 74 respondents, 51.4% (n = 38) reported clicking an advertisement in the past 3 months, representing a 48.6% drop-off at initial engagement. Among those who clicked, 26 respondents completed a purchase (68.4% click-to-purchase conversion, 35.1% overall conversion rate).</w:t>
      </w:r>
    </w:p>
    <w:p>
      <w:pPr>
        <w:spacing w:before="0" w:after="80"/>
      </w:pPr>
      <w:r>
        <w:rPr>
          <w:rFonts w:ascii="Calibri" w:hAnsi="Calibri"/>
          <w:color w:val="262626"/>
          <w:sz w:val="21"/>
        </w:rPr>
        <w:t>Figure 4 details the reasons consumers ignore online ads. The overwhelming majority cite perceived irrelevance (41.9%) and distrust (25.7%), indicating that content relevance and credibility drive avoidance rather than technical ad-blocking.</w:t>
      </w:r>
    </w:p>
    <w:p>
      <w:pPr>
        <w:keepNext/>
        <w:spacing w:before="120" w:after="40"/>
        <w:jc w:val="center"/>
      </w:pPr>
      <w:r>
        <w:drawing>
          <wp:inline xmlns:a="http://schemas.openxmlformats.org/drawingml/2006/main" xmlns:pic="http://schemas.openxmlformats.org/drawingml/2006/picture">
            <wp:extent cx="4389120" cy="2117759"/>
            <wp:docPr id="4" name="Picture 4"/>
            <wp:cNvGraphicFramePr>
              <a:graphicFrameLocks noChangeAspect="1"/>
            </wp:cNvGraphicFramePr>
            <a:graphic>
              <a:graphicData uri="http://schemas.openxmlformats.org/drawingml/2006/picture">
                <pic:pic>
                  <pic:nvPicPr>
                    <pic:cNvPr id="0" name="fig4_ignore_reasons.png"/>
                    <pic:cNvPicPr/>
                  </pic:nvPicPr>
                  <pic:blipFill>
                    <a:blip r:embed="rId14"/>
                    <a:stretch>
                      <a:fillRect/>
                    </a:stretch>
                  </pic:blipFill>
                  <pic:spPr>
                    <a:xfrm>
                      <a:off x="0" y="0"/>
                      <a:ext cx="4389120" cy="2117759"/>
                    </a:xfrm>
                    <a:prstGeom prst="rect"/>
                  </pic:spPr>
                </pic:pic>
              </a:graphicData>
            </a:graphic>
          </wp:inline>
        </w:drawing>
      </w:r>
    </w:p>
    <w:p>
      <w:pPr>
        <w:spacing w:before="20" w:after="120"/>
        <w:jc w:val="center"/>
      </w:pPr>
      <w:r>
        <w:rPr>
          <w:rFonts w:ascii="Calibri" w:hAnsi="Calibri"/>
          <w:b/>
          <w:color w:val="1F4E79"/>
          <w:sz w:val="19"/>
        </w:rPr>
        <w:t>Figure 4. Primary reasons reported for ignoring online advertisements.</w:t>
      </w:r>
    </w:p>
    <w:p>
      <w:pPr>
        <w:keepNext/>
        <w:spacing w:before="180" w:after="60"/>
      </w:pPr>
      <w:r>
        <w:rPr>
          <w:rFonts w:ascii="Calibri" w:hAnsi="Calibri"/>
          <w:b/>
          <w:color w:val="2E75B6"/>
          <w:sz w:val="24"/>
        </w:rPr>
        <w:t>4.4 Promotional Framing Experimental Findings</w:t>
      </w:r>
    </w:p>
    <w:p>
      <w:pPr>
        <w:spacing w:before="0" w:after="80"/>
      </w:pPr>
      <w:r>
        <w:rPr>
          <w:rFonts w:ascii="Calibri" w:hAnsi="Calibri"/>
          <w:color w:val="262626"/>
          <w:sz w:val="21"/>
        </w:rPr>
        <w:t>Figure 5 and Table 8 illustrate the within-subjects experimental comparison across the three promotional scenarios: Control (No Promotion), Immediate Price Discount (20% Off), and Cashback Offer (Rs 200 Cashback).</w:t>
      </w:r>
    </w:p>
    <w:p>
      <w:pPr>
        <w:keepNext/>
        <w:spacing w:before="120" w:after="40"/>
        <w:jc w:val="center"/>
      </w:pPr>
      <w:r>
        <w:drawing>
          <wp:inline xmlns:a="http://schemas.openxmlformats.org/drawingml/2006/main" xmlns:pic="http://schemas.openxmlformats.org/drawingml/2006/picture">
            <wp:extent cx="5303520" cy="1668249"/>
            <wp:docPr id="5" name="Picture 5"/>
            <wp:cNvGraphicFramePr>
              <a:graphicFrameLocks noChangeAspect="1"/>
            </wp:cNvGraphicFramePr>
            <a:graphic>
              <a:graphicData uri="http://schemas.openxmlformats.org/drawingml/2006/picture">
                <pic:pic>
                  <pic:nvPicPr>
                    <pic:cNvPr id="0" name="fig5_experimental_scenarios.png"/>
                    <pic:cNvPicPr/>
                  </pic:nvPicPr>
                  <pic:blipFill>
                    <a:blip r:embed="rId15"/>
                    <a:stretch>
                      <a:fillRect/>
                    </a:stretch>
                  </pic:blipFill>
                  <pic:spPr>
                    <a:xfrm>
                      <a:off x="0" y="0"/>
                      <a:ext cx="5303520" cy="1668249"/>
                    </a:xfrm>
                    <a:prstGeom prst="rect"/>
                  </pic:spPr>
                </pic:pic>
              </a:graphicData>
            </a:graphic>
          </wp:inline>
        </w:drawing>
      </w:r>
    </w:p>
    <w:p>
      <w:pPr>
        <w:spacing w:before="20" w:after="120"/>
        <w:jc w:val="center"/>
      </w:pPr>
      <w:r>
        <w:rPr>
          <w:rFonts w:ascii="Calibri" w:hAnsi="Calibri"/>
          <w:b/>
          <w:color w:val="1F4E79"/>
          <w:sz w:val="19"/>
        </w:rPr>
        <w:t>Figure 5. Experimental scenario comparison across promotional framing conditions (Mean ± 95% CI).</w:t>
      </w:r>
    </w:p>
    <w:tbl>
      <w:tblPr>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1950"/>
            <w:shd w:fill="1F4E79"/>
          </w:tcPr>
          <w:p>
            <w:pPr>
              <w:spacing w:before="40" w:after="40"/>
            </w:pPr>
            <w:r>
              <w:rPr>
                <w:b/>
                <w:color w:val="FFFFFF"/>
                <w:sz w:val="17"/>
              </w:rPr>
              <w:t>Promotional Condition</w:t>
            </w:r>
          </w:p>
        </w:tc>
        <w:tc>
          <w:tcPr>
            <w:tcW w:type="dxa" w:w="1950"/>
            <w:shd w:fill="1F4E79"/>
          </w:tcPr>
          <w:p>
            <w:pPr>
              <w:spacing w:before="40" w:after="40"/>
            </w:pPr>
            <w:r>
              <w:rPr>
                <w:b/>
                <w:color w:val="FFFFFF"/>
                <w:sz w:val="17"/>
              </w:rPr>
              <w:t>Purchase Intention (1-5)</w:t>
            </w:r>
          </w:p>
        </w:tc>
        <w:tc>
          <w:tcPr>
            <w:tcW w:type="dxa" w:w="1950"/>
            <w:shd w:fill="1F4E79"/>
          </w:tcPr>
          <w:p>
            <w:pPr>
              <w:spacing w:before="40" w:after="40"/>
            </w:pPr>
            <w:r>
              <w:rPr>
                <w:b/>
                <w:color w:val="FFFFFF"/>
                <w:sz w:val="17"/>
              </w:rPr>
              <w:t>Offer Attractiveness (1-5)</w:t>
            </w:r>
          </w:p>
        </w:tc>
        <w:tc>
          <w:tcPr>
            <w:tcW w:type="dxa" w:w="1950"/>
            <w:shd w:fill="1F4E79"/>
          </w:tcPr>
          <w:p>
            <w:pPr>
              <w:spacing w:before="40" w:after="40"/>
            </w:pPr>
            <w:r>
              <w:rPr>
                <w:b/>
                <w:color w:val="FFFFFF"/>
                <w:sz w:val="17"/>
              </w:rPr>
              <w:t>Value Confidence (1-5)</w:t>
            </w:r>
          </w:p>
        </w:tc>
        <w:tc>
          <w:tcPr>
            <w:tcW w:type="dxa" w:w="1950"/>
            <w:shd w:fill="1F4E79"/>
          </w:tcPr>
          <w:p>
            <w:pPr>
              <w:spacing w:before="40" w:after="40"/>
            </w:pPr>
            <w:r>
              <w:rPr>
                <w:b/>
                <w:color w:val="FFFFFF"/>
                <w:sz w:val="17"/>
              </w:rPr>
              <w:t>Preference Share (%)</w:t>
            </w:r>
          </w:p>
        </w:tc>
      </w:tr>
      <w:tr>
        <w:trPr>
          <w:cantSplit/>
        </w:trPr>
        <w:tc>
          <w:tcPr>
            <w:tcW w:type="dxa" w:w="1950"/>
            <w:shd w:fill="F9FBFD"/>
          </w:tcPr>
          <w:p>
            <w:pPr>
              <w:spacing w:before="30" w:after="30"/>
            </w:pPr>
            <w:r>
              <w:rPr>
                <w:color w:val="262626"/>
                <w:sz w:val="17"/>
              </w:rPr>
              <w:t>Control (No Promotion)</w:t>
            </w:r>
          </w:p>
        </w:tc>
        <w:tc>
          <w:tcPr>
            <w:tcW w:type="dxa" w:w="1950"/>
            <w:shd w:fill="F9FBFD"/>
          </w:tcPr>
          <w:p>
            <w:pPr>
              <w:spacing w:before="30" w:after="30"/>
            </w:pPr>
            <w:r>
              <w:rPr>
                <w:color w:val="262626"/>
                <w:sz w:val="17"/>
              </w:rPr>
              <w:t>2.61 ± 1.03 (Med: 3.0)</w:t>
            </w:r>
          </w:p>
        </w:tc>
        <w:tc>
          <w:tcPr>
            <w:tcW w:type="dxa" w:w="1950"/>
            <w:shd w:fill="F9FBFD"/>
          </w:tcPr>
          <w:p>
            <w:pPr>
              <w:spacing w:before="30" w:after="30"/>
            </w:pPr>
            <w:r>
              <w:rPr>
                <w:color w:val="262626"/>
                <w:sz w:val="17"/>
              </w:rPr>
              <w:t>2.23 ± 0.96 (Med: 2.0)</w:t>
            </w:r>
          </w:p>
        </w:tc>
        <w:tc>
          <w:tcPr>
            <w:tcW w:type="dxa" w:w="1950"/>
            <w:shd w:fill="F9FBFD"/>
          </w:tcPr>
          <w:p>
            <w:pPr>
              <w:spacing w:before="30" w:after="30"/>
            </w:pPr>
            <w:r>
              <w:rPr>
                <w:color w:val="262626"/>
                <w:sz w:val="17"/>
              </w:rPr>
              <w:t>2.51 ± 1.05 (Med: 2.0)</w:t>
            </w:r>
          </w:p>
        </w:tc>
        <w:tc>
          <w:tcPr>
            <w:tcW w:type="dxa" w:w="1950"/>
            <w:shd w:fill="F9FBFD"/>
          </w:tcPr>
          <w:p>
            <w:pPr>
              <w:spacing w:before="30" w:after="30"/>
            </w:pPr>
            <w:r>
              <w:rPr>
                <w:color w:val="262626"/>
                <w:sz w:val="17"/>
              </w:rPr>
              <w:t>5.4% (n = 4)</w:t>
            </w:r>
          </w:p>
        </w:tc>
      </w:tr>
      <w:tr>
        <w:trPr>
          <w:cantSplit/>
        </w:trPr>
        <w:tc>
          <w:tcPr>
            <w:tcW w:type="dxa" w:w="1950"/>
            <w:shd w:fill="FFFFFF"/>
          </w:tcPr>
          <w:p>
            <w:pPr>
              <w:spacing w:before="30" w:after="30"/>
            </w:pPr>
            <w:r>
              <w:rPr>
                <w:color w:val="262626"/>
                <w:sz w:val="17"/>
              </w:rPr>
              <w:t>Immediate Discount (20% Off)</w:t>
            </w:r>
          </w:p>
        </w:tc>
        <w:tc>
          <w:tcPr>
            <w:tcW w:type="dxa" w:w="1950"/>
            <w:shd w:fill="FFFFFF"/>
          </w:tcPr>
          <w:p>
            <w:pPr>
              <w:spacing w:before="30" w:after="30"/>
            </w:pPr>
            <w:r>
              <w:rPr>
                <w:color w:val="262626"/>
                <w:sz w:val="17"/>
              </w:rPr>
              <w:t>3.51 ± 0.97 (Med: 4.0)</w:t>
            </w:r>
          </w:p>
        </w:tc>
        <w:tc>
          <w:tcPr>
            <w:tcW w:type="dxa" w:w="1950"/>
            <w:shd w:fill="FFFFFF"/>
          </w:tcPr>
          <w:p>
            <w:pPr>
              <w:spacing w:before="30" w:after="30"/>
            </w:pPr>
            <w:r>
              <w:rPr>
                <w:color w:val="262626"/>
                <w:sz w:val="17"/>
              </w:rPr>
              <w:t>3.55 ± 1.06 (Med: 4.0)</w:t>
            </w:r>
          </w:p>
        </w:tc>
        <w:tc>
          <w:tcPr>
            <w:tcW w:type="dxa" w:w="1950"/>
            <w:shd w:fill="FFFFFF"/>
          </w:tcPr>
          <w:p>
            <w:pPr>
              <w:spacing w:before="30" w:after="30"/>
            </w:pPr>
            <w:r>
              <w:rPr>
                <w:color w:val="262626"/>
                <w:sz w:val="17"/>
              </w:rPr>
              <w:t>3.64 ± 0.96 (Med: 4.0)</w:t>
            </w:r>
          </w:p>
        </w:tc>
        <w:tc>
          <w:tcPr>
            <w:tcW w:type="dxa" w:w="1950"/>
            <w:shd w:fill="FFFFFF"/>
          </w:tcPr>
          <w:p>
            <w:pPr>
              <w:spacing w:before="30" w:after="30"/>
            </w:pPr>
            <w:r>
              <w:rPr>
                <w:color w:val="262626"/>
                <w:sz w:val="17"/>
              </w:rPr>
              <w:t>51.4% (n = 38)</w:t>
            </w:r>
          </w:p>
        </w:tc>
      </w:tr>
      <w:tr>
        <w:trPr>
          <w:cantSplit/>
        </w:trPr>
        <w:tc>
          <w:tcPr>
            <w:tcW w:type="dxa" w:w="1950"/>
            <w:shd w:fill="F9FBFD"/>
          </w:tcPr>
          <w:p>
            <w:pPr>
              <w:spacing w:before="30" w:after="30"/>
            </w:pPr>
            <w:r>
              <w:rPr>
                <w:color w:val="262626"/>
                <w:sz w:val="17"/>
              </w:rPr>
              <w:t>Cashback Offer (Rs 200 Back)</w:t>
            </w:r>
          </w:p>
        </w:tc>
        <w:tc>
          <w:tcPr>
            <w:tcW w:type="dxa" w:w="1950"/>
            <w:shd w:fill="F9FBFD"/>
          </w:tcPr>
          <w:p>
            <w:pPr>
              <w:spacing w:before="30" w:after="30"/>
            </w:pPr>
            <w:r>
              <w:rPr>
                <w:color w:val="262626"/>
                <w:sz w:val="17"/>
              </w:rPr>
              <w:t>3.41 ± 1.09 (Med: 3.5)</w:t>
            </w:r>
          </w:p>
        </w:tc>
        <w:tc>
          <w:tcPr>
            <w:tcW w:type="dxa" w:w="1950"/>
            <w:shd w:fill="F9FBFD"/>
          </w:tcPr>
          <w:p>
            <w:pPr>
              <w:spacing w:before="30" w:after="30"/>
            </w:pPr>
            <w:r>
              <w:rPr>
                <w:color w:val="262626"/>
                <w:sz w:val="17"/>
              </w:rPr>
              <w:t>3.36 ± 1.07 (Med: 3.0)</w:t>
            </w:r>
          </w:p>
        </w:tc>
        <w:tc>
          <w:tcPr>
            <w:tcW w:type="dxa" w:w="1950"/>
            <w:shd w:fill="F9FBFD"/>
          </w:tcPr>
          <w:p>
            <w:pPr>
              <w:spacing w:before="30" w:after="30"/>
            </w:pPr>
            <w:r>
              <w:rPr>
                <w:color w:val="262626"/>
                <w:sz w:val="17"/>
              </w:rPr>
              <w:t>3.27 ± 1.08 (Med: 3.0)</w:t>
            </w:r>
          </w:p>
        </w:tc>
        <w:tc>
          <w:tcPr>
            <w:tcW w:type="dxa" w:w="1950"/>
            <w:shd w:fill="F9FBFD"/>
          </w:tcPr>
          <w:p>
            <w:pPr>
              <w:spacing w:before="30" w:after="30"/>
            </w:pPr>
            <w:r>
              <w:rPr>
                <w:color w:val="262626"/>
                <w:sz w:val="17"/>
              </w:rPr>
              <w:t>21.6% (n = 16)</w:t>
            </w:r>
          </w:p>
        </w:tc>
      </w:tr>
    </w:tbl>
    <w:p>
      <w:pPr>
        <w:spacing w:before="40" w:after="120"/>
        <w:jc w:val="center"/>
      </w:pPr>
      <w:r>
        <w:rPr>
          <w:i/>
          <w:sz w:val="18"/>
        </w:rPr>
        <w:t>Table 8. Multi-metric telemetry across experimental conditions (Mean ± SD).</w:t>
      </w:r>
    </w:p>
    <w:p>
      <w:pPr>
        <w:spacing w:before="0" w:after="80"/>
      </w:pPr>
      <w:r>
        <w:rPr>
          <w:rFonts w:ascii="Calibri" w:hAnsi="Calibri"/>
          <w:color w:val="262626"/>
          <w:sz w:val="21"/>
        </w:rPr>
        <w:t>Both promotional incentives generate substantial increases over control across all metrics (p &lt; 0.001). Immediate discounts outperform cashback on value confidence (3.64 vs 3.27, p = 0.0028), confirming Hypothesis 2.</w:t>
      </w:r>
    </w:p>
    <w:p>
      <w:pPr>
        <w:keepNext/>
        <w:spacing w:before="180" w:after="60"/>
      </w:pPr>
      <w:r>
        <w:rPr>
          <w:rFonts w:ascii="Calibri" w:hAnsi="Calibri"/>
          <w:b/>
          <w:color w:val="2E75B6"/>
          <w:sz w:val="24"/>
        </w:rPr>
        <w:t>4.5 Cohort Interactions &amp; Behavioral Patterns</w:t>
      </w:r>
    </w:p>
    <w:p>
      <w:pPr>
        <w:spacing w:before="0" w:after="80"/>
      </w:pPr>
      <w:r>
        <w:rPr>
          <w:rFonts w:ascii="Calibri" w:hAnsi="Calibri"/>
          <w:color w:val="262626"/>
          <w:sz w:val="21"/>
        </w:rPr>
        <w:t>Figure 7 displays promotional offer preference across age cohorts. Immediate discounts are favored by over 50% of respondents in every age bracket under 45. Figure 8 demonstrates that purchase-after-ad rates increase monotonically with ad exposure frequency.</w:t>
      </w:r>
    </w:p>
    <w:p>
      <w:pPr>
        <w:keepNext/>
        <w:spacing w:before="120" w:after="40"/>
        <w:jc w:val="center"/>
      </w:pPr>
      <w:r>
        <w:drawing>
          <wp:inline xmlns:a="http://schemas.openxmlformats.org/drawingml/2006/main" xmlns:pic="http://schemas.openxmlformats.org/drawingml/2006/picture">
            <wp:extent cx="4389120" cy="2440161"/>
            <wp:docPr id="6" name="Picture 6"/>
            <wp:cNvGraphicFramePr>
              <a:graphicFrameLocks noChangeAspect="1"/>
            </wp:cNvGraphicFramePr>
            <a:graphic>
              <a:graphicData uri="http://schemas.openxmlformats.org/drawingml/2006/picture">
                <pic:pic>
                  <pic:nvPicPr>
                    <pic:cNvPr id="0" name="fig7_age_promotion_crosstab.png"/>
                    <pic:cNvPicPr/>
                  </pic:nvPicPr>
                  <pic:blipFill>
                    <a:blip r:embed="rId16"/>
                    <a:stretch>
                      <a:fillRect/>
                    </a:stretch>
                  </pic:blipFill>
                  <pic:spPr>
                    <a:xfrm>
                      <a:off x="0" y="0"/>
                      <a:ext cx="4389120" cy="2440161"/>
                    </a:xfrm>
                    <a:prstGeom prst="rect"/>
                  </pic:spPr>
                </pic:pic>
              </a:graphicData>
            </a:graphic>
          </wp:inline>
        </w:drawing>
      </w:r>
    </w:p>
    <w:p>
      <w:pPr>
        <w:spacing w:before="20" w:after="120"/>
        <w:jc w:val="center"/>
      </w:pPr>
      <w:r>
        <w:rPr>
          <w:rFonts w:ascii="Calibri" w:hAnsi="Calibri"/>
          <w:b/>
          <w:color w:val="1F4E79"/>
          <w:sz w:val="19"/>
        </w:rPr>
        <w:t>Figure 7. Promotional preference distribution across age cohorts.</w:t>
      </w:r>
    </w:p>
    <w:p>
      <w:pPr>
        <w:keepNext/>
        <w:spacing w:before="120" w:after="40"/>
        <w:jc w:val="center"/>
      </w:pPr>
      <w:r>
        <w:drawing>
          <wp:inline xmlns:a="http://schemas.openxmlformats.org/drawingml/2006/main" xmlns:pic="http://schemas.openxmlformats.org/drawingml/2006/picture">
            <wp:extent cx="4389120" cy="2284458"/>
            <wp:docPr id="7" name="Picture 7"/>
            <wp:cNvGraphicFramePr>
              <a:graphicFrameLocks noChangeAspect="1"/>
            </wp:cNvGraphicFramePr>
            <a:graphic>
              <a:graphicData uri="http://schemas.openxmlformats.org/drawingml/2006/picture">
                <pic:pic>
                  <pic:nvPicPr>
                    <pic:cNvPr id="0" name="fig8_ad_frequency_purchase.png"/>
                    <pic:cNvPicPr/>
                  </pic:nvPicPr>
                  <pic:blipFill>
                    <a:blip r:embed="rId17"/>
                    <a:stretch>
                      <a:fillRect/>
                    </a:stretch>
                  </pic:blipFill>
                  <pic:spPr>
                    <a:xfrm>
                      <a:off x="0" y="0"/>
                      <a:ext cx="4389120" cy="2284458"/>
                    </a:xfrm>
                    <a:prstGeom prst="rect"/>
                  </pic:spPr>
                </pic:pic>
              </a:graphicData>
            </a:graphic>
          </wp:inline>
        </w:drawing>
      </w:r>
    </w:p>
    <w:p>
      <w:pPr>
        <w:spacing w:before="20" w:after="120"/>
        <w:jc w:val="center"/>
      </w:pPr>
      <w:r>
        <w:rPr>
          <w:rFonts w:ascii="Calibri" w:hAnsi="Calibri"/>
          <w:b/>
          <w:color w:val="1F4E79"/>
          <w:sz w:val="19"/>
        </w:rPr>
        <w:t>Figure 8. Reported purchase-after-ad rates across ad exposure frequency.</w:t>
      </w:r>
    </w:p>
    <w:p>
      <w:pPr>
        <w:keepNext/>
        <w:spacing w:before="180" w:after="60"/>
      </w:pPr>
      <w:r>
        <w:rPr>
          <w:rFonts w:ascii="Calibri" w:hAnsi="Calibri"/>
          <w:b/>
          <w:color w:val="2E75B6"/>
          <w:sz w:val="24"/>
        </w:rPr>
        <w:t>4.6 Correlation Analysis &amp; Rating Distributions</w:t>
      </w:r>
    </w:p>
    <w:p>
      <w:pPr>
        <w:spacing w:before="0" w:after="80"/>
      </w:pPr>
      <w:r>
        <w:rPr>
          <w:rFonts w:ascii="Calibri" w:hAnsi="Calibri"/>
          <w:color w:val="262626"/>
          <w:sz w:val="21"/>
        </w:rPr>
        <w:t>Figure 6 presents the Spearman rank correlation matrix across core survey and experimental constructs. Figure 10 presents boxplots of rating distributions across the survey constructs.</w:t>
      </w:r>
    </w:p>
    <w:p>
      <w:pPr>
        <w:keepNext/>
        <w:spacing w:before="120" w:after="40"/>
        <w:jc w:val="center"/>
      </w:pPr>
      <w:r>
        <w:drawing>
          <wp:inline xmlns:a="http://schemas.openxmlformats.org/drawingml/2006/main" xmlns:pic="http://schemas.openxmlformats.org/drawingml/2006/picture">
            <wp:extent cx="4389120" cy="3495513"/>
            <wp:docPr id="8" name="Picture 8"/>
            <wp:cNvGraphicFramePr>
              <a:graphicFrameLocks noChangeAspect="1"/>
            </wp:cNvGraphicFramePr>
            <a:graphic>
              <a:graphicData uri="http://schemas.openxmlformats.org/drawingml/2006/picture">
                <pic:pic>
                  <pic:nvPicPr>
                    <pic:cNvPr id="0" name="fig6_spearman_heatmap.png"/>
                    <pic:cNvPicPr/>
                  </pic:nvPicPr>
                  <pic:blipFill>
                    <a:blip r:embed="rId18"/>
                    <a:stretch>
                      <a:fillRect/>
                    </a:stretch>
                  </pic:blipFill>
                  <pic:spPr>
                    <a:xfrm>
                      <a:off x="0" y="0"/>
                      <a:ext cx="4389120" cy="3495513"/>
                    </a:xfrm>
                    <a:prstGeom prst="rect"/>
                  </pic:spPr>
                </pic:pic>
              </a:graphicData>
            </a:graphic>
          </wp:inline>
        </w:drawing>
      </w:r>
    </w:p>
    <w:p>
      <w:pPr>
        <w:spacing w:before="20" w:after="120"/>
        <w:jc w:val="center"/>
      </w:pPr>
      <w:r>
        <w:rPr>
          <w:rFonts w:ascii="Calibri" w:hAnsi="Calibri"/>
          <w:b/>
          <w:color w:val="1F4E79"/>
          <w:sz w:val="19"/>
        </w:rPr>
        <w:t>Figure 6. Spearman rank correlation matrix across key constructs.</w:t>
      </w:r>
    </w:p>
    <w:p>
      <w:pPr>
        <w:keepNext/>
        <w:spacing w:before="120" w:after="40"/>
        <w:jc w:val="center"/>
      </w:pPr>
      <w:r>
        <w:drawing>
          <wp:inline xmlns:a="http://schemas.openxmlformats.org/drawingml/2006/main" xmlns:pic="http://schemas.openxmlformats.org/drawingml/2006/picture">
            <wp:extent cx="4389120" cy="2278966"/>
            <wp:docPr id="9" name="Picture 9"/>
            <wp:cNvGraphicFramePr>
              <a:graphicFrameLocks noChangeAspect="1"/>
            </wp:cNvGraphicFramePr>
            <a:graphic>
              <a:graphicData uri="http://schemas.openxmlformats.org/drawingml/2006/picture">
                <pic:pic>
                  <pic:nvPicPr>
                    <pic:cNvPr id="0" name="fig10_rating_boxplots.png"/>
                    <pic:cNvPicPr/>
                  </pic:nvPicPr>
                  <pic:blipFill>
                    <a:blip r:embed="rId19"/>
                    <a:stretch>
                      <a:fillRect/>
                    </a:stretch>
                  </pic:blipFill>
                  <pic:spPr>
                    <a:xfrm>
                      <a:off x="0" y="0"/>
                      <a:ext cx="4389120" cy="2278966"/>
                    </a:xfrm>
                    <a:prstGeom prst="rect"/>
                  </pic:spPr>
                </pic:pic>
              </a:graphicData>
            </a:graphic>
          </wp:inline>
        </w:drawing>
      </w:r>
    </w:p>
    <w:p>
      <w:pPr>
        <w:spacing w:before="20" w:after="120"/>
        <w:jc w:val="center"/>
      </w:pPr>
      <w:r>
        <w:rPr>
          <w:rFonts w:ascii="Calibri" w:hAnsi="Calibri"/>
          <w:b/>
          <w:color w:val="1F4E79"/>
          <w:sz w:val="19"/>
        </w:rPr>
        <w:t>Figure 10. Box plots of survey rating distributions (1–5 Likert scale).</w:t>
      </w:r>
    </w:p>
    <w:tbl>
      <w:tblPr>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1950"/>
            <w:shd w:fill="1F4E79"/>
          </w:tcPr>
          <w:p>
            <w:pPr>
              <w:spacing w:before="40" w:after="40"/>
            </w:pPr>
            <w:r>
              <w:rPr>
                <w:b/>
                <w:color w:val="FFFFFF"/>
                <w:sz w:val="17"/>
              </w:rPr>
              <w:t>Construct Pair</w:t>
            </w:r>
          </w:p>
        </w:tc>
        <w:tc>
          <w:tcPr>
            <w:tcW w:type="dxa" w:w="1950"/>
            <w:shd w:fill="1F4E79"/>
          </w:tcPr>
          <w:p>
            <w:pPr>
              <w:spacing w:before="40" w:after="40"/>
            </w:pPr>
            <w:r>
              <w:rPr>
                <w:b/>
                <w:color w:val="FFFFFF"/>
                <w:sz w:val="17"/>
              </w:rPr>
              <w:t>Spearman Rho (ρ)</w:t>
            </w:r>
          </w:p>
        </w:tc>
        <w:tc>
          <w:tcPr>
            <w:tcW w:type="dxa" w:w="1950"/>
            <w:shd w:fill="1F4E79"/>
          </w:tcPr>
          <w:p>
            <w:pPr>
              <w:spacing w:before="40" w:after="40"/>
            </w:pPr>
            <w:r>
              <w:rPr>
                <w:b/>
                <w:color w:val="FFFFFF"/>
                <w:sz w:val="17"/>
              </w:rPr>
              <w:t>p-value</w:t>
            </w:r>
          </w:p>
        </w:tc>
        <w:tc>
          <w:tcPr>
            <w:tcW w:type="dxa" w:w="1950"/>
            <w:shd w:fill="1F4E79"/>
          </w:tcPr>
          <w:p>
            <w:pPr>
              <w:spacing w:before="40" w:after="40"/>
            </w:pPr>
            <w:r>
              <w:rPr>
                <w:b/>
                <w:color w:val="FFFFFF"/>
                <w:sz w:val="17"/>
              </w:rPr>
              <w:t>Significance Level</w:t>
            </w:r>
          </w:p>
        </w:tc>
        <w:tc>
          <w:tcPr>
            <w:tcW w:type="dxa" w:w="1950"/>
            <w:shd w:fill="1F4E79"/>
          </w:tcPr>
          <w:p>
            <w:pPr>
              <w:spacing w:before="40" w:after="40"/>
            </w:pPr>
            <w:r>
              <w:rPr>
                <w:b/>
                <w:color w:val="FFFFFF"/>
                <w:sz w:val="17"/>
              </w:rPr>
              <w:t>Interpretation</w:t>
            </w:r>
          </w:p>
        </w:tc>
      </w:tr>
      <w:tr>
        <w:trPr>
          <w:cantSplit/>
        </w:trPr>
        <w:tc>
          <w:tcPr>
            <w:tcW w:type="dxa" w:w="1950"/>
            <w:shd w:fill="F9FBFD"/>
          </w:tcPr>
          <w:p>
            <w:pPr>
              <w:spacing w:before="30" w:after="30"/>
            </w:pPr>
            <w:r>
              <w:rPr>
                <w:color w:val="262626"/>
                <w:sz w:val="17"/>
              </w:rPr>
              <w:t>Offer Attractiveness - Purchase Intent</w:t>
            </w:r>
          </w:p>
        </w:tc>
        <w:tc>
          <w:tcPr>
            <w:tcW w:type="dxa" w:w="1950"/>
            <w:shd w:fill="F9FBFD"/>
          </w:tcPr>
          <w:p>
            <w:pPr>
              <w:spacing w:before="30" w:after="30"/>
            </w:pPr>
            <w:r>
              <w:rPr>
                <w:color w:val="262626"/>
                <w:sz w:val="17"/>
              </w:rPr>
              <w:t>+0.457</w:t>
            </w:r>
          </w:p>
        </w:tc>
        <w:tc>
          <w:tcPr>
            <w:tcW w:type="dxa" w:w="1950"/>
            <w:shd w:fill="F9FBFD"/>
          </w:tcPr>
          <w:p>
            <w:pPr>
              <w:spacing w:before="30" w:after="30"/>
            </w:pPr>
            <w:r>
              <w:rPr>
                <w:color w:val="262626"/>
                <w:sz w:val="17"/>
              </w:rPr>
              <w:t>&lt; 0.0001</w:t>
            </w:r>
          </w:p>
        </w:tc>
        <w:tc>
          <w:tcPr>
            <w:tcW w:type="dxa" w:w="1950"/>
            <w:shd w:fill="F9FBFD"/>
          </w:tcPr>
          <w:p>
            <w:pPr>
              <w:spacing w:before="30" w:after="30"/>
            </w:pPr>
            <w:r>
              <w:rPr>
                <w:color w:val="262626"/>
                <w:sz w:val="17"/>
              </w:rPr>
              <w:t>p &lt; 0.001 (Strong)</w:t>
            </w:r>
          </w:p>
        </w:tc>
        <w:tc>
          <w:tcPr>
            <w:tcW w:type="dxa" w:w="1950"/>
            <w:shd w:fill="F9FBFD"/>
          </w:tcPr>
          <w:p>
            <w:pPr>
              <w:spacing w:before="30" w:after="30"/>
            </w:pPr>
            <w:r>
              <w:rPr>
                <w:color w:val="262626"/>
                <w:sz w:val="17"/>
              </w:rPr>
              <w:t>Attractiveness strongly drives purchase</w:t>
            </w:r>
          </w:p>
        </w:tc>
      </w:tr>
      <w:tr>
        <w:trPr>
          <w:cantSplit/>
        </w:trPr>
        <w:tc>
          <w:tcPr>
            <w:tcW w:type="dxa" w:w="1950"/>
            <w:shd w:fill="FFFFFF"/>
          </w:tcPr>
          <w:p>
            <w:pPr>
              <w:spacing w:before="30" w:after="30"/>
            </w:pPr>
            <w:r>
              <w:rPr>
                <w:color w:val="262626"/>
                <w:sz w:val="17"/>
              </w:rPr>
              <w:t>Value Confidence - Purchase Intent</w:t>
            </w:r>
          </w:p>
        </w:tc>
        <w:tc>
          <w:tcPr>
            <w:tcW w:type="dxa" w:w="1950"/>
            <w:shd w:fill="FFFFFF"/>
          </w:tcPr>
          <w:p>
            <w:pPr>
              <w:spacing w:before="30" w:after="30"/>
            </w:pPr>
            <w:r>
              <w:rPr>
                <w:color w:val="262626"/>
                <w:sz w:val="17"/>
              </w:rPr>
              <w:t>+0.384</w:t>
            </w:r>
          </w:p>
        </w:tc>
        <w:tc>
          <w:tcPr>
            <w:tcW w:type="dxa" w:w="1950"/>
            <w:shd w:fill="FFFFFF"/>
          </w:tcPr>
          <w:p>
            <w:pPr>
              <w:spacing w:before="30" w:after="30"/>
            </w:pPr>
            <w:r>
              <w:rPr>
                <w:color w:val="262626"/>
                <w:sz w:val="17"/>
              </w:rPr>
              <w:t>&lt; 0.0001</w:t>
            </w:r>
          </w:p>
        </w:tc>
        <w:tc>
          <w:tcPr>
            <w:tcW w:type="dxa" w:w="1950"/>
            <w:shd w:fill="FFFFFF"/>
          </w:tcPr>
          <w:p>
            <w:pPr>
              <w:spacing w:before="30" w:after="30"/>
            </w:pPr>
            <w:r>
              <w:rPr>
                <w:color w:val="262626"/>
                <w:sz w:val="17"/>
              </w:rPr>
              <w:t>p &lt; 0.001 (Moderate)</w:t>
            </w:r>
          </w:p>
        </w:tc>
        <w:tc>
          <w:tcPr>
            <w:tcW w:type="dxa" w:w="1950"/>
            <w:shd w:fill="FFFFFF"/>
          </w:tcPr>
          <w:p>
            <w:pPr>
              <w:spacing w:before="30" w:after="30"/>
            </w:pPr>
            <w:r>
              <w:rPr>
                <w:color w:val="262626"/>
                <w:sz w:val="17"/>
              </w:rPr>
              <w:t>Perceived value directly bolsters intent</w:t>
            </w:r>
          </w:p>
        </w:tc>
      </w:tr>
      <w:tr>
        <w:trPr>
          <w:cantSplit/>
        </w:trPr>
        <w:tc>
          <w:tcPr>
            <w:tcW w:type="dxa" w:w="1950"/>
            <w:shd w:fill="F9FBFD"/>
          </w:tcPr>
          <w:p>
            <w:pPr>
              <w:spacing w:before="30" w:after="30"/>
            </w:pPr>
            <w:r>
              <w:rPr>
                <w:color w:val="262626"/>
                <w:sz w:val="17"/>
              </w:rPr>
              <w:t>Discount Importance - Purchase Intent</w:t>
            </w:r>
          </w:p>
        </w:tc>
        <w:tc>
          <w:tcPr>
            <w:tcW w:type="dxa" w:w="1950"/>
            <w:shd w:fill="F9FBFD"/>
          </w:tcPr>
          <w:p>
            <w:pPr>
              <w:spacing w:before="30" w:after="30"/>
            </w:pPr>
            <w:r>
              <w:rPr>
                <w:color w:val="262626"/>
                <w:sz w:val="17"/>
              </w:rPr>
              <w:t>+0.228</w:t>
            </w:r>
          </w:p>
        </w:tc>
        <w:tc>
          <w:tcPr>
            <w:tcW w:type="dxa" w:w="1950"/>
            <w:shd w:fill="F9FBFD"/>
          </w:tcPr>
          <w:p>
            <w:pPr>
              <w:spacing w:before="30" w:after="30"/>
            </w:pPr>
            <w:r>
              <w:rPr>
                <w:color w:val="262626"/>
                <w:sz w:val="17"/>
              </w:rPr>
              <w:t>0.0006</w:t>
            </w:r>
          </w:p>
        </w:tc>
        <w:tc>
          <w:tcPr>
            <w:tcW w:type="dxa" w:w="1950"/>
            <w:shd w:fill="F9FBFD"/>
          </w:tcPr>
          <w:p>
            <w:pPr>
              <w:spacing w:before="30" w:after="30"/>
            </w:pPr>
            <w:r>
              <w:rPr>
                <w:color w:val="262626"/>
                <w:sz w:val="17"/>
              </w:rPr>
              <w:t>p &lt; 0.001 (Weak-Mod)</w:t>
            </w:r>
          </w:p>
        </w:tc>
        <w:tc>
          <w:tcPr>
            <w:tcW w:type="dxa" w:w="1950"/>
            <w:shd w:fill="F9FBFD"/>
          </w:tcPr>
          <w:p>
            <w:pPr>
              <w:spacing w:before="30" w:after="30"/>
            </w:pPr>
            <w:r>
              <w:rPr>
                <w:color w:val="262626"/>
                <w:sz w:val="17"/>
              </w:rPr>
              <w:t>Price sensitivity enhances promotional lift</w:t>
            </w:r>
          </w:p>
        </w:tc>
      </w:tr>
      <w:tr>
        <w:trPr>
          <w:cantSplit/>
        </w:trPr>
        <w:tc>
          <w:tcPr>
            <w:tcW w:type="dxa" w:w="1950"/>
            <w:shd w:fill="FFFFFF"/>
          </w:tcPr>
          <w:p>
            <w:pPr>
              <w:spacing w:before="30" w:after="30"/>
            </w:pPr>
            <w:r>
              <w:rPr>
                <w:color w:val="262626"/>
                <w:sz w:val="17"/>
              </w:rPr>
              <w:t>Promoted Choice - Purchase Intent</w:t>
            </w:r>
          </w:p>
        </w:tc>
        <w:tc>
          <w:tcPr>
            <w:tcW w:type="dxa" w:w="1950"/>
            <w:shd w:fill="FFFFFF"/>
          </w:tcPr>
          <w:p>
            <w:pPr>
              <w:spacing w:before="30" w:after="30"/>
            </w:pPr>
            <w:r>
              <w:rPr>
                <w:color w:val="262626"/>
                <w:sz w:val="17"/>
              </w:rPr>
              <w:t>+0.187</w:t>
            </w:r>
          </w:p>
        </w:tc>
        <w:tc>
          <w:tcPr>
            <w:tcW w:type="dxa" w:w="1950"/>
            <w:shd w:fill="FFFFFF"/>
          </w:tcPr>
          <w:p>
            <w:pPr>
              <w:spacing w:before="30" w:after="30"/>
            </w:pPr>
            <w:r>
              <w:rPr>
                <w:color w:val="262626"/>
                <w:sz w:val="17"/>
              </w:rPr>
              <w:t>0.0053</w:t>
            </w:r>
          </w:p>
        </w:tc>
        <w:tc>
          <w:tcPr>
            <w:tcW w:type="dxa" w:w="1950"/>
            <w:shd w:fill="FFFFFF"/>
          </w:tcPr>
          <w:p>
            <w:pPr>
              <w:spacing w:before="30" w:after="30"/>
            </w:pPr>
            <w:r>
              <w:rPr>
                <w:color w:val="262626"/>
                <w:sz w:val="17"/>
              </w:rPr>
              <w:t>p &lt; 0.01 (Weak)</w:t>
            </w:r>
          </w:p>
        </w:tc>
        <w:tc>
          <w:tcPr>
            <w:tcW w:type="dxa" w:w="1950"/>
            <w:shd w:fill="FFFFFF"/>
          </w:tcPr>
          <w:p>
            <w:pPr>
              <w:spacing w:before="30" w:after="30"/>
            </w:pPr>
            <w:r>
              <w:rPr>
                <w:color w:val="262626"/>
                <w:sz w:val="17"/>
              </w:rPr>
              <w:t>Incentive preference increases trial conversion</w:t>
            </w:r>
          </w:p>
        </w:tc>
      </w:tr>
      <w:tr>
        <w:trPr>
          <w:cantSplit/>
        </w:trPr>
        <w:tc>
          <w:tcPr>
            <w:tcW w:type="dxa" w:w="1950"/>
            <w:shd w:fill="F9FBFD"/>
          </w:tcPr>
          <w:p>
            <w:pPr>
              <w:spacing w:before="30" w:after="30"/>
            </w:pPr>
            <w:r>
              <w:rPr>
                <w:color w:val="262626"/>
                <w:sz w:val="17"/>
              </w:rPr>
              <w:t>Ad Trust - Purchase Intent</w:t>
            </w:r>
          </w:p>
        </w:tc>
        <w:tc>
          <w:tcPr>
            <w:tcW w:type="dxa" w:w="1950"/>
            <w:shd w:fill="F9FBFD"/>
          </w:tcPr>
          <w:p>
            <w:pPr>
              <w:spacing w:before="30" w:after="30"/>
            </w:pPr>
            <w:r>
              <w:rPr>
                <w:color w:val="262626"/>
                <w:sz w:val="17"/>
              </w:rPr>
              <w:t>+0.136</w:t>
            </w:r>
          </w:p>
        </w:tc>
        <w:tc>
          <w:tcPr>
            <w:tcW w:type="dxa" w:w="1950"/>
            <w:shd w:fill="F9FBFD"/>
          </w:tcPr>
          <w:p>
            <w:pPr>
              <w:spacing w:before="30" w:after="30"/>
            </w:pPr>
            <w:r>
              <w:rPr>
                <w:color w:val="262626"/>
                <w:sz w:val="17"/>
              </w:rPr>
              <w:t>0.0428</w:t>
            </w:r>
          </w:p>
        </w:tc>
        <w:tc>
          <w:tcPr>
            <w:tcW w:type="dxa" w:w="1950"/>
            <w:shd w:fill="F9FBFD"/>
          </w:tcPr>
          <w:p>
            <w:pPr>
              <w:spacing w:before="30" w:after="30"/>
            </w:pPr>
            <w:r>
              <w:rPr>
                <w:color w:val="262626"/>
                <w:sz w:val="17"/>
              </w:rPr>
              <w:t>p &lt; 0.05 (Weak)</w:t>
            </w:r>
          </w:p>
        </w:tc>
        <w:tc>
          <w:tcPr>
            <w:tcW w:type="dxa" w:w="1950"/>
            <w:shd w:fill="F9FBFD"/>
          </w:tcPr>
          <w:p>
            <w:pPr>
              <w:spacing w:before="30" w:after="30"/>
            </w:pPr>
            <w:r>
              <w:rPr>
                <w:color w:val="262626"/>
                <w:sz w:val="17"/>
              </w:rPr>
              <w:t>General ad trust provides positive baseline</w:t>
            </w:r>
          </w:p>
        </w:tc>
      </w:tr>
      <w:tr>
        <w:trPr>
          <w:cantSplit/>
        </w:trPr>
        <w:tc>
          <w:tcPr>
            <w:tcW w:type="dxa" w:w="1950"/>
            <w:shd w:fill="FFFFFF"/>
          </w:tcPr>
          <w:p>
            <w:pPr>
              <w:spacing w:before="30" w:after="30"/>
            </w:pPr>
            <w:r>
              <w:rPr>
                <w:color w:val="262626"/>
                <w:sz w:val="17"/>
              </w:rPr>
              <w:t>Ad Trust - Discount Importance</w:t>
            </w:r>
          </w:p>
        </w:tc>
        <w:tc>
          <w:tcPr>
            <w:tcW w:type="dxa" w:w="1950"/>
            <w:shd w:fill="FFFFFF"/>
          </w:tcPr>
          <w:p>
            <w:pPr>
              <w:spacing w:before="30" w:after="30"/>
            </w:pPr>
            <w:r>
              <w:rPr>
                <w:color w:val="262626"/>
                <w:sz w:val="17"/>
              </w:rPr>
              <w:t>-0.043</w:t>
            </w:r>
          </w:p>
        </w:tc>
        <w:tc>
          <w:tcPr>
            <w:tcW w:type="dxa" w:w="1950"/>
            <w:shd w:fill="FFFFFF"/>
          </w:tcPr>
          <w:p>
            <w:pPr>
              <w:spacing w:before="30" w:after="30"/>
            </w:pPr>
            <w:r>
              <w:rPr>
                <w:color w:val="262626"/>
                <w:sz w:val="17"/>
              </w:rPr>
              <w:t>0.5260</w:t>
            </w:r>
          </w:p>
        </w:tc>
        <w:tc>
          <w:tcPr>
            <w:tcW w:type="dxa" w:w="1950"/>
            <w:shd w:fill="FFFFFF"/>
          </w:tcPr>
          <w:p>
            <w:pPr>
              <w:spacing w:before="30" w:after="30"/>
            </w:pPr>
            <w:r>
              <w:rPr>
                <w:color w:val="262626"/>
                <w:sz w:val="17"/>
              </w:rPr>
              <w:t>p &gt; 0.05 (Not Sig)</w:t>
            </w:r>
          </w:p>
        </w:tc>
        <w:tc>
          <w:tcPr>
            <w:tcW w:type="dxa" w:w="1950"/>
            <w:shd w:fill="FFFFFF"/>
          </w:tcPr>
          <w:p>
            <w:pPr>
              <w:spacing w:before="30" w:after="30"/>
            </w:pPr>
            <w:r>
              <w:rPr>
                <w:color w:val="262626"/>
                <w:sz w:val="17"/>
              </w:rPr>
              <w:t>Discount importance operates independently</w:t>
            </w:r>
          </w:p>
        </w:tc>
      </w:tr>
    </w:tbl>
    <w:p>
      <w:pPr>
        <w:spacing w:before="40" w:after="120"/>
        <w:jc w:val="center"/>
      </w:pPr>
      <w:r>
        <w:rPr>
          <w:i/>
          <w:sz w:val="18"/>
        </w:rPr>
        <w:t>Table 9. Bivariate correlation significance testing across core constructs (N = 222 trials).</w:t>
      </w:r>
    </w:p>
    <w:p>
      <w:pPr>
        <w:keepNext/>
        <w:spacing w:before="180" w:after="60"/>
      </w:pPr>
      <w:r>
        <w:rPr>
          <w:rFonts w:ascii="Calibri" w:hAnsi="Calibri"/>
          <w:b/>
          <w:color w:val="2E75B6"/>
          <w:sz w:val="24"/>
        </w:rPr>
        <w:t>4.7 Statistical Interpretation &amp; Inferential Testing</w:t>
      </w:r>
    </w:p>
    <w:p>
      <w:pPr>
        <w:spacing w:before="0" w:after="80"/>
      </w:pPr>
      <w:r>
        <w:rPr>
          <w:rFonts w:ascii="Calibri" w:hAnsi="Calibri"/>
          <w:color w:val="262626"/>
          <w:sz w:val="21"/>
        </w:rPr>
        <w:t>The analysis combines descriptive summaries with formal association measures and inferential tests. The principal rating relationships are modest in magnitude in the dataset; therefore, the safest interpretation is that consumer attitudes are related only to the extent indicated by their observed empirical coefficients. No causal claim is supported by these correlations alone.</w:t>
      </w:r>
    </w:p>
    <w:p>
      <w:pPr>
        <w:spacing w:before="0" w:after="80"/>
      </w:pPr>
      <w:r>
        <w:rPr>
          <w:rFonts w:ascii="Calibri" w:hAnsi="Calibri"/>
          <w:color w:val="262626"/>
          <w:sz w:val="21"/>
        </w:rPr>
        <w:t>For categorical comparisons, chi-square tests require adequate expected cell counts. Where cells are sparse, results are treated as exploratory and evaluated alongside effect sizes and category frequencies. For the within-subjects promotional experiment (N = 74 respondents, 222 repeated trials across Control, Immediate Discount, and Cashback), non-parametric repeated-measures testing constitutes the primary statistical framework:</w:t>
      </w:r>
    </w:p>
    <w:p>
      <w:pPr>
        <w:spacing w:before="20" w:after="50"/>
        <w:ind w:left="288"/>
      </w:pPr>
      <w:r>
        <w:rPr>
          <w:b/>
          <w:color w:val="1F4E79"/>
        </w:rPr>
        <w:t xml:space="preserve">1. Repeated-Measures Friedman Test: </w:t>
      </w:r>
      <w:r>
        <w:rPr>
          <w:color w:val="262626"/>
        </w:rPr>
        <w:t>A Friedman test across the three repeated experimental conditions revealed highly significant differences in purchase intention (Chi-square = 84.77, df = 2, p = 3.91e-19), decisively rejecting the null hypothesis and supporting Hypothesis 1.</w:t>
      </w:r>
    </w:p>
    <w:p>
      <w:pPr>
        <w:spacing w:before="20" w:after="50"/>
        <w:ind w:left="288"/>
      </w:pPr>
      <w:r>
        <w:rPr>
          <w:b/>
          <w:color w:val="1F4E79"/>
        </w:rPr>
        <w:t xml:space="preserve">2. Post-Hoc Pairwise Wilcoxon Tests: </w:t>
      </w:r>
      <w:r>
        <w:rPr>
          <w:color w:val="262626"/>
        </w:rPr>
        <w:t>Post-hoc pairwise Wilcoxon signed-rank tests with Holm-Bonferroni adjustment showed that Immediate Discount significantly exceeded Control (Z = 6.42, p = 1.34e-10) and Cashback significantly exceeded Control (Z = 5.64, p = 1.76e-8). While purchase intention between discount and cashback did not differ significantly (Z = 1.29, p = 0.198), value-for-money confidence was significantly higher for immediate discounts (Z = 2.99, p = 0.0028), supporting Hypothesis 2.</w:t>
      </w:r>
    </w:p>
    <w:p>
      <w:pPr>
        <w:spacing w:before="20" w:after="50"/>
        <w:ind w:left="288"/>
      </w:pPr>
      <w:r>
        <w:rPr>
          <w:b/>
          <w:color w:val="1F4E79"/>
        </w:rPr>
        <w:t xml:space="preserve">3. Subgroup Comparisons: </w:t>
      </w:r>
      <w:r>
        <w:rPr>
          <w:color w:val="262626"/>
        </w:rPr>
        <w:t>Mann-Whitney U tests showed ad clickers exhibited higher ad trust (Mean 2.58 vs 2.17, U = 547.5, p = 0.076) and significantly higher historical ad purchase rates (Chi-square = 21.05, p = 0.000027), supporting Hypothesis 4.</w:t>
      </w:r>
    </w:p>
    <w:p>
      <w:pPr>
        <w:spacing w:before="20" w:after="50"/>
        <w:ind w:left="288"/>
      </w:pPr>
      <w:r>
        <w:rPr>
          <w:b/>
          <w:color w:val="1F4E79"/>
        </w:rPr>
        <w:t xml:space="preserve">4. Chi-Square Independence Test: </w:t>
      </w:r>
      <w:r>
        <w:rPr>
          <w:color w:val="262626"/>
        </w:rPr>
        <w:t>A Chi-square test of independence between age cohort and preferred promotion yielded Chi-square = 2.44 (p = 0.965), showing consistent discount preferences across all age cohorts.</w:t>
      </w:r>
    </w:p>
    <w:p>
      <w:pPr>
        <w:keepNext/>
        <w:spacing w:before="180" w:after="60"/>
      </w:pPr>
      <w:r>
        <w:rPr>
          <w:rFonts w:ascii="Calibri" w:hAnsi="Calibri"/>
          <w:b/>
          <w:color w:val="2E75B6"/>
          <w:sz w:val="24"/>
        </w:rPr>
        <w:t>4.8 Multivariable Regression Modeling of Purchase Drivers</w:t>
      </w:r>
    </w:p>
    <w:p>
      <w:pPr>
        <w:spacing w:before="0" w:after="80"/>
      </w:pPr>
      <w:r>
        <w:rPr>
          <w:rFonts w:ascii="Calibri" w:hAnsi="Calibri"/>
          <w:color w:val="262626"/>
          <w:sz w:val="21"/>
        </w:rPr>
        <w:t>An Ordinary Least Squares (OLS) regression model was estimated predicting trial purchase intention (N = 222, R-squared = 0.132, F = 8.27, p &lt; 0.0001). Table 10 and Figure 9 summarize the regression model results.</w:t>
      </w:r>
    </w:p>
    <w:tbl>
      <w:tblPr>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1950"/>
            <w:shd w:fill="1F4E79"/>
          </w:tcPr>
          <w:p>
            <w:pPr>
              <w:spacing w:before="40" w:after="40"/>
            </w:pPr>
            <w:r>
              <w:rPr>
                <w:b/>
                <w:color w:val="FFFFFF"/>
                <w:sz w:val="17"/>
              </w:rPr>
              <w:t>Independent Predictor Variable</w:t>
            </w:r>
          </w:p>
        </w:tc>
        <w:tc>
          <w:tcPr>
            <w:tcW w:type="dxa" w:w="1950"/>
            <w:shd w:fill="1F4E79"/>
          </w:tcPr>
          <w:p>
            <w:pPr>
              <w:spacing w:before="40" w:after="40"/>
            </w:pPr>
            <w:r>
              <w:rPr>
                <w:b/>
                <w:color w:val="FFFFFF"/>
                <w:sz w:val="17"/>
              </w:rPr>
              <w:t>Coefficient (B)</w:t>
            </w:r>
          </w:p>
        </w:tc>
        <w:tc>
          <w:tcPr>
            <w:tcW w:type="dxa" w:w="1950"/>
            <w:shd w:fill="1F4E79"/>
          </w:tcPr>
          <w:p>
            <w:pPr>
              <w:spacing w:before="40" w:after="40"/>
            </w:pPr>
            <w:r>
              <w:rPr>
                <w:b/>
                <w:color w:val="FFFFFF"/>
                <w:sz w:val="17"/>
              </w:rPr>
              <w:t>Std Error</w:t>
            </w:r>
          </w:p>
        </w:tc>
        <w:tc>
          <w:tcPr>
            <w:tcW w:type="dxa" w:w="1950"/>
            <w:shd w:fill="1F4E79"/>
          </w:tcPr>
          <w:p>
            <w:pPr>
              <w:spacing w:before="40" w:after="40"/>
            </w:pPr>
            <w:r>
              <w:rPr>
                <w:b/>
                <w:color w:val="FFFFFF"/>
                <w:sz w:val="17"/>
              </w:rPr>
              <w:t>t-statistic</w:t>
            </w:r>
          </w:p>
        </w:tc>
        <w:tc>
          <w:tcPr>
            <w:tcW w:type="dxa" w:w="1950"/>
            <w:shd w:fill="1F4E79"/>
          </w:tcPr>
          <w:p>
            <w:pPr>
              <w:spacing w:before="40" w:after="40"/>
            </w:pPr>
            <w:r>
              <w:rPr>
                <w:b/>
                <w:color w:val="FFFFFF"/>
                <w:sz w:val="17"/>
              </w:rPr>
              <w:t>p-value</w:t>
            </w:r>
          </w:p>
        </w:tc>
      </w:tr>
      <w:tr>
        <w:trPr>
          <w:cantSplit/>
        </w:trPr>
        <w:tc>
          <w:tcPr>
            <w:tcW w:type="dxa" w:w="1950"/>
            <w:shd w:fill="F9FBFD"/>
          </w:tcPr>
          <w:p>
            <w:pPr>
              <w:spacing w:before="30" w:after="30"/>
            </w:pPr>
            <w:r>
              <w:rPr>
                <w:color w:val="262626"/>
                <w:sz w:val="17"/>
              </w:rPr>
              <w:t>Intercept</w:t>
            </w:r>
          </w:p>
        </w:tc>
        <w:tc>
          <w:tcPr>
            <w:tcW w:type="dxa" w:w="1950"/>
            <w:shd w:fill="F9FBFD"/>
          </w:tcPr>
          <w:p>
            <w:pPr>
              <w:spacing w:before="30" w:after="30"/>
            </w:pPr>
            <w:r>
              <w:rPr>
                <w:color w:val="262626"/>
                <w:sz w:val="17"/>
              </w:rPr>
              <w:t>1.284</w:t>
            </w:r>
          </w:p>
        </w:tc>
        <w:tc>
          <w:tcPr>
            <w:tcW w:type="dxa" w:w="1950"/>
            <w:shd w:fill="F9FBFD"/>
          </w:tcPr>
          <w:p>
            <w:pPr>
              <w:spacing w:before="30" w:after="30"/>
            </w:pPr>
            <w:r>
              <w:rPr>
                <w:color w:val="262626"/>
                <w:sz w:val="17"/>
              </w:rPr>
              <w:t>0.521</w:t>
            </w:r>
          </w:p>
        </w:tc>
        <w:tc>
          <w:tcPr>
            <w:tcW w:type="dxa" w:w="1950"/>
            <w:shd w:fill="F9FBFD"/>
          </w:tcPr>
          <w:p>
            <w:pPr>
              <w:spacing w:before="30" w:after="30"/>
            </w:pPr>
            <w:r>
              <w:rPr>
                <w:color w:val="262626"/>
                <w:sz w:val="17"/>
              </w:rPr>
              <w:t>+2.46</w:t>
            </w:r>
          </w:p>
        </w:tc>
        <w:tc>
          <w:tcPr>
            <w:tcW w:type="dxa" w:w="1950"/>
            <w:shd w:fill="F9FBFD"/>
          </w:tcPr>
          <w:p>
            <w:pPr>
              <w:spacing w:before="30" w:after="30"/>
            </w:pPr>
            <w:r>
              <w:rPr>
                <w:color w:val="262626"/>
                <w:sz w:val="17"/>
              </w:rPr>
              <w:t>0.0145 *</w:t>
            </w:r>
          </w:p>
        </w:tc>
      </w:tr>
      <w:tr>
        <w:trPr>
          <w:cantSplit/>
        </w:trPr>
        <w:tc>
          <w:tcPr>
            <w:tcW w:type="dxa" w:w="1950"/>
            <w:shd w:fill="FFFFFF"/>
          </w:tcPr>
          <w:p>
            <w:pPr>
              <w:spacing w:before="30" w:after="30"/>
            </w:pPr>
            <w:r>
              <w:rPr>
                <w:color w:val="262626"/>
                <w:sz w:val="17"/>
              </w:rPr>
              <w:t>Immediate Discount Scenario Dummy</w:t>
            </w:r>
          </w:p>
        </w:tc>
        <w:tc>
          <w:tcPr>
            <w:tcW w:type="dxa" w:w="1950"/>
            <w:shd w:fill="FFFFFF"/>
          </w:tcPr>
          <w:p>
            <w:pPr>
              <w:spacing w:before="30" w:after="30"/>
            </w:pPr>
            <w:r>
              <w:rPr>
                <w:color w:val="262626"/>
                <w:sz w:val="17"/>
              </w:rPr>
              <w:t>+0.905</w:t>
            </w:r>
          </w:p>
        </w:tc>
        <w:tc>
          <w:tcPr>
            <w:tcW w:type="dxa" w:w="1950"/>
            <w:shd w:fill="FFFFFF"/>
          </w:tcPr>
          <w:p>
            <w:pPr>
              <w:spacing w:before="30" w:after="30"/>
            </w:pPr>
            <w:r>
              <w:rPr>
                <w:color w:val="262626"/>
                <w:sz w:val="17"/>
              </w:rPr>
              <w:t>0.163</w:t>
            </w:r>
          </w:p>
        </w:tc>
        <w:tc>
          <w:tcPr>
            <w:tcW w:type="dxa" w:w="1950"/>
            <w:shd w:fill="FFFFFF"/>
          </w:tcPr>
          <w:p>
            <w:pPr>
              <w:spacing w:before="30" w:after="30"/>
            </w:pPr>
            <w:r>
              <w:rPr>
                <w:color w:val="262626"/>
                <w:sz w:val="17"/>
              </w:rPr>
              <w:t>+5.55</w:t>
            </w:r>
          </w:p>
        </w:tc>
        <w:tc>
          <w:tcPr>
            <w:tcW w:type="dxa" w:w="1950"/>
            <w:shd w:fill="FFFFFF"/>
          </w:tcPr>
          <w:p>
            <w:pPr>
              <w:spacing w:before="30" w:after="30"/>
            </w:pPr>
            <w:r>
              <w:rPr>
                <w:color w:val="262626"/>
                <w:sz w:val="17"/>
              </w:rPr>
              <w:t>&lt; 0.0001 ***</w:t>
            </w:r>
          </w:p>
        </w:tc>
      </w:tr>
      <w:tr>
        <w:trPr>
          <w:cantSplit/>
        </w:trPr>
        <w:tc>
          <w:tcPr>
            <w:tcW w:type="dxa" w:w="1950"/>
            <w:shd w:fill="F9FBFD"/>
          </w:tcPr>
          <w:p>
            <w:pPr>
              <w:spacing w:before="30" w:after="30"/>
            </w:pPr>
            <w:r>
              <w:rPr>
                <w:color w:val="262626"/>
                <w:sz w:val="17"/>
              </w:rPr>
              <w:t>Cashback Scenario Dummy</w:t>
            </w:r>
          </w:p>
        </w:tc>
        <w:tc>
          <w:tcPr>
            <w:tcW w:type="dxa" w:w="1950"/>
            <w:shd w:fill="F9FBFD"/>
          </w:tcPr>
          <w:p>
            <w:pPr>
              <w:spacing w:before="30" w:after="30"/>
            </w:pPr>
            <w:r>
              <w:rPr>
                <w:color w:val="262626"/>
                <w:sz w:val="17"/>
              </w:rPr>
              <w:t>+0.811</w:t>
            </w:r>
          </w:p>
        </w:tc>
        <w:tc>
          <w:tcPr>
            <w:tcW w:type="dxa" w:w="1950"/>
            <w:shd w:fill="F9FBFD"/>
          </w:tcPr>
          <w:p>
            <w:pPr>
              <w:spacing w:before="30" w:after="30"/>
            </w:pPr>
            <w:r>
              <w:rPr>
                <w:color w:val="262626"/>
                <w:sz w:val="17"/>
              </w:rPr>
              <w:t>0.163</w:t>
            </w:r>
          </w:p>
        </w:tc>
        <w:tc>
          <w:tcPr>
            <w:tcW w:type="dxa" w:w="1950"/>
            <w:shd w:fill="F9FBFD"/>
          </w:tcPr>
          <w:p>
            <w:pPr>
              <w:spacing w:before="30" w:after="30"/>
            </w:pPr>
            <w:r>
              <w:rPr>
                <w:color w:val="262626"/>
                <w:sz w:val="17"/>
              </w:rPr>
              <w:t>+4.98</w:t>
            </w:r>
          </w:p>
        </w:tc>
        <w:tc>
          <w:tcPr>
            <w:tcW w:type="dxa" w:w="1950"/>
            <w:shd w:fill="F9FBFD"/>
          </w:tcPr>
          <w:p>
            <w:pPr>
              <w:spacing w:before="30" w:after="30"/>
            </w:pPr>
            <w:r>
              <w:rPr>
                <w:color w:val="262626"/>
                <w:sz w:val="17"/>
              </w:rPr>
              <w:t>&lt; 0.0001 ***</w:t>
            </w:r>
          </w:p>
        </w:tc>
      </w:tr>
      <w:tr>
        <w:trPr>
          <w:cantSplit/>
        </w:trPr>
        <w:tc>
          <w:tcPr>
            <w:tcW w:type="dxa" w:w="1950"/>
            <w:shd w:fill="FFFFFF"/>
          </w:tcPr>
          <w:p>
            <w:pPr>
              <w:spacing w:before="30" w:after="30"/>
            </w:pPr>
            <w:r>
              <w:rPr>
                <w:color w:val="262626"/>
                <w:sz w:val="17"/>
              </w:rPr>
              <w:t>Baseline Ad Trust</w:t>
            </w:r>
          </w:p>
        </w:tc>
        <w:tc>
          <w:tcPr>
            <w:tcW w:type="dxa" w:w="1950"/>
            <w:shd w:fill="FFFFFF"/>
          </w:tcPr>
          <w:p>
            <w:pPr>
              <w:spacing w:before="30" w:after="30"/>
            </w:pPr>
            <w:r>
              <w:rPr>
                <w:color w:val="262626"/>
                <w:sz w:val="17"/>
              </w:rPr>
              <w:t>+0.142</w:t>
            </w:r>
          </w:p>
        </w:tc>
        <w:tc>
          <w:tcPr>
            <w:tcW w:type="dxa" w:w="1950"/>
            <w:shd w:fill="FFFFFF"/>
          </w:tcPr>
          <w:p>
            <w:pPr>
              <w:spacing w:before="30" w:after="30"/>
            </w:pPr>
            <w:r>
              <w:rPr>
                <w:color w:val="262626"/>
                <w:sz w:val="17"/>
              </w:rPr>
              <w:t>0.063</w:t>
            </w:r>
          </w:p>
        </w:tc>
        <w:tc>
          <w:tcPr>
            <w:tcW w:type="dxa" w:w="1950"/>
            <w:shd w:fill="FFFFFF"/>
          </w:tcPr>
          <w:p>
            <w:pPr>
              <w:spacing w:before="30" w:after="30"/>
            </w:pPr>
            <w:r>
              <w:rPr>
                <w:color w:val="262626"/>
                <w:sz w:val="17"/>
              </w:rPr>
              <w:t>+2.25</w:t>
            </w:r>
          </w:p>
        </w:tc>
        <w:tc>
          <w:tcPr>
            <w:tcW w:type="dxa" w:w="1950"/>
            <w:shd w:fill="FFFFFF"/>
          </w:tcPr>
          <w:p>
            <w:pPr>
              <w:spacing w:before="30" w:after="30"/>
            </w:pPr>
            <w:r>
              <w:rPr>
                <w:color w:val="262626"/>
                <w:sz w:val="17"/>
              </w:rPr>
              <w:t>0.0253 *</w:t>
            </w:r>
          </w:p>
        </w:tc>
      </w:tr>
      <w:tr>
        <w:trPr>
          <w:cantSplit/>
        </w:trPr>
        <w:tc>
          <w:tcPr>
            <w:tcW w:type="dxa" w:w="1950"/>
            <w:shd w:fill="F9FBFD"/>
          </w:tcPr>
          <w:p>
            <w:pPr>
              <w:spacing w:before="30" w:after="30"/>
            </w:pPr>
            <w:r>
              <w:rPr>
                <w:color w:val="262626"/>
                <w:sz w:val="17"/>
              </w:rPr>
              <w:t>Discount Importance</w:t>
            </w:r>
          </w:p>
        </w:tc>
        <w:tc>
          <w:tcPr>
            <w:tcW w:type="dxa" w:w="1950"/>
            <w:shd w:fill="F9FBFD"/>
          </w:tcPr>
          <w:p>
            <w:pPr>
              <w:spacing w:before="30" w:after="30"/>
            </w:pPr>
            <w:r>
              <w:rPr>
                <w:color w:val="262626"/>
                <w:sz w:val="17"/>
              </w:rPr>
              <w:t>+0.198</w:t>
            </w:r>
          </w:p>
        </w:tc>
        <w:tc>
          <w:tcPr>
            <w:tcW w:type="dxa" w:w="1950"/>
            <w:shd w:fill="F9FBFD"/>
          </w:tcPr>
          <w:p>
            <w:pPr>
              <w:spacing w:before="30" w:after="30"/>
            </w:pPr>
            <w:r>
              <w:rPr>
                <w:color w:val="262626"/>
                <w:sz w:val="17"/>
              </w:rPr>
              <w:t>0.072</w:t>
            </w:r>
          </w:p>
        </w:tc>
        <w:tc>
          <w:tcPr>
            <w:tcW w:type="dxa" w:w="1950"/>
            <w:shd w:fill="F9FBFD"/>
          </w:tcPr>
          <w:p>
            <w:pPr>
              <w:spacing w:before="30" w:after="30"/>
            </w:pPr>
            <w:r>
              <w:rPr>
                <w:color w:val="262626"/>
                <w:sz w:val="17"/>
              </w:rPr>
              <w:t>+2.75</w:t>
            </w:r>
          </w:p>
        </w:tc>
        <w:tc>
          <w:tcPr>
            <w:tcW w:type="dxa" w:w="1950"/>
            <w:shd w:fill="F9FBFD"/>
          </w:tcPr>
          <w:p>
            <w:pPr>
              <w:spacing w:before="30" w:after="30"/>
            </w:pPr>
            <w:r>
              <w:rPr>
                <w:color w:val="262626"/>
                <w:sz w:val="17"/>
              </w:rPr>
              <w:t>0.0065 **</w:t>
            </w:r>
          </w:p>
        </w:tc>
      </w:tr>
    </w:tbl>
    <w:p>
      <w:pPr>
        <w:spacing w:before="40" w:after="120"/>
        <w:jc w:val="center"/>
      </w:pPr>
      <w:r>
        <w:rPr>
          <w:i/>
          <w:sz w:val="18"/>
        </w:rPr>
        <w:t>Table 10. Multivariable OLS regression model predicting purchase intention (R-squared = 0.132, p &lt; 0.0001).</w:t>
      </w:r>
    </w:p>
    <w:p>
      <w:pPr>
        <w:keepNext/>
        <w:spacing w:before="120" w:after="40"/>
        <w:jc w:val="center"/>
      </w:pPr>
      <w:r>
        <w:drawing>
          <wp:inline xmlns:a="http://schemas.openxmlformats.org/drawingml/2006/main" xmlns:pic="http://schemas.openxmlformats.org/drawingml/2006/picture">
            <wp:extent cx="3474720" cy="1786237"/>
            <wp:docPr id="10" name="Picture 10"/>
            <wp:cNvGraphicFramePr>
              <a:graphicFrameLocks noChangeAspect="1"/>
            </wp:cNvGraphicFramePr>
            <a:graphic>
              <a:graphicData uri="http://schemas.openxmlformats.org/drawingml/2006/picture">
                <pic:pic>
                  <pic:nvPicPr>
                    <pic:cNvPr id="0" name="fig9_regression_coefficients.png"/>
                    <pic:cNvPicPr/>
                  </pic:nvPicPr>
                  <pic:blipFill>
                    <a:blip r:embed="rId20"/>
                    <a:stretch>
                      <a:fillRect/>
                    </a:stretch>
                  </pic:blipFill>
                  <pic:spPr>
                    <a:xfrm>
                      <a:off x="0" y="0"/>
                      <a:ext cx="3474720" cy="1786237"/>
                    </a:xfrm>
                    <a:prstGeom prst="rect"/>
                  </pic:spPr>
                </pic:pic>
              </a:graphicData>
            </a:graphic>
          </wp:inline>
        </w:drawing>
      </w:r>
    </w:p>
    <w:p>
      <w:pPr>
        <w:spacing w:before="20" w:after="120"/>
        <w:jc w:val="center"/>
      </w:pPr>
      <w:r>
        <w:rPr>
          <w:rFonts w:ascii="Calibri" w:hAnsi="Calibri"/>
          <w:b/>
          <w:color w:val="1F4E79"/>
          <w:sz w:val="19"/>
        </w:rPr>
        <w:t>Figure 9. Multivariable regression coefficients predicting purchase intention.</w:t>
      </w:r>
    </w:p>
    <w:p>
      <w:pPr>
        <w:keepNext/>
        <w:spacing w:before="120" w:after="40"/>
      </w:pPr>
      <w:r>
        <w:rPr>
          <w:rFonts w:ascii="Calibri" w:hAnsi="Calibri"/>
          <w:b/>
          <w:color w:val="1F4E79"/>
          <w:sz w:val="26"/>
        </w:rPr>
        <w:t>5. Conclusion</w:t>
      </w:r>
    </w:p>
    <w:p>
      <w:pPr>
        <w:keepNext/>
        <w:spacing w:before="180" w:after="60"/>
      </w:pPr>
      <w:r>
        <w:rPr>
          <w:rFonts w:ascii="Calibri" w:hAnsi="Calibri"/>
          <w:b/>
          <w:color w:val="2E75B6"/>
          <w:sz w:val="24"/>
        </w:rPr>
        <w:t>5.1 Summary of Key Findings</w:t>
      </w:r>
    </w:p>
    <w:p>
      <w:pPr>
        <w:spacing w:before="0" w:after="80"/>
      </w:pPr>
      <w:r>
        <w:rPr>
          <w:rFonts w:ascii="Calibri" w:hAnsi="Calibri"/>
          <w:color w:val="262626"/>
          <w:sz w:val="21"/>
        </w:rPr>
        <w:t>This project provides a comprehensive profile of consumer digital advertising behavior, advertising trust, discount importance, and promotional framing preferences across 74 completed respondents (222 experimental trial evaluations). The rating distributions, Spearman correlation matrix, box plots, cross-tabulations, and within-subject repeated measures provide a clear empirical assessment without treating associations as causal effects:</w:t>
      </w:r>
    </w:p>
    <w:p>
      <w:pPr>
        <w:spacing w:before="20" w:after="50"/>
        <w:ind w:left="288"/>
      </w:pPr>
      <w:r>
        <w:rPr>
          <w:b/>
          <w:color w:val="1F4E79"/>
        </w:rPr>
        <w:t xml:space="preserve">• Decisive Promotional Lift: </w:t>
      </w:r>
      <w:r>
        <w:rPr>
          <w:color w:val="262626"/>
        </w:rPr>
        <w:t>Promotional incentives generate massive lifts in consumer purchase intention (+0.90 Likert points for discounts, +0.81 for cashback over control, p &lt; 0.0001).</w:t>
      </w:r>
    </w:p>
    <w:p>
      <w:pPr>
        <w:spacing w:before="20" w:after="50"/>
        <w:ind w:left="288"/>
      </w:pPr>
      <w:r>
        <w:rPr>
          <w:b/>
          <w:color w:val="1F4E79"/>
        </w:rPr>
        <w:t xml:space="preserve">• Discount Certainty Advantage: </w:t>
      </w:r>
      <w:r>
        <w:rPr>
          <w:color w:val="262626"/>
        </w:rPr>
        <w:t>Immediate discounts provide superior value-for-money certainty (3.64 vs 3.27, p = 0.0028) by eliminating the redemption effort and delayed payout friction associated with cashback.</w:t>
      </w:r>
    </w:p>
    <w:p>
      <w:pPr>
        <w:spacing w:before="20" w:after="50"/>
        <w:ind w:left="288"/>
      </w:pPr>
      <w:r>
        <w:rPr>
          <w:b/>
          <w:color w:val="1F4E79"/>
        </w:rPr>
        <w:t xml:space="preserve">• Channel Specificity: </w:t>
      </w:r>
      <w:r>
        <w:rPr>
          <w:color w:val="262626"/>
        </w:rPr>
        <w:t>Instagram (32.4%) and E-commerce search (28.4%) serve as primary discovery gateways, with discovery shifting toward search engines as consumers age.</w:t>
      </w:r>
    </w:p>
    <w:p>
      <w:pPr>
        <w:spacing w:before="20" w:after="50"/>
        <w:ind w:left="288"/>
      </w:pPr>
      <w:r>
        <w:rPr>
          <w:b/>
          <w:color w:val="1F4E79"/>
        </w:rPr>
        <w:t xml:space="preserve">• Receptivity Deficits: </w:t>
      </w:r>
      <w:r>
        <w:rPr>
          <w:color w:val="262626"/>
        </w:rPr>
        <w:t>Over 67% of ad avoidance stems from perceived irrelevance (41.9%) and distrust (25.7%), confirming that creative authenticity outweighs ad-blocking software.</w:t>
      </w:r>
    </w:p>
    <w:p>
      <w:pPr>
        <w:keepNext/>
        <w:spacing w:before="180" w:after="60"/>
      </w:pPr>
      <w:r>
        <w:rPr>
          <w:rFonts w:ascii="Calibri" w:hAnsi="Calibri"/>
          <w:b/>
          <w:color w:val="2E75B6"/>
          <w:sz w:val="24"/>
        </w:rPr>
        <w:t>5.2 Strategic Marketing Recommendations</w:t>
      </w:r>
    </w:p>
    <w:p>
      <w:pPr>
        <w:spacing w:before="0" w:after="80"/>
      </w:pPr>
      <w:r>
        <w:rPr>
          <w:rFonts w:ascii="Calibri" w:hAnsi="Calibri"/>
          <w:color w:val="262626"/>
          <w:sz w:val="21"/>
        </w:rPr>
        <w:t>Based on the empirical findings and survey evidence, marketing teams should implement the following recommendations:</w:t>
      </w:r>
    </w:p>
    <w:p>
      <w:pPr>
        <w:spacing w:before="20" w:after="50"/>
        <w:ind w:left="288"/>
      </w:pPr>
      <w:r>
        <w:rPr>
          <w:b/>
          <w:color w:val="1F4E79"/>
        </w:rPr>
        <w:t xml:space="preserve">• Improve Advertisement Transparency: </w:t>
      </w:r>
      <w:r>
        <w:rPr>
          <w:color w:val="262626"/>
        </w:rPr>
        <w:t>Show accurate product specifications, total price, warranty and return details, and reliable review links so consumers can independently verify claims and overcome skepticism.</w:t>
      </w:r>
    </w:p>
    <w:p>
      <w:pPr>
        <w:spacing w:before="20" w:after="50"/>
        <w:ind w:left="288"/>
      </w:pPr>
      <w:r>
        <w:rPr>
          <w:b/>
          <w:color w:val="1F4E79"/>
        </w:rPr>
        <w:t xml:space="preserve">• Prioritize Price Certainty: </w:t>
      </w:r>
      <w:r>
        <w:rPr>
          <w:color w:val="262626"/>
        </w:rPr>
        <w:t>Deploy immediate upfront discounts for acquisition campaigns where customer value certainty is paramount, as price certainty reduces initial checkout hesitation.</w:t>
      </w:r>
    </w:p>
    <w:p>
      <w:pPr>
        <w:spacing w:before="20" w:after="50"/>
        <w:ind w:left="288"/>
      </w:pPr>
      <w:r>
        <w:rPr>
          <w:b/>
          <w:color w:val="1F4E79"/>
        </w:rPr>
        <w:t xml:space="preserve">• Communicate Cashback Clearly: </w:t>
      </w:r>
      <w:r>
        <w:rPr>
          <w:color w:val="262626"/>
        </w:rPr>
        <w:t>Show the checkout amount, cashback amount, delivery timing, and qualifying conditions explicitly. In this study, the immediate discount reduces the upfront payment to Rs 800, whereas cashback requires paying Rs 1,000 upfront.</w:t>
      </w:r>
    </w:p>
    <w:p>
      <w:pPr>
        <w:spacing w:before="20" w:after="50"/>
        <w:ind w:left="288"/>
      </w:pPr>
      <w:r>
        <w:rPr>
          <w:b/>
          <w:color w:val="1F4E79"/>
        </w:rPr>
        <w:t xml:space="preserve">• Use Segmentation Cautiously: </w:t>
      </w:r>
      <w:r>
        <w:rPr>
          <w:color w:val="262626"/>
        </w:rPr>
        <w:t>Age and platform patterns can inform future campaign hypotheses, but smaller subgroup counts require caution before making sweeping claims across all demographic groups.</w:t>
      </w:r>
    </w:p>
    <w:p>
      <w:pPr>
        <w:spacing w:before="20" w:after="50"/>
        <w:ind w:left="288"/>
      </w:pPr>
      <w:r>
        <w:rPr>
          <w:b/>
          <w:color w:val="1F4E79"/>
        </w:rPr>
        <w:t xml:space="preserve">• Measure Real Outcomes in Future Work: </w:t>
      </w:r>
      <w:r>
        <w:rPr>
          <w:color w:val="262626"/>
        </w:rPr>
        <w:t>Where feasible and privacy-compliant, collect verified clicks, purchases, returns, and revenue alongside stated psychometric intentions.</w:t>
      </w:r>
    </w:p>
    <w:p>
      <w:pPr>
        <w:spacing w:before="20" w:after="50"/>
        <w:ind w:left="288"/>
      </w:pPr>
      <w:r>
        <w:rPr>
          <w:b/>
          <w:color w:val="1F4E79"/>
        </w:rPr>
        <w:t xml:space="preserve">• Improve Survey Completeness: </w:t>
      </w:r>
      <w:r>
        <w:rPr>
          <w:color w:val="262626"/>
        </w:rPr>
        <w:t>Keep required survey questions limited to essential fields, while offering clear neutral or 'Prefer not to answer' choices to minimize abandonment.</w:t>
      </w:r>
    </w:p>
    <w:p>
      <w:pPr>
        <w:keepNext/>
        <w:spacing w:before="180" w:after="60"/>
      </w:pPr>
      <w:r>
        <w:rPr>
          <w:rFonts w:ascii="Calibri" w:hAnsi="Calibri"/>
          <w:b/>
          <w:color w:val="2E75B6"/>
          <w:sz w:val="24"/>
        </w:rPr>
        <w:t>5.3 Methodological Limitations &amp; Future Research</w:t>
      </w:r>
    </w:p>
    <w:p>
      <w:pPr>
        <w:spacing w:before="0" w:after="80"/>
      </w:pPr>
      <w:r>
        <w:rPr>
          <w:rFonts w:ascii="Calibri" w:hAnsi="Calibri"/>
          <w:color w:val="262626"/>
          <w:sz w:val="21"/>
        </w:rPr>
        <w:t>To ensure scientific rigor, several methodological boundaries must be recognized:</w:t>
      </w:r>
    </w:p>
    <w:p>
      <w:pPr>
        <w:spacing w:before="20" w:after="50"/>
        <w:ind w:left="288"/>
      </w:pPr>
      <w:r>
        <w:rPr>
          <w:b/>
          <w:color w:val="1F4E79"/>
        </w:rPr>
        <w:t xml:space="preserve">• Sample Size &amp; Subgroups: </w:t>
      </w:r>
      <w:r>
        <w:rPr>
          <w:color w:val="262626"/>
        </w:rPr>
        <w:t>The dataset contains 74 completed respondents (80 recruited); subgroup percentages can have higher variability and may not fully represent the wider population.</w:t>
      </w:r>
    </w:p>
    <w:p>
      <w:pPr>
        <w:spacing w:before="20" w:after="50"/>
        <w:ind w:left="288"/>
      </w:pPr>
      <w:r>
        <w:rPr>
          <w:b/>
          <w:color w:val="1F4E79"/>
        </w:rPr>
        <w:t xml:space="preserve">• Sampling Bias: </w:t>
      </w:r>
      <w:r>
        <w:rPr>
          <w:color w:val="262626"/>
        </w:rPr>
        <w:t>The digital recruitment method may over-represent particular ages (18–22), platforms (Instagram), or consumer shopping habits.</w:t>
      </w:r>
    </w:p>
    <w:p>
      <w:pPr>
        <w:spacing w:before="20" w:after="50"/>
        <w:ind w:left="288"/>
      </w:pPr>
      <w:r>
        <w:rPr>
          <w:b/>
          <w:color w:val="1F4E79"/>
        </w:rPr>
        <w:t xml:space="preserve">• Self-Reported Answers: </w:t>
      </w:r>
      <w:r>
        <w:rPr>
          <w:color w:val="262626"/>
        </w:rPr>
        <w:t>Respondents may misremember past online behavior, and stated purchase intentions may differ from real-world buying behavior.</w:t>
      </w:r>
    </w:p>
    <w:p>
      <w:pPr>
        <w:spacing w:before="20" w:after="50"/>
        <w:ind w:left="288"/>
      </w:pPr>
      <w:r>
        <w:rPr>
          <w:b/>
          <w:color w:val="1F4E79"/>
        </w:rPr>
        <w:t xml:space="preserve">• Hypothetical Choices: </w:t>
      </w:r>
      <w:r>
        <w:rPr>
          <w:color w:val="262626"/>
        </w:rPr>
        <w:t>Rating an offer in an experimental vignette does not involve spending real money, so real-world risk calculations may differ.</w:t>
      </w:r>
    </w:p>
    <w:p>
      <w:pPr>
        <w:spacing w:before="20" w:after="50"/>
        <w:ind w:left="288"/>
      </w:pPr>
      <w:r>
        <w:rPr>
          <w:b/>
          <w:color w:val="1F4E79"/>
        </w:rPr>
        <w:t xml:space="preserve">• Offer Mechanics Differ: </w:t>
      </w:r>
      <w:r>
        <w:rPr>
          <w:color w:val="262626"/>
        </w:rPr>
        <w:t>Cashback and immediate discounts differ in upfront payment requirements and timing of financial benefit, which influences perceived value.</w:t>
      </w:r>
    </w:p>
    <w:p>
      <w:pPr>
        <w:spacing w:before="20" w:after="50"/>
        <w:ind w:left="288"/>
      </w:pPr>
      <w:r>
        <w:rPr>
          <w:b/>
          <w:color w:val="1F4E79"/>
        </w:rPr>
        <w:t xml:space="preserve">• Association is Not Causation: </w:t>
      </w:r>
      <w:r>
        <w:rPr>
          <w:color w:val="262626"/>
        </w:rPr>
        <w:t>Correlation and cross-tabulation demonstrate empirical associations, not causal proof that ad exposure or trust directly caused purchases.</w:t>
      </w:r>
    </w:p>
    <w:p>
      <w:pPr>
        <w:spacing w:before="20" w:after="50"/>
        <w:ind w:left="288"/>
      </w:pPr>
      <w:r>
        <w:rPr>
          <w:b/>
          <w:color w:val="1F4E79"/>
        </w:rPr>
        <w:t xml:space="preserve">• Generalization &amp; Scope: </w:t>
      </w:r>
      <w:r>
        <w:rPr>
          <w:color w:val="262626"/>
        </w:rPr>
        <w:t>Repeat the study across diverse product categories (groceries, electronics, luxury goods) with larger national consumer panels.</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80"/>
    </w:pPr>
    <w:rPr>
      <w:rFonts w:ascii="Calibri" w:hAnsi="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arketing-campaign-effectiveness-santosh.streamlit.app/" TargetMode="External"/><Relationship Id="rId10" Type="http://schemas.openxmlformats.org/officeDocument/2006/relationships/hyperlink" Target="https://github.com/santoshreddyg06/marketing-campaign-effectiveness"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