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7777777" w:rsidR="00D47811" w:rsidRDefault="00740EDF">
      <w:pPr>
        <w:rPr>
          <w:sz w:val="28"/>
          <w:szCs w:val="28"/>
        </w:rPr>
      </w:pPr>
      <w:r>
        <w:rPr>
          <w:sz w:val="28"/>
          <w:szCs w:val="28"/>
        </w:rPr>
        <w:t>Initial contact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77777777"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3E0744">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3E0744">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3E0744">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3E0744">
        <w:trPr>
          <w:trHeight w:val="377"/>
        </w:trPr>
        <w:tc>
          <w:tcPr>
            <w:tcW w:w="1855" w:type="dxa"/>
          </w:tcPr>
          <w:p w14:paraId="545B7409" w14:textId="77777777" w:rsidR="00D47811" w:rsidRDefault="00163C82">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3E0744">
        <w:trPr>
          <w:trHeight w:val="377"/>
        </w:trPr>
        <w:tc>
          <w:tcPr>
            <w:tcW w:w="1855" w:type="dxa"/>
          </w:tcPr>
          <w:p w14:paraId="21951824" w14:textId="77777777" w:rsidR="00D47811" w:rsidRDefault="00163C82">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163C82">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3E0744">
        <w:trPr>
          <w:trHeight w:val="941"/>
        </w:trPr>
        <w:tc>
          <w:tcPr>
            <w:tcW w:w="1855" w:type="dxa"/>
          </w:tcPr>
          <w:p w14:paraId="724C4EAB" w14:textId="77777777" w:rsidR="00D47811" w:rsidRDefault="00163C82">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3E0744">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3E0744">
        <w:trPr>
          <w:trHeight w:val="782"/>
        </w:trPr>
        <w:tc>
          <w:tcPr>
            <w:tcW w:w="1855" w:type="dxa"/>
          </w:tcPr>
          <w:p w14:paraId="29E84193" w14:textId="77777777" w:rsidR="00D47811" w:rsidRDefault="00163C82">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77777777" w:rsidR="00D47811" w:rsidRDefault="00D47811">
            <w:pPr>
              <w:rPr>
                <w:rFonts w:cs="Arial"/>
                <w:szCs w:val="24"/>
              </w:rPr>
            </w:pPr>
          </w:p>
        </w:tc>
        <w:tc>
          <w:tcPr>
            <w:tcW w:w="1688" w:type="dxa"/>
          </w:tcPr>
          <w:p w14:paraId="529C4571" w14:textId="77777777" w:rsidR="00D47811" w:rsidRDefault="00D47811">
            <w:pPr>
              <w:rPr>
                <w:rFonts w:cs="Arial"/>
                <w:szCs w:val="24"/>
              </w:rPr>
            </w:pPr>
          </w:p>
        </w:tc>
        <w:tc>
          <w:tcPr>
            <w:tcW w:w="1712" w:type="dxa"/>
          </w:tcPr>
          <w:p w14:paraId="5020EA13" w14:textId="77777777" w:rsidR="00D47811" w:rsidRDefault="00D47811">
            <w:pPr>
              <w:rPr>
                <w:rFonts w:cs="Arial"/>
                <w:szCs w:val="24"/>
              </w:rPr>
            </w:pPr>
          </w:p>
        </w:tc>
      </w:tr>
      <w:tr w:rsidR="00D47811" w14:paraId="205B48DA" w14:textId="77777777" w:rsidTr="003E0744">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3E0744">
        <w:trPr>
          <w:trHeight w:val="782"/>
        </w:trPr>
        <w:tc>
          <w:tcPr>
            <w:tcW w:w="1855" w:type="dxa"/>
          </w:tcPr>
          <w:p w14:paraId="6906A58A" w14:textId="77777777" w:rsidR="00D47811" w:rsidRDefault="00163C82">
            <w:hyperlink r:id="rId11">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77777777" w:rsidR="00D47811" w:rsidRDefault="00D47811">
            <w:pPr>
              <w:rPr>
                <w:rFonts w:cs="Arial"/>
                <w:szCs w:val="24"/>
              </w:rPr>
            </w:pPr>
          </w:p>
        </w:tc>
        <w:tc>
          <w:tcPr>
            <w:tcW w:w="1688" w:type="dxa"/>
          </w:tcPr>
          <w:p w14:paraId="5B19507F" w14:textId="77777777" w:rsidR="00D47811" w:rsidRDefault="00D47811">
            <w:pPr>
              <w:rPr>
                <w:rFonts w:cs="Arial"/>
                <w:szCs w:val="24"/>
              </w:rPr>
            </w:pPr>
          </w:p>
        </w:tc>
        <w:tc>
          <w:tcPr>
            <w:tcW w:w="1712" w:type="dxa"/>
          </w:tcPr>
          <w:p w14:paraId="75321125" w14:textId="77777777" w:rsidR="00D47811" w:rsidRDefault="00D47811">
            <w:pPr>
              <w:rPr>
                <w:rFonts w:cs="Arial"/>
                <w:szCs w:val="24"/>
              </w:rPr>
            </w:pPr>
          </w:p>
        </w:tc>
      </w:tr>
      <w:tr w:rsidR="00D47811" w14:paraId="2A485994" w14:textId="77777777" w:rsidTr="003E0744">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3E0744">
        <w:trPr>
          <w:trHeight w:val="1124"/>
        </w:trPr>
        <w:tc>
          <w:tcPr>
            <w:tcW w:w="1855" w:type="dxa"/>
          </w:tcPr>
          <w:p w14:paraId="34A13F15" w14:textId="77777777" w:rsidR="00D47811" w:rsidRDefault="00163C82">
            <w:pPr>
              <w:pStyle w:val="BodyText"/>
              <w:rPr>
                <w:rStyle w:val="Hyperlink"/>
                <w:color w:val="auto"/>
                <w:u w:val="none"/>
              </w:rPr>
            </w:pPr>
            <w:hyperlink r:id="rId12">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77777777" w:rsidR="00D47811" w:rsidRDefault="00D47811">
            <w:pPr>
              <w:rPr>
                <w:rFonts w:cs="Arial"/>
                <w:szCs w:val="24"/>
              </w:rPr>
            </w:pPr>
          </w:p>
        </w:tc>
        <w:tc>
          <w:tcPr>
            <w:tcW w:w="1688" w:type="dxa"/>
          </w:tcPr>
          <w:p w14:paraId="71FAB2BC" w14:textId="77777777" w:rsidR="00D47811" w:rsidRDefault="00D47811">
            <w:pPr>
              <w:rPr>
                <w:rFonts w:cs="Arial"/>
                <w:szCs w:val="24"/>
              </w:rPr>
            </w:pPr>
          </w:p>
        </w:tc>
        <w:tc>
          <w:tcPr>
            <w:tcW w:w="1712" w:type="dxa"/>
          </w:tcPr>
          <w:p w14:paraId="39A7CEDB" w14:textId="77777777" w:rsidR="00D47811" w:rsidRDefault="00D47811">
            <w:pPr>
              <w:rPr>
                <w:rFonts w:cs="Arial"/>
                <w:szCs w:val="24"/>
              </w:rPr>
            </w:pPr>
          </w:p>
        </w:tc>
      </w:tr>
      <w:tr w:rsidR="00D47811" w14:paraId="0F48F3D7" w14:textId="77777777" w:rsidTr="003E0744">
        <w:trPr>
          <w:trHeight w:val="764"/>
        </w:trPr>
        <w:tc>
          <w:tcPr>
            <w:tcW w:w="1855" w:type="dxa"/>
          </w:tcPr>
          <w:p w14:paraId="1D6D2666" w14:textId="77777777" w:rsidR="00D47811" w:rsidRDefault="00163C82">
            <w:pPr>
              <w:pStyle w:val="BodyText"/>
              <w:rPr>
                <w:rStyle w:val="Hyperlink"/>
                <w:color w:val="auto"/>
                <w:u w:val="none"/>
              </w:rPr>
            </w:pPr>
            <w:hyperlink r:id="rId13">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77777777" w:rsidR="00D47811" w:rsidRDefault="00D47811">
            <w:pPr>
              <w:rPr>
                <w:rFonts w:cs="Arial"/>
                <w:szCs w:val="24"/>
              </w:rPr>
            </w:pPr>
          </w:p>
        </w:tc>
        <w:tc>
          <w:tcPr>
            <w:tcW w:w="1688" w:type="dxa"/>
          </w:tcPr>
          <w:p w14:paraId="7825B890" w14:textId="77777777" w:rsidR="00D47811" w:rsidRDefault="00D47811">
            <w:pPr>
              <w:rPr>
                <w:rFonts w:cs="Arial"/>
                <w:szCs w:val="24"/>
              </w:rPr>
            </w:pPr>
          </w:p>
        </w:tc>
        <w:tc>
          <w:tcPr>
            <w:tcW w:w="1712" w:type="dxa"/>
          </w:tcPr>
          <w:p w14:paraId="5A266DA3" w14:textId="77777777" w:rsidR="00D47811" w:rsidRDefault="00D47811">
            <w:pPr>
              <w:rPr>
                <w:rFonts w:cs="Arial"/>
                <w:szCs w:val="24"/>
              </w:rPr>
            </w:pPr>
          </w:p>
        </w:tc>
      </w:tr>
      <w:tr w:rsidR="00D47811" w14:paraId="5FF4C297" w14:textId="77777777" w:rsidTr="003E0744">
        <w:tc>
          <w:tcPr>
            <w:tcW w:w="1855" w:type="dxa"/>
          </w:tcPr>
          <w:p w14:paraId="7CBF289D" w14:textId="77777777" w:rsidR="00D47811" w:rsidRDefault="00163C82">
            <w:pPr>
              <w:pStyle w:val="BodyText"/>
              <w:rPr>
                <w:rStyle w:val="Hyperlink"/>
                <w:color w:val="auto"/>
                <w:u w:val="none"/>
              </w:rPr>
            </w:pPr>
            <w:hyperlink r:id="rId14">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77777777" w:rsidR="00D47811" w:rsidRDefault="00D47811">
            <w:pPr>
              <w:rPr>
                <w:rFonts w:cs="Arial"/>
                <w:szCs w:val="24"/>
              </w:rPr>
            </w:pPr>
          </w:p>
        </w:tc>
        <w:tc>
          <w:tcPr>
            <w:tcW w:w="1688" w:type="dxa"/>
          </w:tcPr>
          <w:p w14:paraId="1B99D56A" w14:textId="77777777" w:rsidR="00D47811" w:rsidRDefault="00D47811">
            <w:pPr>
              <w:rPr>
                <w:rFonts w:cs="Arial"/>
                <w:szCs w:val="24"/>
              </w:rPr>
            </w:pPr>
          </w:p>
        </w:tc>
        <w:tc>
          <w:tcPr>
            <w:tcW w:w="1712" w:type="dxa"/>
          </w:tcPr>
          <w:p w14:paraId="779D1327" w14:textId="77777777" w:rsidR="00D47811" w:rsidRDefault="00D47811">
            <w:pPr>
              <w:rPr>
                <w:rFonts w:cs="Arial"/>
                <w:szCs w:val="24"/>
              </w:rPr>
            </w:pPr>
          </w:p>
        </w:tc>
      </w:tr>
      <w:tr w:rsidR="00D47811" w14:paraId="43DAB4FA" w14:textId="77777777" w:rsidTr="003E0744">
        <w:tc>
          <w:tcPr>
            <w:tcW w:w="1855" w:type="dxa"/>
          </w:tcPr>
          <w:p w14:paraId="4BDA0BC6" w14:textId="77777777" w:rsidR="00D47811" w:rsidRDefault="00163C82">
            <w:pPr>
              <w:pStyle w:val="BodyText"/>
              <w:rPr>
                <w:rStyle w:val="Hyperlink"/>
                <w:color w:val="auto"/>
                <w:u w:val="none"/>
              </w:rPr>
            </w:pPr>
            <w:hyperlink r:id="rId15">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77777777" w:rsidR="00D47811" w:rsidRDefault="00D47811">
            <w:pPr>
              <w:rPr>
                <w:rFonts w:cs="Arial"/>
                <w:szCs w:val="24"/>
              </w:rPr>
            </w:pPr>
          </w:p>
        </w:tc>
        <w:tc>
          <w:tcPr>
            <w:tcW w:w="1688" w:type="dxa"/>
          </w:tcPr>
          <w:p w14:paraId="17209188" w14:textId="77777777" w:rsidR="00D47811" w:rsidRDefault="00D47811">
            <w:pPr>
              <w:rPr>
                <w:rFonts w:cs="Arial"/>
                <w:szCs w:val="24"/>
              </w:rPr>
            </w:pPr>
          </w:p>
        </w:tc>
        <w:tc>
          <w:tcPr>
            <w:tcW w:w="1712" w:type="dxa"/>
          </w:tcPr>
          <w:p w14:paraId="577BCFAB" w14:textId="77777777" w:rsidR="00D47811" w:rsidRDefault="00D47811">
            <w:pPr>
              <w:rPr>
                <w:rFonts w:cs="Arial"/>
                <w:szCs w:val="24"/>
              </w:rPr>
            </w:pPr>
          </w:p>
        </w:tc>
      </w:tr>
      <w:tr w:rsidR="00D47811" w14:paraId="18632853" w14:textId="77777777" w:rsidTr="003E0744">
        <w:trPr>
          <w:trHeight w:val="1276"/>
        </w:trPr>
        <w:tc>
          <w:tcPr>
            <w:tcW w:w="1855" w:type="dxa"/>
          </w:tcPr>
          <w:p w14:paraId="385DBD34" w14:textId="77777777" w:rsidR="00D47811" w:rsidRDefault="00163C82">
            <w:pPr>
              <w:pStyle w:val="BodyText"/>
              <w:rPr>
                <w:rStyle w:val="Hyperlink"/>
              </w:rPr>
            </w:pPr>
            <w:hyperlink r:id="rId16">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77777777" w:rsidR="00D47811" w:rsidRDefault="00D47811">
            <w:pPr>
              <w:rPr>
                <w:rFonts w:cs="Arial"/>
                <w:szCs w:val="24"/>
              </w:rPr>
            </w:pPr>
          </w:p>
        </w:tc>
        <w:tc>
          <w:tcPr>
            <w:tcW w:w="1688" w:type="dxa"/>
          </w:tcPr>
          <w:p w14:paraId="0DC793AF" w14:textId="77777777" w:rsidR="00D47811" w:rsidRDefault="00D47811">
            <w:pPr>
              <w:rPr>
                <w:rFonts w:cs="Arial"/>
                <w:szCs w:val="24"/>
              </w:rPr>
            </w:pPr>
          </w:p>
        </w:tc>
        <w:tc>
          <w:tcPr>
            <w:tcW w:w="1712" w:type="dxa"/>
          </w:tcPr>
          <w:p w14:paraId="3C7966A2" w14:textId="77777777" w:rsidR="00D47811" w:rsidRDefault="00D47811">
            <w:pPr>
              <w:rPr>
                <w:rFonts w:cs="Arial"/>
                <w:szCs w:val="24"/>
              </w:rPr>
            </w:pPr>
          </w:p>
        </w:tc>
      </w:tr>
      <w:tr w:rsidR="00D47811" w14:paraId="62DABA23" w14:textId="77777777" w:rsidTr="003E0744">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3E0744">
        <w:trPr>
          <w:trHeight w:val="1420"/>
        </w:trPr>
        <w:tc>
          <w:tcPr>
            <w:tcW w:w="1855" w:type="dxa"/>
          </w:tcPr>
          <w:p w14:paraId="7C23CBD2" w14:textId="77777777" w:rsidR="00D47811" w:rsidRDefault="00163C82">
            <w:pPr>
              <w:pStyle w:val="BodyText"/>
              <w:spacing w:after="160"/>
            </w:pPr>
            <w:hyperlink r:id="rId17">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3E0744">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3E0744">
        <w:trPr>
          <w:trHeight w:val="1189"/>
        </w:trPr>
        <w:tc>
          <w:tcPr>
            <w:tcW w:w="1855" w:type="dxa"/>
          </w:tcPr>
          <w:p w14:paraId="5A489503" w14:textId="77777777" w:rsidR="00D47811" w:rsidRDefault="00163C82">
            <w:pPr>
              <w:pStyle w:val="BodyText"/>
              <w:spacing w:after="160"/>
            </w:pPr>
            <w:hyperlink r:id="rId18">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3E0744">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3E0744">
        <w:trPr>
          <w:trHeight w:val="1043"/>
        </w:trPr>
        <w:tc>
          <w:tcPr>
            <w:tcW w:w="1855" w:type="dxa"/>
          </w:tcPr>
          <w:p w14:paraId="3F61CC2D" w14:textId="77777777" w:rsidR="00D47811" w:rsidRDefault="00163C82">
            <w:pPr>
              <w:pStyle w:val="BodyText"/>
              <w:spacing w:after="160"/>
            </w:pPr>
            <w:hyperlink r:id="rId19">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3E0744">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3E0744">
        <w:trPr>
          <w:trHeight w:val="782"/>
        </w:trPr>
        <w:tc>
          <w:tcPr>
            <w:tcW w:w="1855" w:type="dxa"/>
          </w:tcPr>
          <w:p w14:paraId="5E8A2FAD" w14:textId="77777777" w:rsidR="00D47811" w:rsidRDefault="00163C82">
            <w:pPr>
              <w:pStyle w:val="BodyText"/>
              <w:spacing w:after="160"/>
              <w:rPr>
                <w:color w:val="0563C1" w:themeColor="hyperlink"/>
                <w:u w:val="single" w:color="5983B0"/>
              </w:rPr>
            </w:pPr>
            <w:hyperlink r:id="rId20">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3E0744">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3E0744">
        <w:trPr>
          <w:trHeight w:val="782"/>
        </w:trPr>
        <w:tc>
          <w:tcPr>
            <w:tcW w:w="1855" w:type="dxa"/>
          </w:tcPr>
          <w:p w14:paraId="100EE8DC" w14:textId="77777777" w:rsidR="00D47811" w:rsidRDefault="00163C82">
            <w:pPr>
              <w:pStyle w:val="BodyText"/>
            </w:pPr>
            <w:hyperlink r:id="rId21">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3E0744">
        <w:trPr>
          <w:trHeight w:val="782"/>
        </w:trPr>
        <w:tc>
          <w:tcPr>
            <w:tcW w:w="1855" w:type="dxa"/>
          </w:tcPr>
          <w:p w14:paraId="638894E8" w14:textId="77777777" w:rsidR="00D47811" w:rsidRDefault="00163C82">
            <w:pPr>
              <w:pStyle w:val="BodyText"/>
            </w:pPr>
            <w:hyperlink r:id="rId22">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3E0744">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3E0744">
        <w:trPr>
          <w:trHeight w:val="996"/>
        </w:trPr>
        <w:tc>
          <w:tcPr>
            <w:tcW w:w="1855" w:type="dxa"/>
          </w:tcPr>
          <w:p w14:paraId="59424A84" w14:textId="77777777" w:rsidR="00D47811" w:rsidRDefault="00163C82">
            <w:pPr>
              <w:pStyle w:val="BodyText"/>
              <w:rPr>
                <w:rFonts w:cs="Arial"/>
                <w:b/>
                <w:bCs/>
                <w:szCs w:val="24"/>
              </w:rPr>
            </w:pPr>
            <w:hyperlink r:id="rId23"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163C82"/>
    <w:rsid w:val="00211D8E"/>
    <w:rsid w:val="003E0744"/>
    <w:rsid w:val="00740EDF"/>
    <w:rsid w:val="00D478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team.org/" TargetMode="External"/><Relationship Id="rId18" Type="http://schemas.openxmlformats.org/officeDocument/2006/relationships/hyperlink" Target="https://www.policeforum.org/" TargetMode="External"/><Relationship Id="rId3" Type="http://schemas.openxmlformats.org/officeDocument/2006/relationships/styles" Target="styles.xml"/><Relationship Id="rId21" Type="http://schemas.openxmlformats.org/officeDocument/2006/relationships/hyperlink" Target="https://www.iwgia.org/en/" TargetMode="External"/><Relationship Id="rId7" Type="http://schemas.openxmlformats.org/officeDocument/2006/relationships/hyperlink" Target="https://www.globalcitizen.org/" TargetMode="External"/><Relationship Id="rId12" Type="http://schemas.openxmlformats.org/officeDocument/2006/relationships/hyperlink" Target="https://www.amazonconservation.org/" TargetMode="External"/><Relationship Id="rId17" Type="http://schemas.openxmlformats.org/officeDocument/2006/relationships/hyperlink" Target="https://www.cdc.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erraclub.org/" TargetMode="External"/><Relationship Id="rId20" Type="http://schemas.openxmlformats.org/officeDocument/2006/relationships/hyperlink" Target="http://awellfedworld.org/"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edutopia.org/topic-inde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n.org/" TargetMode="External"/><Relationship Id="rId23" Type="http://schemas.openxmlformats.org/officeDocument/2006/relationships/hyperlink" Target="https://eji.org/" TargetMode="External"/><Relationship Id="rId10" Type="http://schemas.openxmlformats.org/officeDocument/2006/relationships/hyperlink" Target="https://www.whenweallvote.org/" TargetMode="External"/><Relationship Id="rId19" Type="http://schemas.openxmlformats.org/officeDocument/2006/relationships/hyperlink" Target="http://www.nationalhomeless.org/want_to_help/index.html"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amazonwatch.org/" TargetMode="External"/><Relationship Id="rId22" Type="http://schemas.openxmlformats.org/officeDocument/2006/relationships/hyperlink" Target="https://www.survivalinternatio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187</cp:revision>
  <dcterms:created xsi:type="dcterms:W3CDTF">2021-03-19T17:35:00Z</dcterms:created>
  <dcterms:modified xsi:type="dcterms:W3CDTF">2021-04-02T13:38:00Z</dcterms:modified>
  <dc:language>en-US</dc:language>
</cp:coreProperties>
</file>