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color w:val="000000"/>
          <w:sz w:val="40"/>
          <w:szCs w:val="40"/>
        </w:rPr>
        <w:t>Syllabus - CS 6150, Computing for Good</w:t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b/>
          <w:bCs/>
          <w:color w:val="FF0000"/>
        </w:rPr>
        <w:t xml:space="preserve">UNDER CONSTRUCTION </w:t>
      </w:r>
    </w:p>
    <w:p>
      <w:pPr>
        <w:pStyle w:val="Normal"/>
        <w:rPr>
          <w:rFonts w:ascii="Arial" w:hAnsi="Arial" w:eastAsia="Geneva" w:cs="Geneva"/>
          <w:color w:val="000000"/>
        </w:rPr>
      </w:pPr>
      <w:r>
        <w:rPr>
          <w:rFonts w:eastAsia="Geneva" w:cs="Geneva" w:ascii="Arial" w:hAnsi="Arial"/>
          <w:color w:val="000000"/>
        </w:rPr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b/>
          <w:bCs/>
          <w:color w:val="000000"/>
        </w:rPr>
        <w:t xml:space="preserve">Introduction </w:t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Computing for Good (C4G) provides students from various backgrounds the opportunity to gain skills related to social good tech projects. The computing for good domain involves a variety of topics including pre-deployment considerations, architecture, deployment, and sustainability.  </w:t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ab/>
        <w:t xml:space="preserve">Students will explore C4G through the creation and deployment of a semester-long project, created either individually or through a team. Projects are chosen by each student and/or team. In the past, these have included topics such as hunger, peace, homelessness, climate change, social justice, etc. Teams may choose their own tools, e.g., Swift, Dart/Flutter, PHP, MySQL, Java, HTML, etc. Case studies of projects, successful and failed, accentuate the team project. </w:t>
      </w:r>
    </w:p>
    <w:p>
      <w:pPr>
        <w:pStyle w:val="Normal"/>
        <w:rPr>
          <w:rFonts w:ascii="Arial" w:hAnsi="Arial" w:eastAsia="Geneva" w:cs="Geneva"/>
          <w:color w:val="000000"/>
        </w:rPr>
      </w:pPr>
      <w:r>
        <w:rPr>
          <w:rFonts w:eastAsia="Geneva" w:cs="Geneva" w:ascii="Arial" w:hAnsi="Arial"/>
          <w:color w:val="000000"/>
        </w:rPr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b/>
          <w:bCs/>
          <w:color w:val="000000"/>
        </w:rPr>
        <w:t xml:space="preserve">Objectives </w:t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>The course’s primary objectives are</w:t>
      </w:r>
      <w:r>
        <w:rPr>
          <w:rFonts w:eastAsia="Geneva" w:cs="Geneva" w:ascii="Arial" w:hAnsi="Arial"/>
          <w:strike/>
          <w:color w:val="000000"/>
        </w:rPr>
        <w:t xml:space="preserve">: </w:t>
      </w:r>
    </w:p>
    <w:p>
      <w:pPr>
        <w:pStyle w:val="Normal"/>
        <w:rPr>
          <w:rFonts w:ascii="Arial" w:hAnsi="Arial" w:eastAsia="Geneva" w:cs="Geneva"/>
          <w:strike/>
          <w:color w:val="000000"/>
        </w:rPr>
      </w:pPr>
      <w:r>
        <w:rPr>
          <w:rFonts w:eastAsia="Geneva" w:cs="Geneva" w:ascii="Arial" w:hAnsi="Arial"/>
          <w:strike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To provide exposure to the tools required to execute a C4G project 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To develop an appreciation of the components and factors leading to both successful and failed C4G deployments 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To gain an understanding of the domains that can benefit from C4G projects based on best practices </w:t>
      </w:r>
    </w:p>
    <w:p>
      <w:pPr>
        <w:pStyle w:val="Normal"/>
        <w:rPr>
          <w:rFonts w:ascii="Arial" w:hAnsi="Arial" w:eastAsia="Geneva" w:cs="Geneva"/>
          <w:strike/>
          <w:color w:val="000000"/>
        </w:rPr>
      </w:pPr>
      <w:r>
        <w:rPr>
          <w:rFonts w:eastAsia="Geneva" w:cs="Geneva" w:ascii="Arial" w:hAnsi="Arial"/>
          <w:strike/>
          <w:color w:val="000000"/>
        </w:rPr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b/>
          <w:bCs/>
          <w:color w:val="000000"/>
        </w:rPr>
        <w:t>Topics</w:t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Selected topics include: 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Toyama’s Law of Amplification 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>Technology myths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The danger of quick fixes 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Technocratic orthodoxy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shd w:fill="auto" w:val="clear"/>
        </w:rPr>
      </w:pPr>
      <w:r>
        <w:rPr>
          <w:rFonts w:eastAsia="Geneva" w:cs="Geneva" w:ascii="Arial" w:hAnsi="Arial"/>
          <w:b/>
          <w:bCs/>
          <w:color w:val="000000"/>
          <w:shd w:fill="auto" w:val="clear"/>
        </w:rPr>
        <w:t>Assignments/Deliverables</w:t>
      </w:r>
      <w:r>
        <w:rPr>
          <w:rFonts w:eastAsia="Geneva" w:cs="Geneva" w:ascii="Arial" w:hAnsi="Arial"/>
          <w:b/>
          <w:bCs/>
          <w:color w:val="000000"/>
          <w:shd w:fill="auto" w:val="clear"/>
        </w:rPr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InternetLink"/>
          <w:rFonts w:eastAsia="Geneva" w:cs="Geneva" w:ascii="Arial" w:hAnsi="Arial"/>
          <w:color w:val="000000"/>
          <w:u w:val="none"/>
        </w:rPr>
        <w:t xml:space="preserve">Weekly Progress Report (during Project Period) </w:t>
      </w:r>
    </w:p>
    <w:p>
      <w:pPr>
        <w:pStyle w:val="ListParagraph"/>
        <w:numPr>
          <w:ilvl w:val="0"/>
          <w:numId w:val="3"/>
        </w:numPr>
        <w:rPr/>
      </w:pPr>
      <w:hyperlink r:id="rId2">
        <w:r>
          <w:rPr>
            <w:rStyle w:val="InternetLink"/>
            <w:rFonts w:eastAsia="Geneva" w:cs="Geneva" w:ascii="Arial" w:hAnsi="Arial"/>
          </w:rPr>
          <w:t>Mid-Term</w:t>
        </w:r>
      </w:hyperlink>
      <w:r>
        <w:rPr>
          <w:rFonts w:eastAsia="Geneva" w:cs="Geneva" w:ascii="Arial" w:hAnsi="Arial"/>
          <w:color w:val="000000"/>
        </w:rPr>
        <w:t>: Sunday 10/10/2021 11:59 PM (Fall Break: 10/11-10/12/2021)</w:t>
      </w:r>
    </w:p>
    <w:p>
      <w:pPr>
        <w:pStyle w:val="ListParagraph"/>
        <w:numPr>
          <w:ilvl w:val="0"/>
          <w:numId w:val="3"/>
        </w:numPr>
        <w:rPr/>
      </w:pPr>
      <w:hyperlink r:id="rId3">
        <w:r>
          <w:rPr>
            <w:rStyle w:val="InternetLink"/>
            <w:rFonts w:eastAsia="Geneva" w:cs="Geneva" w:ascii="Arial" w:hAnsi="Arial"/>
          </w:rPr>
          <w:t>Team Project</w:t>
        </w:r>
      </w:hyperlink>
      <w:r>
        <w:rPr>
          <w:rFonts w:eastAsia="Geneva" w:cs="Geneva" w:ascii="Arial" w:hAnsi="Arial"/>
          <w:color w:val="000000"/>
        </w:rPr>
        <w:t>: Sunday 12/9/2021 11:59 PM (Finals: 12/9-12/16/2021)</w:t>
      </w:r>
    </w:p>
    <w:p>
      <w:pPr>
        <w:pStyle w:val="ListParagraph"/>
        <w:numPr>
          <w:ilvl w:val="0"/>
          <w:numId w:val="3"/>
        </w:numPr>
        <w:rPr>
          <w:color w:val="FF0000"/>
        </w:rPr>
      </w:pPr>
      <w:hyperlink r:id="rId4">
        <w:r>
          <w:rPr>
            <w:rStyle w:val="InternetLink"/>
            <w:rFonts w:eastAsia="Geneva" w:cs="Geneva" w:ascii="Arial" w:hAnsi="Arial"/>
            <w:color w:val="FF0000"/>
          </w:rPr>
          <w:t>Test Canvas Site</w:t>
        </w:r>
      </w:hyperlink>
      <w:r>
        <w:rPr>
          <w:rFonts w:eastAsia="Geneva" w:cs="Geneva" w:ascii="Arial" w:hAnsi="Arial"/>
          <w:color w:val="FF0000"/>
        </w:rPr>
        <w:t xml:space="preserve"> (requires Canvas login)</w:t>
      </w:r>
    </w:p>
    <w:p>
      <w:pPr>
        <w:pStyle w:val="Normal"/>
        <w:rPr>
          <w:rFonts w:ascii="Arial" w:hAnsi="Arial" w:eastAsia="Geneva" w:cs="Geneva"/>
          <w:color w:val="000000"/>
        </w:rPr>
      </w:pPr>
      <w:r>
        <w:rPr>
          <w:rFonts w:eastAsia="Geneva" w:cs="Geneva" w:ascii="Arial" w:hAnsi="Arial"/>
          <w:color w:val="000000"/>
        </w:rPr>
      </w:r>
    </w:p>
    <w:p>
      <w:pPr>
        <w:pStyle w:val="Normal"/>
        <w:rPr>
          <w:shd w:fill="auto" w:val="clear"/>
        </w:rPr>
      </w:pPr>
      <w:r>
        <w:rPr>
          <w:rFonts w:eastAsia="Geneva" w:cs="Geneva" w:ascii="Arial" w:hAnsi="Arial"/>
          <w:b/>
          <w:bCs/>
          <w:color w:val="000000"/>
          <w:shd w:fill="auto" w:val="clear"/>
        </w:rPr>
        <w:t>Miscellaneous Information</w:t>
      </w:r>
    </w:p>
    <w:p>
      <w:pPr>
        <w:pStyle w:val="ListParagraph"/>
        <w:numPr>
          <w:ilvl w:val="0"/>
          <w:numId w:val="4"/>
        </w:numPr>
        <w:rPr/>
      </w:pPr>
      <w:hyperlink r:id="rId5">
        <w:r>
          <w:rPr>
            <w:rStyle w:val="InternetLink"/>
            <w:rFonts w:eastAsia="Geneva" w:cs="Geneva" w:ascii="Arial" w:hAnsi="Arial"/>
          </w:rPr>
          <w:t>Academic Calendar</w:t>
        </w:r>
      </w:hyperlink>
    </w:p>
    <w:p>
      <w:pPr>
        <w:pStyle w:val="ListParagraph"/>
        <w:rPr>
          <w:rStyle w:val="InternetLink"/>
          <w:rFonts w:ascii="Arial" w:hAnsi="Arial" w:eastAsia="Geneva" w:cs="Geneva"/>
        </w:rPr>
      </w:pPr>
      <w:r>
        <w:rPr/>
      </w:r>
    </w:p>
    <w:p>
      <w:pPr>
        <w:pStyle w:val="ListParagraph"/>
        <w:ind w:hanging="0"/>
        <w:rPr/>
      </w:pPr>
      <w:r>
        <w:rPr>
          <w:rStyle w:val="InternetLink"/>
          <w:rFonts w:eastAsia="Geneva" w:cs="Geneva" w:ascii="Arial" w:hAnsi="Arial"/>
          <w:b/>
          <w:bCs/>
          <w:color w:val="000000"/>
          <w:u w:val="none"/>
        </w:rPr>
        <w:t>Text</w:t>
      </w:r>
    </w:p>
    <w:p>
      <w:pPr>
        <w:pStyle w:val="ListParagraph"/>
        <w:numPr>
          <w:ilvl w:val="0"/>
          <w:numId w:val="8"/>
        </w:numPr>
        <w:rPr/>
      </w:pPr>
      <w:hyperlink r:id="rId6">
        <w:bookmarkStart w:id="0" w:name="title"/>
        <w:bookmarkStart w:id="1" w:name="productTitle"/>
        <w:bookmarkEnd w:id="0"/>
        <w:bookmarkEnd w:id="1"/>
        <w:r>
          <w:rPr>
            <w:rStyle w:val="InternetLink"/>
            <w:rFonts w:eastAsia="Geneva" w:cs="Geneva" w:ascii="Arial" w:hAnsi="Arial"/>
            <w:b w:val="false"/>
            <w:bCs w:val="false"/>
            <w:i w:val="false"/>
            <w:caps w:val="false"/>
            <w:smallCaps w:val="false"/>
            <w:color w:val="0F1111"/>
            <w:spacing w:val="0"/>
            <w:sz w:val="24"/>
            <w:szCs w:val="24"/>
            <w:u w:val="none"/>
          </w:rPr>
          <w:t>Geek Heresy: Rescuing Social Change from the Cult of Technology</w:t>
        </w:r>
      </w:hyperlink>
      <w:r>
        <w:rPr>
          <w:rStyle w:val="InternetLink"/>
          <w:rFonts w:eastAsia="Geneva" w:cs="Geneva" w:ascii="Arial" w:hAnsi="Arial"/>
          <w:b w:val="false"/>
          <w:bCs w:val="false"/>
          <w:i w:val="false"/>
          <w:caps w:val="false"/>
          <w:smallCaps w:val="false"/>
          <w:color w:val="0F1111"/>
          <w:spacing w:val="0"/>
          <w:sz w:val="24"/>
          <w:szCs w:val="24"/>
          <w:u w:val="none"/>
        </w:rPr>
        <w:t xml:space="preserve"> – Kentaro Toyama (</w:t>
      </w:r>
      <w:r>
        <w:rPr>
          <w:rStyle w:val="InternetLink"/>
          <w:rFonts w:eastAsia="Geneva" w:cs="Geneva" w:ascii="Arial" w:hAnsi="Arial"/>
          <w:b w:val="false"/>
          <w:bCs w:val="false"/>
          <w:i w:val="false"/>
          <w:caps w:val="false"/>
          <w:smallCaps w:val="false"/>
          <w:color w:val="0F1111"/>
          <w:spacing w:val="0"/>
          <w:kern w:val="2"/>
          <w:sz w:val="24"/>
          <w:szCs w:val="24"/>
          <w:u w:val="none"/>
          <w:lang w:val="en-US" w:eastAsia="zh-CN" w:bidi="hi-IN"/>
        </w:rPr>
        <w:t>Lesson 4</w:t>
      </w:r>
      <w:r>
        <w:rPr>
          <w:rStyle w:val="InternetLink"/>
          <w:rFonts w:eastAsia="Geneva" w:cs="Geneva" w:ascii="Arial" w:hAnsi="Arial"/>
          <w:b w:val="false"/>
          <w:bCs w:val="false"/>
          <w:i w:val="false"/>
          <w:caps w:val="false"/>
          <w:smallCaps w:val="false"/>
          <w:color w:val="0F1111"/>
          <w:spacing w:val="0"/>
          <w:sz w:val="24"/>
          <w:szCs w:val="24"/>
          <w:u w:val="none"/>
        </w:rPr>
        <w:t>)</w:t>
      </w:r>
    </w:p>
    <w:p>
      <w:pPr>
        <w:pStyle w:val="ListParagraph"/>
        <w:numPr>
          <w:ilvl w:val="0"/>
          <w:numId w:val="0"/>
        </w:numPr>
        <w:ind w:left="720" w:hanging="0"/>
        <w:rPr>
          <w:rStyle w:val="InternetLink"/>
          <w:rFonts w:ascii="Arial" w:hAnsi="Arial" w:eastAsia="Geneva" w:cs="Geneva"/>
          <w:b w:val="false"/>
          <w:b w:val="false"/>
          <w:bCs w:val="false"/>
          <w:color w:val="000000"/>
          <w:u w:val="none"/>
        </w:rPr>
      </w:pPr>
      <w:r>
        <w:rPr/>
      </w:r>
    </w:p>
    <w:p>
      <w:pPr>
        <w:pStyle w:val="ListParagrap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eastAsia="Geneva" w:cs="Geneva" w:ascii="Arial" w:hAnsi="Arial"/>
          <w:b/>
          <w:bCs/>
          <w:color w:val="000000"/>
        </w:rPr>
        <w:t>Papers</w:t>
      </w:r>
    </w:p>
    <w:p>
      <w:pPr>
        <w:pStyle w:val="Normal"/>
        <w:numPr>
          <w:ilvl w:val="0"/>
          <w:numId w:val="5"/>
        </w:numPr>
        <w:rPr>
          <w:rFonts w:ascii="Arial" w:hAnsi="Arial"/>
        </w:rPr>
      </w:pPr>
      <w:hyperlink r:id="rId7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pacing w:val="0"/>
            <w:sz w:val="24"/>
            <w:szCs w:val="24"/>
          </w:rPr>
          <w:t>C4G BLIS: Health Care Delivery via Iterative Collaborative Design in Resource-constrained Settings</w:t>
        </w:r>
      </w:hyperlink>
      <w:r>
        <w:rPr>
          <w:rStyle w:val="InternetLink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– Vempala et al </w:t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(</w:t>
      </w:r>
      <w:r>
        <w:rPr>
          <w:rStyle w:val="InternetLink"/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Lesson 2</w:t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)</w:t>
      </w:r>
    </w:p>
    <w:p>
      <w:pPr>
        <w:pStyle w:val="Normal"/>
        <w:numPr>
          <w:ilvl w:val="0"/>
          <w:numId w:val="5"/>
        </w:numPr>
        <w:rPr/>
      </w:pPr>
      <w:hyperlink r:id="rId8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563C1"/>
            <w:spacing w:val="0"/>
            <w:sz w:val="24"/>
            <w:szCs w:val="24"/>
            <w:u w:val="single"/>
          </w:rPr>
          <w:t>Understanding Sociotechnical Implications of Mobile Health Deployments in India, Kenya, and Zimbabwe</w:t>
        </w:r>
      </w:hyperlink>
      <w:r>
        <w:rPr>
          <w:rStyle w:val="InternetLink"/>
          <w:rFonts w:ascii="Arial" w:hAnsi="Arial"/>
          <w:color w:val="3465A4"/>
          <w:u w:val="none"/>
        </w:rPr>
        <w:t xml:space="preserve"> </w:t>
      </w:r>
      <w:r>
        <w:rPr>
          <w:rStyle w:val="InternetLink"/>
          <w:rFonts w:ascii="Arial" w:hAnsi="Arial"/>
          <w:color w:val="000000"/>
          <w:u w:val="none"/>
        </w:rPr>
        <w:t xml:space="preserve">- </w:t>
      </w:r>
      <w:r>
        <w:rPr>
          <w:rStyle w:val="InternetLink"/>
          <w:rFonts w:ascii="Arial" w:hAnsi="Arial"/>
          <w:color w:val="000000"/>
          <w:u w:val="none"/>
        </w:rPr>
        <w:t>Kumar et al (</w:t>
      </w:r>
      <w:r>
        <w:rPr>
          <w:rStyle w:val="InternetLink"/>
          <w:rFonts w:ascii="Arial" w:hAnsi="Arial"/>
          <w:b/>
          <w:bCs/>
          <w:color w:val="000000"/>
          <w:u w:val="none"/>
        </w:rPr>
        <w:t>Lesson 5</w:t>
      </w:r>
      <w:r>
        <w:rPr>
          <w:rStyle w:val="InternetLink"/>
          <w:rFonts w:ascii="Arial" w:hAnsi="Arial"/>
          <w:color w:val="000000"/>
          <w:u w:val="none"/>
        </w:rPr>
        <w:t xml:space="preserve">, </w:t>
      </w:r>
      <w:r>
        <w:rPr>
          <w:rStyle w:val="InternetLink"/>
          <w:rFonts w:ascii="Arial" w:hAnsi="Arial"/>
          <w:color w:val="FF0000"/>
          <w:u w:val="none"/>
        </w:rPr>
        <w:t>correct paper?</w:t>
      </w:r>
      <w:r>
        <w:rPr>
          <w:rStyle w:val="InternetLink"/>
          <w:rFonts w:ascii="Arial" w:hAnsi="Arial"/>
          <w:color w:val="000000"/>
          <w:u w:val="none"/>
        </w:rPr>
        <w:t>)</w:t>
      </w:r>
    </w:p>
    <w:p>
      <w:pPr>
        <w:pStyle w:val="Normal"/>
        <w:numPr>
          <w:ilvl w:val="0"/>
          <w:numId w:val="5"/>
        </w:numPr>
        <w:rPr/>
      </w:pPr>
      <w:hyperlink r:id="rId9">
        <w:r>
          <w:rPr>
            <w:rStyle w:val="InternetLink"/>
            <w:rFonts w:ascii="Merriweather Sans;sans-serif" w:hAnsi="Merriweather Sans;sans-serif"/>
            <w:b w:val="false"/>
            <w:i w:val="false"/>
            <w:caps w:val="false"/>
            <w:smallCaps w:val="false"/>
            <w:color w:val="0563C1"/>
            <w:spacing w:val="0"/>
            <w:sz w:val="24"/>
            <w:szCs w:val="24"/>
            <w:u w:val="single"/>
          </w:rPr>
          <w:t>Baby steps: evaluation of a system to support record-keeping for parents of young children</w:t>
        </w:r>
      </w:hyperlink>
      <w:r>
        <w:rPr>
          <w:rStyle w:val="InternetLink"/>
          <w:rFonts w:ascii="Arial" w:hAnsi="Arial"/>
          <w:b w:val="false"/>
          <w:i w:val="false"/>
          <w:caps w:val="false"/>
          <w:smallCaps w:val="false"/>
          <w:color w:val="505050"/>
          <w:spacing w:val="0"/>
          <w:sz w:val="24"/>
          <w:szCs w:val="24"/>
          <w:u w:val="none"/>
        </w:rPr>
        <w:t xml:space="preserve">  – Kientz, Arriaga, Abowd </w:t>
      </w:r>
      <w:r>
        <w:rPr>
          <w:rStyle w:val="InternetLink"/>
          <w:rFonts w:eastAsia="NSimSun" w:cs="Arial" w:ascii="Arial" w:hAnsi="Arial"/>
          <w:b w:val="false"/>
          <w:i w:val="false"/>
          <w:caps w:val="false"/>
          <w:smallCaps w:val="false"/>
          <w:color w:val="505050"/>
          <w:spacing w:val="0"/>
          <w:kern w:val="2"/>
          <w:sz w:val="24"/>
          <w:szCs w:val="24"/>
          <w:u w:val="none"/>
          <w:lang w:val="en-US" w:eastAsia="zh-CN" w:bidi="hi-IN"/>
        </w:rPr>
        <w:t>(</w:t>
      </w:r>
      <w:r>
        <w:rPr>
          <w:rStyle w:val="InternetLink"/>
          <w:rFonts w:eastAsia="NSimSun" w:cs="Arial" w:ascii="Arial" w:hAnsi="Arial"/>
          <w:b/>
          <w:bCs/>
          <w:i w:val="false"/>
          <w:caps w:val="false"/>
          <w:smallCaps w:val="false"/>
          <w:color w:val="505050"/>
          <w:spacing w:val="0"/>
          <w:kern w:val="2"/>
          <w:sz w:val="24"/>
          <w:szCs w:val="24"/>
          <w:u w:val="none"/>
          <w:lang w:val="en-US" w:eastAsia="zh-CN" w:bidi="hi-IN"/>
        </w:rPr>
        <w:t>Lesson 8</w:t>
      </w:r>
      <w:r>
        <w:rPr>
          <w:rStyle w:val="InternetLink"/>
          <w:rFonts w:eastAsia="NSimSun" w:cs="Arial" w:ascii="Arial" w:hAnsi="Arial"/>
          <w:b w:val="false"/>
          <w:i w:val="false"/>
          <w:caps w:val="false"/>
          <w:smallCaps w:val="false"/>
          <w:color w:val="505050"/>
          <w:spacing w:val="0"/>
          <w:kern w:val="2"/>
          <w:sz w:val="24"/>
          <w:szCs w:val="24"/>
          <w:u w:val="none"/>
          <w:lang w:val="en-US" w:eastAsia="zh-CN" w:bidi="hi-IN"/>
        </w:rPr>
        <w:t xml:space="preserve">, </w:t>
      </w:r>
      <w:r>
        <w:rPr>
          <w:rStyle w:val="InternetLink"/>
          <w:rFonts w:eastAsia="NSimSun" w:cs="Arial" w:ascii="Arial" w:hAnsi="Arial"/>
          <w:b w:val="false"/>
          <w:i w:val="false"/>
          <w:caps w:val="false"/>
          <w:smallCaps w:val="false"/>
          <w:color w:val="FF0000"/>
          <w:spacing w:val="0"/>
          <w:kern w:val="2"/>
          <w:sz w:val="24"/>
          <w:szCs w:val="24"/>
          <w:u w:val="none"/>
          <w:lang w:val="en-US" w:eastAsia="zh-CN" w:bidi="hi-IN"/>
        </w:rPr>
        <w:t>correct paper?</w:t>
      </w:r>
      <w:r>
        <w:rPr>
          <w:rStyle w:val="InternetLink"/>
          <w:rFonts w:eastAsia="NSimSun" w:cs="Arial"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  <w:t>)</w:t>
      </w:r>
    </w:p>
    <w:p>
      <w:pPr>
        <w:pStyle w:val="Normal"/>
        <w:numPr>
          <w:ilvl w:val="0"/>
          <w:numId w:val="5"/>
        </w:numPr>
        <w:rPr>
          <w:rFonts w:ascii="Arial" w:hAnsi="Arial"/>
        </w:rPr>
      </w:pPr>
      <w:hyperlink r:id="rId10">
        <w:r>
          <w:rPr>
            <w:rStyle w:val="InternetLink"/>
            <w:rFonts w:ascii="Arial" w:hAnsi="Arial"/>
            <w:u w:val="single"/>
          </w:rPr>
          <w:t>ICT4D 2.0: The Next Phase of Applying ICT for International Development</w:t>
        </w:r>
      </w:hyperlink>
      <w:r>
        <w:rPr>
          <w:rFonts w:ascii="Arial" w:hAnsi="Arial"/>
          <w:u w:val="single"/>
        </w:rPr>
        <w:t xml:space="preserve"> </w:t>
      </w:r>
      <w:r>
        <w:rPr>
          <w:rFonts w:ascii="Arial" w:hAnsi="Arial"/>
        </w:rPr>
        <w:t>– Heeks</w:t>
      </w:r>
    </w:p>
    <w:p>
      <w:pPr>
        <w:pStyle w:val="ListParagraph"/>
        <w:widowControl/>
        <w:numPr>
          <w:ilvl w:val="0"/>
          <w:numId w:val="5"/>
        </w:numPr>
        <w:suppressAutoHyphens w:val="false"/>
        <w:rPr>
          <w:rFonts w:ascii="Arial" w:hAnsi="Arial"/>
          <w:kern w:val="0"/>
          <w:lang w:bidi="ar-SA"/>
        </w:rPr>
      </w:pPr>
      <w:hyperlink r:id="rId11">
        <w:r>
          <w:rPr>
            <w:rStyle w:val="InternetLink"/>
            <w:rFonts w:ascii="Arial" w:hAnsi="Arial"/>
            <w:kern w:val="0"/>
            <w:lang w:bidi="ar-SA"/>
          </w:rPr>
          <w:t>Information Systems and Developing Countries: Failure, Success and Local Improvisations</w:t>
        </w:r>
      </w:hyperlink>
      <w:r>
        <w:rPr>
          <w:rFonts w:ascii="Arial" w:hAnsi="Arial"/>
          <w:kern w:val="0"/>
          <w:lang w:bidi="ar-SA"/>
        </w:rPr>
        <w:t xml:space="preserve"> – Heeks</w:t>
      </w:r>
    </w:p>
    <w:p>
      <w:pPr>
        <w:pStyle w:val="ListParagraph"/>
        <w:widowControl/>
        <w:numPr>
          <w:ilvl w:val="0"/>
          <w:numId w:val="5"/>
        </w:numPr>
        <w:suppressAutoHyphens w:val="false"/>
        <w:rPr>
          <w:rFonts w:ascii="Arial" w:hAnsi="Arial"/>
          <w:kern w:val="0"/>
          <w:lang w:bidi="ar-SA"/>
        </w:rPr>
      </w:pPr>
      <w:hyperlink r:id="rId12">
        <w:r>
          <w:rPr>
            <w:rStyle w:val="InternetLink"/>
            <w:rFonts w:ascii="Arial" w:hAnsi="Arial"/>
            <w:kern w:val="0"/>
            <w:lang w:bidi="ar-SA"/>
          </w:rPr>
          <w:t>Design and Deployment of a Blood Safety Monitoring Tool</w:t>
        </w:r>
      </w:hyperlink>
      <w:r>
        <w:rPr>
          <w:rFonts w:ascii="Arial" w:hAnsi="Arial"/>
          <w:kern w:val="0"/>
          <w:lang w:bidi="ar-SA"/>
        </w:rPr>
        <w:t xml:space="preserve"> – </w:t>
      </w:r>
      <w:r>
        <w:rPr>
          <w:rFonts w:ascii="Arial" w:hAnsi="Arial"/>
          <w:kern w:val="0"/>
          <w:lang w:bidi="ar-SA"/>
        </w:rPr>
        <w:t xml:space="preserve">Thomas, Osuntogun, Pitman, Mulenga, Vempala (also </w:t>
      </w:r>
      <w:hyperlink r:id="rId13">
        <w:r>
          <w:rPr>
            <w:rStyle w:val="InternetLink"/>
            <w:rFonts w:ascii="Arial" w:hAnsi="Arial"/>
            <w:kern w:val="0"/>
            <w:lang w:bidi="ar-SA"/>
          </w:rPr>
          <w:t>here</w:t>
        </w:r>
      </w:hyperlink>
      <w:r>
        <w:rPr>
          <w:rFonts w:ascii="Arial" w:hAnsi="Arial"/>
          <w:kern w:val="0"/>
          <w:lang w:bidi="ar-SA"/>
        </w:rPr>
        <w:t>)</w:t>
      </w:r>
    </w:p>
    <w:p>
      <w:pPr>
        <w:pStyle w:val="ListParagraph"/>
        <w:widowControl/>
        <w:numPr>
          <w:ilvl w:val="0"/>
          <w:numId w:val="5"/>
        </w:numPr>
        <w:suppressAutoHyphens w:val="false"/>
        <w:rPr>
          <w:rFonts w:ascii="Arial" w:hAnsi="Arial"/>
          <w:kern w:val="0"/>
          <w:lang w:bidi="ar-SA"/>
        </w:rPr>
      </w:pPr>
      <w:hyperlink r:id="rId14">
        <w:r>
          <w:rPr>
            <w:rStyle w:val="InternetLink"/>
            <w:rFonts w:ascii="Arial" w:hAnsi="Arial"/>
            <w:kern w:val="0"/>
            <w:lang w:bidi="ar-SA"/>
          </w:rPr>
          <w:t>Sustainability Failures of Rural Telecenters: Challenges from the Sustainable Access in Rural India (SARI) Project</w:t>
        </w:r>
      </w:hyperlink>
      <w:r>
        <w:rPr>
          <w:rFonts w:ascii="Arial" w:hAnsi="Arial"/>
          <w:kern w:val="0"/>
          <w:lang w:bidi="ar-SA"/>
        </w:rPr>
        <w:t xml:space="preserve"> – Best and Kumar (</w:t>
      </w:r>
      <w:r>
        <w:rPr>
          <w:rFonts w:ascii="Arial" w:hAnsi="Arial"/>
          <w:b/>
          <w:bCs/>
          <w:kern w:val="0"/>
          <w:lang w:bidi="ar-SA"/>
        </w:rPr>
        <w:t>Le</w:t>
      </w:r>
      <w:r>
        <w:rPr>
          <w:rFonts w:ascii="Arial" w:hAnsi="Arial"/>
          <w:b/>
          <w:bCs/>
          <w:kern w:val="0"/>
          <w:lang w:bidi="ar-SA"/>
        </w:rPr>
        <w:t>sson</w:t>
      </w:r>
      <w:r>
        <w:rPr>
          <w:rFonts w:ascii="Arial" w:hAnsi="Arial"/>
          <w:b/>
          <w:bCs/>
          <w:kern w:val="0"/>
          <w:lang w:bidi="ar-SA"/>
        </w:rPr>
        <w:t xml:space="preserve"> 12</w:t>
      </w:r>
      <w:r>
        <w:rPr>
          <w:rFonts w:ascii="Arial" w:hAnsi="Arial"/>
          <w:kern w:val="0"/>
          <w:lang w:bidi="ar-SA"/>
        </w:rPr>
        <w:t>)</w:t>
      </w:r>
    </w:p>
    <w:p>
      <w:pPr>
        <w:pStyle w:val="ListParagraph"/>
        <w:widowControl/>
        <w:suppressAutoHyphens w:val="false"/>
        <w:rPr>
          <w:rFonts w:ascii="Arial" w:hAnsi="Arial"/>
          <w:kern w:val="0"/>
          <w:lang w:bidi="ar-SA"/>
        </w:rPr>
      </w:pPr>
      <w:r>
        <w:rPr/>
      </w:r>
    </w:p>
    <w:p>
      <w:pPr>
        <w:pStyle w:val="Normal"/>
        <w:widowControl/>
        <w:suppressAutoHyphens w:val="false"/>
        <w:ind w:hanging="0"/>
        <w:rPr>
          <w:rFonts w:ascii="Arial" w:hAnsi="Arial" w:eastAsia="Geneva" w:cs="Geneva"/>
          <w:b/>
          <w:b/>
          <w:bCs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Geneva" w:cs="Geneva" w:ascii="Arial" w:hAnsi="Arial"/>
          <w:b/>
          <w:bCs/>
          <w:color w:val="000000"/>
          <w:kern w:val="2"/>
          <w:sz w:val="24"/>
          <w:szCs w:val="24"/>
          <w:lang w:val="en-US" w:eastAsia="zh-CN" w:bidi="hi-IN"/>
        </w:rPr>
        <w:t>Slides</w:t>
      </w:r>
    </w:p>
    <w:p>
      <w:pPr>
        <w:pStyle w:val="Normal"/>
        <w:widowControl/>
        <w:numPr>
          <w:ilvl w:val="0"/>
          <w:numId w:val="6"/>
        </w:numPr>
        <w:suppressAutoHyphens w:val="false"/>
        <w:rPr>
          <w:rFonts w:ascii="Arial" w:hAnsi="Arial" w:eastAsia="Geneva" w:cs="Geneva"/>
          <w:b w:val="false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pPr>
      <w:hyperlink r:id="rId15">
        <w:r>
          <w:rPr>
            <w:rStyle w:val="InternetLink"/>
            <w:rFonts w:eastAsia="Geneva" w:cs="Geneva" w:ascii="Arial" w:hAnsi="Arial"/>
            <w:b w:val="false"/>
            <w:bCs w:val="false"/>
            <w:color w:val="000000"/>
            <w:kern w:val="2"/>
            <w:sz w:val="24"/>
            <w:szCs w:val="24"/>
            <w:lang w:val="en-US" w:eastAsia="zh-CN" w:bidi="hi-IN"/>
          </w:rPr>
          <w:t xml:space="preserve">Ten </w:t>
        </w:r>
        <w:r>
          <w:rPr>
            <w:rStyle w:val="InternetLink"/>
            <w:rFonts w:eastAsia="Geneva" w:cs="Geneva" w:ascii="Arial" w:hAnsi="Arial"/>
            <w:b w:val="false"/>
            <w:bCs w:val="false"/>
            <w:color w:val="000000"/>
            <w:kern w:val="2"/>
            <w:sz w:val="24"/>
            <w:szCs w:val="24"/>
            <w:lang w:val="en-US" w:eastAsia="zh-CN" w:bidi="hi-IN"/>
          </w:rPr>
          <w:t>Myths of ICT4D</w:t>
        </w:r>
      </w:hyperlink>
      <w:r>
        <w:rPr>
          <w:rFonts w:eastAsia="Geneva" w:cs="Geneva" w:ascii="Arial" w:hAnsi="Arial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– </w:t>
      </w:r>
      <w:r>
        <w:rPr>
          <w:rFonts w:eastAsia="Geneva" w:cs="Geneva" w:ascii="Arial" w:hAnsi="Arial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Kentaro </w:t>
      </w:r>
      <w:r>
        <w:rPr>
          <w:rFonts w:eastAsia="Geneva" w:cs="Geneva" w:ascii="Arial" w:hAnsi="Arial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Toyama </w:t>
      </w:r>
      <w:r>
        <w:rPr>
          <w:rFonts w:eastAsia="Geneva" w:cs="Geneva" w:ascii="Arial" w:hAnsi="Arial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(Lesson 4, slides are </w:t>
      </w:r>
      <w:r>
        <w:rPr>
          <w:rFonts w:eastAsia="Geneva" w:cs="Geneva" w:ascii="Arial" w:hAnsi="Arial"/>
          <w:b w:val="false"/>
          <w:bCs w:val="false"/>
          <w:color w:val="FF0000"/>
          <w:kern w:val="2"/>
          <w:sz w:val="24"/>
          <w:szCs w:val="24"/>
          <w:lang w:val="en-US" w:eastAsia="zh-CN" w:bidi="hi-IN"/>
        </w:rPr>
        <w:t>on Dante’s OneDrive</w:t>
      </w:r>
      <w:r>
        <w:rPr>
          <w:rFonts w:eastAsia="Geneva" w:cs="Geneva" w:ascii="Arial" w:hAnsi="Arial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Merriweather Sans">
    <w:altName w:val="sans-serif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7"/>
        </w:tabs>
        <w:ind w:left="11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7"/>
        </w:tabs>
        <w:ind w:left="15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7"/>
        </w:tabs>
        <w:ind w:left="18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7"/>
        </w:tabs>
        <w:ind w:left="22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7"/>
        </w:tabs>
        <w:ind w:left="25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7"/>
        </w:tabs>
        <w:ind w:left="33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7"/>
        </w:tabs>
        <w:ind w:left="3667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5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Symbol" w:customStyle="1">
    <w:name w:val="Footnote_Symbol"/>
    <w:qFormat/>
    <w:rPr>
      <w:vertAlign w:val="superscript"/>
    </w:rPr>
  </w:style>
  <w:style w:type="character" w:styleId="EndnoteSymbol" w:customStyle="1">
    <w:name w:val="Endnote_Symbol"/>
    <w:qFormat/>
    <w:rPr>
      <w:vertAlign w:val="superscript"/>
    </w:rPr>
  </w:style>
  <w:style w:type="character" w:styleId="Footnoteanchor" w:customStyle="1">
    <w:name w:val="Footnote_anchor"/>
    <w:qFormat/>
    <w:rPr>
      <w:vertAlign w:val="superscript"/>
    </w:rPr>
  </w:style>
  <w:style w:type="character" w:styleId="Endnoteanchor" w:customStyle="1">
    <w:name w:val="Endnote_anchor"/>
    <w:qFormat/>
    <w:rPr>
      <w:vertAlign w:val="superscript"/>
    </w:rPr>
  </w:style>
  <w:style w:type="character" w:styleId="FootnoteAnchor1" w:customStyle="1">
    <w:name w:val="Footnote Anchor"/>
    <w:qFormat/>
    <w:rPr>
      <w:vertAlign w:val="superscript"/>
    </w:rPr>
  </w:style>
  <w:style w:type="character" w:styleId="EndnoteAnchor1" w:customStyle="1">
    <w:name w:val="Endnote Anchor"/>
    <w:qFormat/>
    <w:rPr>
      <w:vertAlign w:val="superscript"/>
    </w:rPr>
  </w:style>
  <w:style w:type="character" w:styleId="InternetLink">
    <w:name w:val="Hyperlink"/>
    <w:basedOn w:val="DefaultParagraphFont"/>
    <w:uiPriority w:val="99"/>
    <w:unhideWhenUsed/>
    <w:rsid w:val="00b34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4c8c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0650ad"/>
    <w:rPr>
      <w:color w:val="954F72" w:themeColor="followed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/>
    <w:rPr/>
  </w:style>
  <w:style w:type="paragraph" w:styleId="Caption1">
    <w:name w:val="caption"/>
    <w:basedOn w:val="Normal"/>
    <w:qFormat/>
    <w:pPr/>
    <w:rPr/>
  </w:style>
  <w:style w:type="paragraph" w:styleId="TableContents" w:customStyle="1">
    <w:name w:val="Table Contents"/>
    <w:basedOn w:val="TextBody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  <w:style w:type="paragraph" w:styleId="ListParagraph">
    <w:name w:val="List Paragraph"/>
    <w:basedOn w:val="Normal"/>
    <w:uiPriority w:val="34"/>
    <w:qFormat/>
    <w:rsid w:val="001b0551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assignments.docx" TargetMode="External"/><Relationship Id="rId3" Type="http://schemas.openxmlformats.org/officeDocument/2006/relationships/hyperlink" Target="assignments.docx" TargetMode="External"/><Relationship Id="rId4" Type="http://schemas.openxmlformats.org/officeDocument/2006/relationships/hyperlink" Target="https://gatech.instructure.com/courses/221674" TargetMode="External"/><Relationship Id="rId5" Type="http://schemas.openxmlformats.org/officeDocument/2006/relationships/hyperlink" Target="https://registrar.gatech.edu/calendar" TargetMode="External"/><Relationship Id="rId6" Type="http://schemas.openxmlformats.org/officeDocument/2006/relationships/hyperlink" Target="https://www.amazon.com/Geek-Heresy-Rescuing-Social-Technology/dp/161039528X" TargetMode="External"/><Relationship Id="rId7" Type="http://schemas.openxmlformats.org/officeDocument/2006/relationships/hyperlink" Target="https://dl.acm.org/doi/abs/10.1145/2909609.2909657" TargetMode="External"/><Relationship Id="rId8" Type="http://schemas.openxmlformats.org/officeDocument/2006/relationships/hyperlink" Target="http://itidjournal.org/index.php/itid/article/download/1440/1440-4047-2-PB.pdf" TargetMode="External"/><Relationship Id="rId9" Type="http://schemas.openxmlformats.org/officeDocument/2006/relationships/hyperlink" Target="http://aiweb.cs.washington.edu/research/projects/aiweb/media/papers/paper1399-kientz.pdf" TargetMode="External"/><Relationship Id="rId10" Type="http://schemas.openxmlformats.org/officeDocument/2006/relationships/hyperlink" Target="https://ieeexplore.ieee.org/abstract/document/4548169?casa_token=HG9r-PBXY5UAAAAA:hUFTRND5OGVrbz7zADS1Zxy7dgHYMr41u6_YdB428M-HnXCEzXv00ToBwara9qzXS_zcZ5oC" TargetMode="External"/><Relationship Id="rId11" Type="http://schemas.openxmlformats.org/officeDocument/2006/relationships/hyperlink" Target="https://www.tandfonline.com/doi/abs/10.1080/01972240290075039?casa_token=3WkY2zrlPRAAAAAA%3AbPx9qWKjw0wLa6ropZQBwSkqN25Jg0oh50ofHXskezo42y-4kwtc7Q-caV6BWVTQeGdxUtgAS6Im&amp;" TargetMode="External"/><Relationship Id="rId12" Type="http://schemas.openxmlformats.org/officeDocument/2006/relationships/hyperlink" Target="https://www.cc.gatech.edu/fac/vempala/papers/ICTD09.pdf" TargetMode="External"/><Relationship Id="rId13" Type="http://schemas.openxmlformats.org/officeDocument/2006/relationships/hyperlink" Target="https://ieeexplore.ieee.org/abstract/document/5426674" TargetMode="External"/><Relationship Id="rId14" Type="http://schemas.openxmlformats.org/officeDocument/2006/relationships/hyperlink" Target="https://smartech.gatech.edu/bitstream/handle/1853/48574/Sustainability Failures of Rural Telecenters Challenges from the Sustainable Access in Rural India (SARI) Project.pdf?sequence=1&amp;isAllowed=y" TargetMode="External"/><Relationship Id="rId15" Type="http://schemas.openxmlformats.org/officeDocument/2006/relationships/hyperlink" Target="https://gtvault-my.sharepoint.com/:p:/g/personal/dciolfi3_gatech_edu/Ef3uUDZ3UGJCl9rqLa74G6EByoXRTVSsljBuzL4kvKFieg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LibreOffice/7.1.1.2$Windows_X86_64 LibreOffice_project/fe0b08f4af1bacafe4c7ecc87ce55bb426164676</Application>
  <AppVersion>15.0000</AppVersion>
  <Pages>2</Pages>
  <Words>388</Words>
  <Characters>2249</Characters>
  <CharactersWithSpaces>2606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2021-04-14T13:10:00Z</dcterms:created>
  <dc:creator/>
  <dc:description/>
  <dc:language>en-US</dc:language>
  <cp:lastModifiedBy/>
  <dcterms:modified xsi:type="dcterms:W3CDTF">2021-05-12T03:23:09Z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