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</w:pPr>
      <w:r>
        <w:rPr>
          <w:b/>
          <w:sz w:val="26"/>
        </w:rPr>
        <w:t>Relatório de auditoria dos dados — CAT/INSS 2018–2025 e caracterização municipal</w:t>
      </w:r>
    </w:p>
    <w:p>
      <w:pPr>
        <w:jc w:val="both"/>
      </w:pPr>
      <w:r>
        <w:t>Síntese dos achados de auditoria (detalhes em logs/log_auditoria.csv e logs/log_qualidade_dados.csv). Nenhum arquivo SmartLab presente (etapa excluída por decisão metodológica).</w:t>
      </w:r>
    </w:p>
    <w:p>
      <w:pPr>
        <w:spacing w:before="160"/>
      </w:pPr>
      <w:r>
        <w:rPr>
          <w:b/>
          <w:sz w:val="23"/>
        </w:rPr>
        <w:t>1. Achados (origem — problema — gravidade — correção)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  <w:sz w:val="16"/>
              </w:rPr>
              <w:t>origem</w:t>
            </w:r>
          </w:p>
        </w:tc>
        <w:tc>
          <w:tcPr>
            <w:tcW w:type="dxa" w:w="2268"/>
          </w:tcPr>
          <w:p>
            <w:r>
              <w:rPr>
                <w:b/>
                <w:sz w:val="16"/>
              </w:rPr>
              <w:t>problema_evidencia</w:t>
            </w:r>
          </w:p>
        </w:tc>
        <w:tc>
          <w:tcPr>
            <w:tcW w:type="dxa" w:w="2268"/>
          </w:tcPr>
          <w:p>
            <w:r>
              <w:rPr>
                <w:b/>
                <w:sz w:val="16"/>
              </w:rPr>
              <w:t>gravidade</w:t>
            </w:r>
          </w:p>
        </w:tc>
        <w:tc>
          <w:tcPr>
            <w:tcW w:type="dxa" w:w="2268"/>
          </w:tcPr>
          <w:p>
            <w:r>
              <w:rPr>
                <w:b/>
                <w:sz w:val="16"/>
              </w:rPr>
              <w:t>correcao_decisao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cobertura_fonte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 série do INSS/PDA inicia na competência jul/2018: acidentes de jan–jun/2018 só aparecem se registrados depois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2018 tratado como ano de cobertura parcial (asterisco em tabelas/figuras)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cobertura_fonte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Arquivos de 2022 com cobertura irregular (202201/202204 com emissões até jun; 202207–202211 sobrepostos e decrescentes)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deduplicação por hash entre arquivos sobrepostos; 2022 marcado como parcial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cobertura_fonte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Competências set–dez/2024 com volume nacional atípico (3–10 mil linhas/mês vs 40–60 mil) e nov–dez/2025 quase vazias (205 e 126 linhas)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2024 e 2025 marcados como parciais; sensibilidade jan–out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estrutura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4 esquemas de colunas (24A, 24B, 25, 27); cabeçalhos duplicados (CBO, CID-10, CNAE, Data Acidente); 3 arquivos de 2020 em UTF-8-BOM e demais em Latin-1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moderado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importação por posição com mapa por esquema e detecção de codificação por arquivo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estrutura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Esquema S24B (competências jun–out/2023) NÃO traz data de emissão nem despacho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moderado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tempo acidente→emissão calculado apenas onde disponível (n informado)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municipio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12 registros com código 330100 e UF do empregador ≠ RJ (SP, RS, GO, PR)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baixo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excluídos pelo critério conjunto código+UF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cbo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184 registros (3,6%) sem CBO válido, concentrados em 2021–2023 ('{ñ class}'), 35 deles em CNAE saúde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moderado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mantidos em categoria própria 'CBO não classificado'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cbo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Descrições truncadas a 20 caracteres em parte dos arquivos; códigos 2231xx (família médica anterior) ausentes da tabela CBO vigente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baixo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classificação por código+família com validação manual; títulos oficiais anexados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datas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Coluna 2 'Data Acidente' é mês de referência (AAAA/MM, AAAAMM ou DD/MM/AAAA com dia=01), distinta da data completa (col. 21–23)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alto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análises temporais usam exclusivamente a data completa do acidente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idade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7 registros sem data de nascimento válida; nenhuma idade fora de [14,100] na base Campos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baixo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idade ausente registrada; sem exclusão de registros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smartlab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Nenhum arquivo SmartLab presente na pasta; etapa excluída por decisão metodológica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informativo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268"/>
          </w:tcPr>
          <w:p>
            <w:r>
              <w:rPr>
                <w:sz w:val="16"/>
              </w:rPr>
              <w:t>legado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Resultados da análise anterior (medicina x enfermagem) não localizados na pasta (RESULTADOS/ ausente); não reproduzíveis e não reutilizados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informativo</w:t>
            </w:r>
          </w:p>
        </w:tc>
        <w:tc>
          <w:tcPr>
            <w:tcW w:type="dxa" w:w="2268"/>
          </w:tcPr>
          <w:p>
            <w:r>
              <w:rPr>
                <w:sz w:val="16"/>
              </w:rPr>
              <w:t>análise integralmente refeita desde os brutos</w:t>
            </w:r>
          </w:p>
        </w:tc>
      </w:tr>
    </w:tbl>
    <w:p>
      <w:pPr>
        <w:spacing w:before="160"/>
      </w:pPr>
      <w:r>
        <w:rPr>
          <w:b/>
          <w:sz w:val="23"/>
        </w:rPr>
        <w:t>2. Fluxo de seleção de registros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sz w:val="18"/>
              </w:rPr>
              <w:t>etapa</w:t>
            </w:r>
          </w:p>
        </w:tc>
        <w:tc>
          <w:tcPr>
            <w:tcW w:type="dxa" w:w="4536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Linhas lidas nos 58 arquivos CAT/INSS (2018–2025)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3902905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Registros candidatos (código 330100 ou nome contendo 'campos')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15932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Duplicidades exatas entre arquivos sobrepostos removidas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2546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Excluídos: outros municípios com 'Campo(s)' no nome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8308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Excluídos: código 330100 com UF do empregador ≠ RJ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Base Campos dos Goytacazes (330100 + UF RJ), acidentes 2018–2025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5066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→ Profissões da saúde (universo principal)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1144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→ Profissões multiprofissionais intersetoriais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26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→ CBO não classificado (mantidos, analisados à parte)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184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→ Demais ocupações (fora do campo da saúde)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3712</w:t>
            </w:r>
          </w:p>
        </w:tc>
      </w:tr>
    </w:tbl>
    <w:p>
      <w:pPr>
        <w:spacing w:before="160"/>
      </w:pPr>
      <w:r>
        <w:rPr>
          <w:b/>
          <w:sz w:val="23"/>
        </w:rPr>
        <w:t>3. Completude (universo principal, % de válidos por ano)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  <w:gridCol w:w="698"/>
      </w:tblGrid>
      <w:tr>
        <w:tc>
          <w:tcPr>
            <w:tcW w:type="dxa" w:w="698"/>
          </w:tcPr>
          <w:p>
            <w:r>
              <w:rPr>
                <w:b/>
                <w:sz w:val="16"/>
              </w:rPr>
              <w:t>ano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cbo_codigo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cid10_codigo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cnae_classe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sexo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idade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tipo_acidente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agente_causador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natureza_lesao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parte_corpo_atingida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emitente_cat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data_emissao_cat</w:t>
            </w:r>
          </w:p>
        </w:tc>
        <w:tc>
          <w:tcPr>
            <w:tcW w:type="dxa" w:w="698"/>
          </w:tcPr>
          <w:p>
            <w:r>
              <w:rPr>
                <w:b/>
                <w:sz w:val="16"/>
              </w:rPr>
              <w:t>origem_cadastramento_cat</w:t>
            </w:r>
          </w:p>
        </w:tc>
      </w:tr>
      <w:tr>
        <w:tc>
          <w:tcPr>
            <w:tcW w:type="dxa" w:w="698"/>
          </w:tcPr>
          <w:p>
            <w:r>
              <w:rPr>
                <w:sz w:val="16"/>
              </w:rPr>
              <w:t>2018.0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96.0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698"/>
          </w:tcPr>
          <w:p>
            <w:r>
              <w:rPr>
                <w:sz w:val="16"/>
              </w:rPr>
              <w:t>2019.0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97.5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698"/>
          </w:tcPr>
          <w:p>
            <w:r>
              <w:rPr>
                <w:sz w:val="16"/>
              </w:rPr>
              <w:t>2020.0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99.3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94.8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698"/>
          </w:tcPr>
          <w:p>
            <w:r>
              <w:rPr>
                <w:sz w:val="16"/>
              </w:rPr>
              <w:t>2021.0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95.0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89.4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698"/>
          </w:tcPr>
          <w:p>
            <w:r>
              <w:rPr>
                <w:sz w:val="16"/>
              </w:rPr>
              <w:t>2022.0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97.6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98.8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98.8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77.4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96.4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698"/>
          </w:tcPr>
          <w:p>
            <w:r>
              <w:rPr>
                <w:sz w:val="16"/>
              </w:rPr>
              <w:t>2023.0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97.8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99.4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99.4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69.7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98.9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62.9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698"/>
          </w:tcPr>
          <w:p>
            <w:r>
              <w:rPr>
                <w:sz w:val="16"/>
              </w:rPr>
              <w:t>2024.0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99.4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98.7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698"/>
          </w:tcPr>
          <w:p>
            <w:r>
              <w:rPr>
                <w:sz w:val="16"/>
              </w:rPr>
              <w:t>2025.0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99.2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99.2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100.0</w:t>
            </w:r>
          </w:p>
        </w:tc>
        <w:tc>
          <w:tcPr>
            <w:tcW w:type="dxa" w:w="698"/>
          </w:tcPr>
          <w:p>
            <w:r>
              <w:rPr>
                <w:sz w:val="16"/>
              </w:rPr>
              <w:t>94.7</w:t>
            </w:r>
          </w:p>
        </w:tc>
      </w:tr>
    </w:tbl>
    <w:p>
      <w:pPr>
        <w:jc w:val="both"/>
      </w:pPr>
      <w:r>
        <w:t>Notas: a queda de completude de CBO em 2021–2023 decorre de '{ñ class}' na fonte; a data de emissão inexiste no esquema das competências jun–out/2023; agente causador sem informação em cerca de 10% dos registros.</w:t>
      </w:r>
    </w:p>
    <w:p>
      <w:pPr>
        <w:spacing w:before="160"/>
      </w:pPr>
      <w:r>
        <w:rPr>
          <w:b/>
          <w:sz w:val="23"/>
        </w:rPr>
        <w:t>4. Classificação dos resultados</w:t>
      </w:r>
    </w:p>
    <w:p>
      <w:pPr>
        <w:jc w:val="both"/>
      </w:pPr>
      <w:r>
        <w:t>CONFIÁVEIS: fluxo de seleção; distribuição por categoria profissional, sexo, tipo de acidente, parte do corpo, agente, natureza, CID-10, CNAE e emitente; totais de 2019, 2020, 2021 e 2023 (cobertura integral de competências). CONFIÁVEIS COM RESSALVAS: comparações anuais envolvendo 2018, 2022, 2024 e 2025 (cobertura parcial ou irregular da fonte); idade (7 registros sem nascimento); tempo acidente–emissão (ausente em parte de 2023); categorias com n&lt;5 (suprimidas/agregadas). EXPLORATÓRIOS: comparação de médias mensais entre períodos pré/critico/pós-pandemia; proporção de agente infeccioso por ano; recorte de trabalhadores de apoio em CNAE saúde; razões CAT/1.000 profissionais CNES (T21/T22 — denominador inclui vínculos não celetistas; densidade de comunicação, não incidência). NÃO UTILIZÁVEIS: quaisquer resultados da análise legada (universo restrito, duplicidades não tratadas, classificação textual; saídas antigas não localizadas na pasta — irreprodutíveis).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