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ind w:firstLine="0"/>
        <w:jc w:val="center"/>
      </w:pPr>
      <w:r>
        <w:rPr>
          <w:b/>
          <w:i w:val="0"/>
          <w:sz w:val="24"/>
        </w:rPr>
        <w:t>Trabalho e desgaste nas profissões da saúde de Campos dos Goytacazes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 trabalho é um processo social, econômico e político historicamente determinado. Desde a Revolução Industrial, o modo de organizar a produção disciplina corpos e tempos e produz padrões específicos de adoecimento (Oliveira, 2004). No Brasil, o campo da Saúde do Trabalhador constituiu-se como crítica à medicina do trabalho e à saúde ocupacional, ao afirmar a determinação social do processo saúde-doença e o processo de trabalho como categoria explicativa central (Mendes e Dias, 1991). No setor saúde, o trabalho produtor do cuidado se realiza sob divisão social e técnica, relações desiguais de poder entre categorias e desgaste, em serviços submetidos à reorganização gerencial flexível. Parcela expressiva dos vínculos do Sistema Único de Saúde (SUS) é precária, estimada entre 30% e 50% (Cecilio e Lacaz, 2012).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Campos dos Goytacazes é o maior município fluminense em extensão (4.032,5 km²) e contava com 483.540 habitantes no Censo de 2022, com estimativa de 519.259 para 2025. A população se declara branca (42,1%), parda (40,1%) e preta (17,7%), com 3.083 quilombolas e 363 indígenas recenseados. A taxa de alfabetização das pessoas de 15 anos ou mais é de 95,1%. O Índice de Desenvolvimento Humano Municipal (IDHM) era de 0,716 em 2010, abaixo da média do estado do Rio de Janeiro (0,761). Em 2010, 37,7% da população vivia com rendimento nominal mensal per capita de até meio salário mínimo. O salário médio mensal dos trabalhadores formais era de 2,1 salários mínimos em 2023 e o pessoal ocupado em postos formais somava 114.135 pessoas. O PIB per capita de 2023 foi de R$ 88.831,26 (Tabela 1).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1.</w:t>
      </w:r>
      <w:r>
        <w:rPr>
          <w:b w:val="0"/>
          <w:i w:val="0"/>
          <w:sz w:val="19"/>
        </w:rPr>
        <w:t xml:space="preserve"> Campos dos Goytacazes (RJ): perfil sociodemográfico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Indicador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Valor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Ano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residente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483.540 hab.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estimada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519.259 hab.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2025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Densidade demográfica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119,9 hab./km²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quilombola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3.083 pessoas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indígena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363 pessoas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IDHM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0,716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2010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PIB per capita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R$ 88.831,26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2023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Salário médio mensal (formal)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2,1 salários mínimos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2023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Pop. com renda até ½ SM per capita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37,7%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2010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IBGE, Censo Demográfico 2022, estimativas populacionais e IBGE Cidades (https://cidades.ibge.gov.br). SM = salário mínimo.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formação econômica do município assentou-se na agroindústria açucareira e, a partir das décadas de 1980 e 1990, na exploração de petróleo da Bacia de Campos e nas rendas petrolíferas (</w:t>
      </w:r>
      <w:r>
        <w:rPr>
          <w:b w:val="0"/>
          <w:i/>
          <w:sz w:val="22"/>
        </w:rPr>
        <w:t>royalties</w:t>
      </w:r>
      <w:r>
        <w:rPr>
          <w:b w:val="0"/>
          <w:i w:val="0"/>
          <w:sz w:val="22"/>
        </w:rPr>
        <w:t xml:space="preserve"> e participações especiais) (Silva e Hasenclever, 2019). O Cadastro Central de Empresas de 2024 registra 16.776 empresas atuantes, 114.466 pessoas ocupadas (93.366 assalariadas) e salário médio mensal de 2,2 salários mínimos. O setor de saúde humana e serviços sociais respondia por 1.544 estabelecimentos e 15.002 postos de trabalho. O PIB municipal, a preços correntes, oscilou de R$ 58,4 bilhões em 2013 para R$ 23,9 bilhões em 2020 e R$ 43,0 bilhões em 2023, acompanhando a volatilidade da commodity petrolífera. Silva e Hasenclever (2019) demonstram que o ciclo do petróleo elevou arrecadação sem diversificação produtiva e Martins, Hasenclever e Miranda (2024) mostram que o financiamento da saúde municipal acompanhou essas flutuações entre 2009 e 2020.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As finanças públicas municipais evidenciam dependência estrutural de transferências intergovernamentais. Em 2024, as receitas brutas somaram R$ 2,95 bilhões, dos quais 71,0% provieram de transferências correntes, enquanto as despesas empenhadas atingiram R$ 3,31 bilhões. As despesas por natureza econômica, obtidas do Portal da Transparência da Prefeitura de Campos para o período de 2020 a 2024, revelam a coexistência de dois regimes previdenciários no funcionalismo municipal. As contribuições patronais ao Regime Próprio de Previdência Social (RPPS) dos servidores estatutários somaram R$ 58,7 milhões em 2024, acrescidas de R$ 2,5 milhões de aporte para cobertura do déficit atuarial. As contribuições ao Regime Geral de Previdência Social (INSS) dos trabalhadores celetistas totalizaram R$ 18,3 milhões no mesmo exercício. A existência de um regime próprio é relevante para a análise dos acidentes de trabalho porque a CAT cobre apenas os segurados do INSS, deixando os servidores estatutários sob a égide do RPPS, cujos registros de acidentes e adoecimentos não são consolidados em base nacional de acesso público (Tabela 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2.</w:t>
      </w:r>
      <w:r>
        <w:rPr>
          <w:b w:val="0"/>
          <w:i w:val="0"/>
          <w:sz w:val="19"/>
        </w:rPr>
        <w:t xml:space="preserve"> Campos dos Goytacazes (RJ): estrutura empresarial, finanças públicas e regimes previdenciários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Indicador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Valor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Ano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Empresas atuantes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16.776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Pessoal ocupado total (assalariado)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114.466 (93.366)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Saúde: unidades / pessoal ocupado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1.544 / 15.002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Receitas brutas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R$ 2,95 bilhões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Transferências correntes (% das receitas)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71,0%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Despesas empenhadas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R$ 3,31 bilhões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Contribuições RPPS (estatutários)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R$ 61,2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Contribuições INSS (celetistas)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R$ 18,3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Aporte déficit atuarial RPPS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R$ 2,5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Déficit orçamentário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R$ 356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Fontes dos dados brutos: IBGE, Cadastro Central de Empresas 2024; Siconfi/STN, Finanças Públicas 2024; Portal da Transparência da Prefeitura de Campos, despesas por natureza econômica, 2020-2024. RPPS = Regime Próprio de Previdência Social.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O perfil de mortalidade do município, obtido do Sistema de Informações sobre Mortalidade (SIM/DATASUS) e processado com o pacote </w:t>
      </w:r>
      <w:r>
        <w:rPr>
          <w:b w:val="0"/>
          <w:i/>
          <w:sz w:val="22"/>
        </w:rPr>
        <w:t>microdatasus</w:t>
      </w:r>
      <w:r>
        <w:rPr>
          <w:b w:val="0"/>
          <w:i w:val="0"/>
          <w:sz w:val="22"/>
        </w:rPr>
        <w:t xml:space="preserve"> (R), registrou entre 4.199 e 5.635 óbitos anuais de residentes no período de 2019 a 2024, com taxa bruta de mortalidade variando de 8,1 a 10,9 por 1.000 habitantes (Tabela 3). Em 2021, auge da pandemia de covid-19, as doenças infecciosas e parasitárias deslocaram-se para a primeira posição (1.548 óbitos, 27,5% do total), ultrapassando as doenças do aparelho circulatório, que retomaram a liderança a partir de 2022. As causas externas mantiveram-se entre as cinco primeiras posições em todo o período. Esse deslocamento evidencia o impacto da pandemia sobre um território com IDHM de 0,716 e 37,7% da população em situação de pobreza em 2010. Nesse mercado de trabalho, os serviços de saúde, polo regional do Norte Fluminense, constituem espaço relevante de assalariamento, estratificado por hierarquias de renda e de prestígio entre profissões (Lemos, 2012).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3.</w:t>
      </w:r>
      <w:r>
        <w:rPr>
          <w:b w:val="0"/>
          <w:i w:val="0"/>
          <w:sz w:val="19"/>
        </w:rPr>
        <w:t xml:space="preserve"> Campos dos Goytacazes (RJ): mortalidade geral de residentes, 2019-2024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Ano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Óbitos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Taxa/1.000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1ª causa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2ª causa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2019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4.299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8,5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Neoplasias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2020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4.831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9,5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Infecciosas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5.635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10,9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Infecciosas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4.608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9,5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Neoplasias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4.199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8,1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Respiratórias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4.346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8,4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Respiratórias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SIM/DATASUS, processados com o pacote microdatasus (R). Denominadores populacionais do IBGE (estimativas e Censo 2022).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Este estudo, de natureza teórico-conceitual e documental, apoia-se em </w:t>
      </w:r>
      <w:r>
        <w:rPr>
          <w:b w:val="0"/>
          <w:i/>
          <w:sz w:val="22"/>
        </w:rPr>
        <w:t>pipeline</w:t>
      </w:r>
      <w:r>
        <w:rPr>
          <w:b w:val="0"/>
          <w:i w:val="0"/>
          <w:sz w:val="22"/>
        </w:rPr>
        <w:t xml:space="preserve"> reprodutível e auditado (scripts, logs e testes automatizados acompanham o repositório). A base empírica foi reconstruída dos dados abertos da CAT do INSS, disponíveis no Portal de Dados Abertos do governo federal. Foram processados 58 arquivos, competências de julho de 2018 a outubro de 2025, totalizando 3.902.905 registros. A importação foi feita por posição de coluna, dados os quatro esquemas estruturais distintos e cabeçalhos duplicados de CBO, CID-10, CNAE e data do acidente. A codificação de caracteres foi detectada arquivo a arquivo e o mês de referência administrativo foi rigorosamente distinguido da data completa do acidente. O recorte municipal exigiu código do empregador igual a 330100 e unidade federativa igual a Rio de Janeiro. Municípios homônimos foram excluídos, assim como 12 registros com UF divergente. Foram removidos 938 registros duplicados (401 </w:t>
      </w:r>
      <w:r>
        <w:rPr>
          <w:b w:val="0"/>
          <w:i/>
          <w:sz w:val="22"/>
        </w:rPr>
        <w:t>hashes</w:t>
      </w:r>
      <w:r>
        <w:rPr>
          <w:b w:val="0"/>
          <w:i w:val="0"/>
          <w:sz w:val="22"/>
        </w:rPr>
        <w:t xml:space="preserve"> SHA-256 distintos) entre arquivos de cobertura sobreposta. A classificação ocupacional utilizou a CBO 2002, com dicionário auditado de 458 códigos observados em Campos. Registros sem código válido (184, 3,6%) foram mantidos em categoria própria. Os denominadores de força de trabalho foram extraídos da RAIS, disponível no FTP do Ministério do Trabalho e Emprego, processados com detecção automática de delimitador. Como a RAIS captura apenas vínculos celetistas ativos em 31 de dezembro de cada ano, seus denominadores são comensuráveis com o numerador da CAT, que também cobre majoritariamente celetistas. Denominadores complementares do CNES-PF foram obtidos com o pacote microdatasus (R) e sustentam razões exploratórias de densidade de comunicação. Todos os totais foram reproduzidos por rotina independente, com convergência integral. Células com menos de cinco registros foram agregadas.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Das 5.066 CATs vinculadas a empregadores de Campos dos Goytacazes entre 2018 e 2025, 1.144 (22,6%) correspondem às profissões da saúde, 26 às profissões multiprofissionais, 184 (3,6%) a registros sem CBO válido e 3.712 às demais ocupações, das quais 427 estavam empregadas em estabelecimentos de saúde. A distribuição interna é fortemente assimétrica (Tabela 4). A enfermagem concentra 84,4% dos registros, sendo 70,2% de técnicos e auxiliares e 14,2% de enfermeiros. Seguem-se os técnicos e auxiliares de diagnóstico e laboratório (6,8%) e a fisioterapia (2,6%). A medicina responde por 1,0%. Predominam mulheres (85,7%), com idade mediana de 36 anos. Os acidentes típicos somam 81,9% e os de trajeto, 17,1%. Os ferimentos de punho e mãos lideram os diagnósticos (CID-10 S61, 25,1%; o dedo é a parte atingida em 43,9% dos registros), seguidos do contato ou exposição a doenças transmissíveis (Z20, 21,9%). Agentes infecciosos e produtos biológicos respondem por 26,9% dos agentes causadores. Quase todos os empregadores pertencem às divisões 86 e 87 da CNAE (95,4%), com dominância hospitalar (classe 8610, 76,8%). O empregador emitiu 97,0% das CATs, com mediana de um dia entre o acidente e a emissão. Houve um óbito registrado. Comunicações de doença relacionada ao trabalho somaram apenas 1,0%, mesmo com a pandemia dentro do período (Figuras 1 e 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4.</w:t>
      </w:r>
      <w:r>
        <w:rPr>
          <w:b w:val="0"/>
          <w:i w:val="0"/>
          <w:sz w:val="19"/>
        </w:rPr>
        <w:t xml:space="preserve"> Características das CATs das profissões da saúde, empregadores de Campos dos Goytacazes (RJ), 2018-2025 (n = 1.144)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Característica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n (%)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Técnicos e auxiliares de enfermagem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803 (70,2)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Enfermeiros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163 (14,2)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Téc. e aux. de diagnóstico e laboratório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78 (6,8)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Fisioterapia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30 (2,6)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Técnicos e auxiliares de farmácia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 (1,7)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Agentes comunitários de saúde e afins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14 (1,2)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Medicina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12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Demais categorias (n&lt;5 agregados)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24 (2,1)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Sexo feminino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980 (85,7)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Acidente típico / trajeto / doença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937 (81,9) / 196 (17,1) / 11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Parte atingida: dedo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502 (43,9)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Agente biológico ou infeccioso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308 (26,9)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CID-10 S61 / Z20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287 (25,1) / 250 (21,9)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Empregador CNAE 86-87 (hospitalar 8610)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1.091 (95,4) / 879 (76,8)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CAT emitida pelo empregador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1.110 (97,0)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INSS, Comunicações de Acidente de Trabalho (CAT), disponíveis no Portal de Dados Abertos do governo federal. Idade mediana de 36 anos. Sexo ignorado em 4 registros. Um óbito. Percentuais sobre o universo principal (n = 1.144).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2079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at_ano_categor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79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/>
          <w:i w:val="0"/>
          <w:sz w:val="17"/>
        </w:rPr>
        <w:t>Figura 1.</w:t>
      </w:r>
      <w:r>
        <w:rPr>
          <w:b w:val="0"/>
          <w:i w:val="0"/>
          <w:sz w:val="17"/>
        </w:rPr>
        <w:t xml:space="preserve"> CATs de profissões da saúde (universo principal, n = 1.144), Campos dos Goytacazes (RJ), por ano do acidente e categoria profissional, 2018-2025. *Cobertura parcial ou irregular da fonte.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1764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erie_mensal_sau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6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/>
          <w:i w:val="0"/>
          <w:sz w:val="17"/>
        </w:rPr>
        <w:t>Figura 2.</w:t>
      </w:r>
      <w:r>
        <w:rPr>
          <w:b w:val="0"/>
          <w:i w:val="0"/>
          <w:sz w:val="17"/>
        </w:rPr>
        <w:t xml:space="preserve"> Distribuição mensal das CATs de profissões da saúde (universo principal, n = 1.144), Campos dos Goytacazes (RJ), janeiro de 2018 a dezembro de 2025. Destaque para o período crítico da covid-19 (março de 2020 a dezembro de 2021) e médias mensais por período. Ver notas da Figura 1 sobre oscilações de cobertura da fonte.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concentração dos registros na base técnica da enfermagem expressa a divisão social e técnica do trabalho em saúde. A execução manual e corporal do cuidado, que inclui punção venosa, administração de medicamentos, manipulação de perfurocortantes e mobilização de pacientes, é delegada a categorias majoritariamente femininas, de menor renda e prestígio, submetidas a intensificação e sobrecarga (Cecilio e Lacaz, 2012; Antunes, 2018). O setor saúde de Campos empregava 15.002 pessoas em 2024, com massa salarial anual de R$ 593,9 milhões e salário médio de 2,2 salários mínimos mensais, o que torna esse contingente economicamente relevante e, ao mesmo tempo, vulnerável à oscilação das finanças públicas. A quase invisibilidade da medicina (12 CATs em oito anos, ante 1.099 a 1.393 vínculos celetistas ativos de médicos na RAIS entre 2018 e 2025) não autoriza concluir menor exposição. Indica inserção predominante por vínculos estatutários, autônomos e de pessoa jurídica, não cobertos pela CAT, o que configura desigualdade de proteção e de reconhecimento institucional e reitera a estratificação de classe e prestígio entre as profissões (Lemos, 2012). A coexistência de dois regimes previdenciários na administração municipal, com R$ 58,7 milhões em contribuições ao RPPS e R$ 18,3 milhões ao INSS em 2024, materializa essa dualidade de proteção. Agentes comunitários de saúde e de combate às endemias, majoritariamente estatutários, quase não aparecem na base (14 registros, nenhum agente de combate às endemias).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A média mensal de registros passou de 13,8 (julho de 2018 a fevereiro de 2020) para 14,5 no período crítico da covid-19 (março de 2020 a dezembro de 2021) e recuou para 11,9 no biênio seguinte (2022-2023), convergente com a sobrecarga pandêmica descrita para os trabalhadores da saúde (Vedovato </w:t>
      </w:r>
      <w:r>
        <w:rPr>
          <w:b w:val="0"/>
          <w:i/>
          <w:sz w:val="22"/>
        </w:rPr>
        <w:t>et al.</w:t>
      </w:r>
      <w:r>
        <w:rPr>
          <w:b w:val="0"/>
          <w:i w:val="0"/>
          <w:sz w:val="22"/>
        </w:rPr>
        <w:t>, 2021). As oscilações de cobertura da fonte, contudo, impedem atribuição causal (Figura 2). A baixíssima frequência de comunicações de doença (1,0%) reforça o diagnóstico de subnotificação seletiva. O sistema registra sobretudo a lesão aguda e visível, não o adoecimento lento produzido pela organização do trabalho. Os dados não permitem estimar incidência, prevalência ou risco ocupacional, pois as diferenças entre categorias podem refletir o tamanho das forças de trabalho, a composição e a formalização dos vínculos, a terceirização e a cultura institucional de notificação. A robustez interna é alta. A predominância da enfermagem e a hierarquia das categorias mantêm-se em todos os cenários de sensibilidade, com participação da enfermagem entre 84,4% e 86,3%. As razões exploratórias com denominadores do CNES (13.839 profissionais em 2018, 18.382 em 2025) reforçam o gradiente. Nos anos de cobertura integral (2019 a 2021 e 2023) houve de 25,0 a 36,6 CATs por 1.000 técnicos e auxiliares de enfermagem ao ano, de 16,5 a 28,0 por 1.000 enfermeiros e 1,2 por 1.000 médicos em 2019, com valores suprimidos nos demais anos por contagens inferiores a cinco.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Para a Vigilância em Saúde do Trabalhador e para a gestão municipal, os resultados indicam prioridades verificáveis. A primeira é proteger a base técnica da enfermagem, núcleo do cuidado e dos registros, com ênfase em perfurocortantes e exposição biológica. A segunda é enfrentar a subnotificação de doenças relacionadas ao trabalho e a invisibilidade de estatutários, terceirizados e informais, articulando CAT, SINAN, RAIS, CNES e os registros do RPPS municipal, cujos dados de acidentes e adoecimentos de servidores estatutários não são consolidados em base nacional de acesso público. A terceira é qualificar o preenchimento dos registros, pois 3,6% não trazem código ocupacional válido, com concentração entre 2021 e 2023. A quarta é planejar a rede assistencial reconhecendo que seu financiamento oscila com as rendas petrolíferas (Martins, Hasenclever e Miranda, 2024) e que a proteção de quem cuida é condição de possibilidade do próprio cuidado. O IDHM de 0,716, a dependência de 71% das receitas de transferências e a convivência de dois regimes previdenciários com patamares desiguais de proteção reforçam a urgência de políticas que não estejam à mercê da volatilidade de uma única </w:t>
      </w:r>
      <w:r>
        <w:rPr>
          <w:b w:val="0"/>
          <w:i/>
          <w:sz w:val="22"/>
        </w:rPr>
        <w:t>commodity</w:t>
      </w:r>
      <w:r>
        <w:rPr>
          <w:b w:val="0"/>
          <w:i w:val="0"/>
          <w:sz w:val="22"/>
        </w:rPr>
        <w:t>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CAT capta comunicações, não a totalidade dos acidentes e adoecimentos. Cobre essencialmente o emprego formal celetista, excluindo informais, autônomos e estatutários. Não há denominadores plenamente compatíveis para cálculo de incidência. A cobertura da fonte é parcial em 2018 (competências desde julho), irregular em 2022, atípica de setembro a dezembro de 2024 e incompleta em 2025 (dados até outubro), o que restringe comparações anuais. Registros sem CBO válido podem subestimar as profissões da saúde entre 2021 e 2023. O desenho descritivo e documental não permite inferência causal. Os registros de acidentes e adoecimentos de servidores estatutários municipais, vinculados ao RPPS, não estão disponíveis em base consolidada de acesso público, o que impede a comparação direta entre os dois regimes previdenciários.</w:t>
      </w:r>
    </w:p>
    <w:p>
      <w:pPr>
        <w:spacing w:before="120" w:after="40"/>
        <w:ind w:firstLine="0"/>
        <w:jc w:val="both"/>
      </w:pPr>
      <w:r>
        <w:rPr>
          <w:b/>
          <w:i w:val="0"/>
          <w:sz w:val="21"/>
        </w:rPr>
        <w:t>Referências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ANTUNES, R. </w:t>
      </w:r>
      <w:r>
        <w:rPr>
          <w:b/>
          <w:i w:val="0"/>
          <w:sz w:val="18"/>
        </w:rPr>
        <w:t>O privilégio da servidão</w:t>
      </w:r>
      <w:r>
        <w:rPr>
          <w:b w:val="0"/>
          <w:i w:val="0"/>
          <w:sz w:val="18"/>
        </w:rPr>
        <w:t>: o novo proletariado de serviços na era digital. São Paulo: Boitempo, 2018.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CECILIO, L. C. O.; LACAZ, F. A. C. </w:t>
      </w:r>
      <w:r>
        <w:rPr>
          <w:b/>
          <w:i w:val="0"/>
          <w:sz w:val="18"/>
        </w:rPr>
        <w:t>O trabalho em saúde</w:t>
      </w:r>
      <w:r>
        <w:rPr>
          <w:b w:val="0"/>
          <w:i w:val="0"/>
          <w:sz w:val="18"/>
        </w:rPr>
        <w:t>. Rio de Janeiro: Cebes, 2012.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IBGE. </w:t>
      </w:r>
      <w:r>
        <w:rPr>
          <w:b/>
          <w:i w:val="0"/>
          <w:sz w:val="18"/>
        </w:rPr>
        <w:t>Sistema IBGE de Recuperação Automática (SIDRA)</w:t>
      </w:r>
      <w:r>
        <w:rPr>
          <w:b w:val="0"/>
          <w:i w:val="0"/>
          <w:sz w:val="18"/>
        </w:rPr>
        <w:t>: Censo Demográfico 2022 (tabela 4714); Produto Interno Bruto dos Municípios (tabela 5938). Rio de Janeiro: IBGE, 2026. Disponível em: https://sidra.ibge.gov.br.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LEMOS, M. R. Estratificação social na teoria de Max Weber: considerações em torno do tema. </w:t>
      </w:r>
      <w:r>
        <w:rPr>
          <w:b/>
          <w:i w:val="0"/>
          <w:sz w:val="18"/>
        </w:rPr>
        <w:t>Revista Iluminart</w:t>
      </w:r>
      <w:r>
        <w:rPr>
          <w:b w:val="0"/>
          <w:i w:val="0"/>
          <w:sz w:val="18"/>
        </w:rPr>
        <w:t>, Sertãozinho, ano 4, n. 9, p. 113-128, nov. 2012.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MARTINS, S.; HASENCLEVER, L.; MIRANDA, C. A gestão da saúde à luz da instabilidade de financiamento e das propostas de governo. </w:t>
      </w:r>
      <w:r>
        <w:rPr>
          <w:b/>
          <w:i w:val="0"/>
          <w:sz w:val="18"/>
        </w:rPr>
        <w:t>Cadernos do Desenvolvimento Fluminense</w:t>
      </w:r>
      <w:r>
        <w:rPr>
          <w:b w:val="0"/>
          <w:i w:val="0"/>
          <w:sz w:val="18"/>
        </w:rPr>
        <w:t>, Rio de Janeiro, n. 27, 2024. Disponível em: https://doi.org/10.12957/cdf.2024.87352.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MENDES, R.; DIAS, E. C. Da medicina do trabalho à saúde do trabalhador. </w:t>
      </w:r>
      <w:r>
        <w:rPr>
          <w:b/>
          <w:i w:val="0"/>
          <w:sz w:val="18"/>
        </w:rPr>
        <w:t>Revista de Saúde Pública</w:t>
      </w:r>
      <w:r>
        <w:rPr>
          <w:b w:val="0"/>
          <w:i w:val="0"/>
          <w:sz w:val="18"/>
        </w:rPr>
        <w:t>, São Paulo, v. 25, n. 5, p. 341-349, 1991. Disponível em: https://doi.org/10.1590/S0034-89101991000500003.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OLIVEIRA, E. M. Transformações no mundo do trabalho, da Revolução Industrial aos nossos dias. </w:t>
      </w:r>
      <w:r>
        <w:rPr>
          <w:b/>
          <w:i w:val="0"/>
          <w:sz w:val="18"/>
        </w:rPr>
        <w:t>Caminhos de Geografia</w:t>
      </w:r>
      <w:r>
        <w:rPr>
          <w:b w:val="0"/>
          <w:i w:val="0"/>
          <w:sz w:val="18"/>
        </w:rPr>
        <w:t>, Uberlândia, v. 6, n. 11, p. 84-96, fev. 2004. Disponível em: https://doi.org/10.14393/rcg51115327.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SILVA, J. E. M. da; HASENCLEVER, L. Ciclo do petróleo e desenvolvimento socioeconômico no município de Campos dos Goytacazes (1999-2014). </w:t>
      </w:r>
      <w:r>
        <w:rPr>
          <w:b/>
          <w:i w:val="0"/>
          <w:sz w:val="18"/>
        </w:rPr>
        <w:t>Desenvolvimento em Questão</w:t>
      </w:r>
      <w:r>
        <w:rPr>
          <w:b w:val="0"/>
          <w:i w:val="0"/>
          <w:sz w:val="18"/>
        </w:rPr>
        <w:t>, Ijuí, v. 17, n. 46, p. 314-332, 2019. Disponível em: https://doi.org/10.21527/2237-6453.2019.46.314-332.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VEDOVATO, T. G.; ANDRADE, C. B.; SANTOS, D. L.; BITENCOURT, S. M.; ALMEIDA, L. P. de; SAMPAIO, J. F. da S. Trabalhadores(as) da saúde e a COVID-19: condições de trabalho à deriva? </w:t>
      </w:r>
      <w:r>
        <w:rPr>
          <w:b/>
          <w:i w:val="0"/>
          <w:sz w:val="18"/>
        </w:rPr>
        <w:t>Revista Brasileira de Saúde Ocupacional</w:t>
      </w:r>
      <w:r>
        <w:rPr>
          <w:b w:val="0"/>
          <w:i w:val="0"/>
          <w:sz w:val="18"/>
        </w:rPr>
        <w:t>, São Paulo, v. 46, e1, 2021. Disponível em: https://doi.org/10.1590/2317-6369000028520. Acesso em: 18 jul.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