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rPr>
          <w:b/>
          <w:i w:val="0"/>
          <w:sz w:val="28"/>
        </w:rPr>
        <w:t>Panorama da saúde do trabalhador em Campos dos Goytacazes (RJ)</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(ALMEIDA; BINDER; FISCHER, 2000)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(WHO, 2020).</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rPr>
          <w:b w:val="0"/>
          <w:i w:val="0"/>
          <w:sz w:val="24"/>
        </w:rPr>
        <w:t>Este ensaio analítico descreve o perfil e as taxas de notificação de acidentes de trabalho entre profissionais da saúde com vínculo celetista em Campos dos Goytacazes, de 2015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71 arquivos mensais de 2015 a 2025, com registros de acidentes de trabalho comunicados no município, dos quais 6.617 vinculados a empregadores de Campos e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99 arquivos .dbc, 2015-2025, 9 agravos, filtro SIT_TRAB=01 para acidentes e TRAB_DOE=1 para doenças); SIH/SUS (microdatasus, R, 255.254 internações com CID de trabalho baseados na lista do Ministério da Saúde, Brasil, 1999); benefícios acidentários do INSS, B91-B94 (Portal de Dados Abertos, 48.528 concessões, todas as ocupações); e 42 indicadores do SmartLab/MPT (extração automatizada).</w:t>
      </w:r>
      <w:r>
        <w:rPr>
          <w:b w:val="0"/>
          <w:i/>
          <w:sz w:val="24"/>
        </w:rPr>
      </w:r>
      <w:r>
        <w:rPr>
          <w:b w:val="0"/>
          <w:i w:val="0"/>
          <w:sz w:val="24"/>
        </w:rPr>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1.144 CATs de profissionais celetistas da saúde (Tabela 1), a enfermagem de nível técnico concentra 70,2% dos registros (IC 95%: 67,5-72,8%), seguida por enfermeiros (14,2%; IC 95%: 12,2-16,3%). A medicina responde por 1,0% (12 notificações em oito anos;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w:t>
      </w:r>
      <w:r>
        <w:rPr>
          <w:b w:val="0"/>
          <w:i w:val="0"/>
          <w:sz w:val="20"/>
        </w:rPr>
        <w:t xml:space="preserve"> CATs das profissões celetistas da saúde, Campos dos Goytacazes (RJ), 2018-2025 (n = 1.144).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jul/2018-out/2025, parcial em 2018, 2022, 2024-2025.</w:t>
      </w:r>
    </w:p>
    <w:p>
      <w:pPr>
        <w:spacing w:before="40" w:after="40"/>
        <w:ind w:firstLine="0"/>
        <w:jc w:val="both"/>
      </w:pPr>
      <w:r>
        <w:rPr>
          <w:b/>
          <w:i w:val="0"/>
          <w:sz w:val="20"/>
        </w:rPr>
        <w:t>Tabela 2.</w:t>
      </w:r>
      <w:r>
        <w:rPr>
          <w:b w:val="0"/>
          <w:i w:val="0"/>
          <w:sz w:val="20"/>
        </w:rPr>
        <w:t xml:space="preserve"> Taxa de notificação por 1.000 vínculos RAIS celetistas, profissões da saúde, Campos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profissionais celetistas da saúde (n = 1.144) por ano e categoria. Asterisco = cobertura parcial. Fonte: CAT/INSS.</w:t>
      </w:r>
    </w:p>
    <w:p>
      <w:pPr>
        <w:spacing w:before="0" w:after="40"/>
        <w:ind w:firstLine="709"/>
        <w:jc w:val="both"/>
      </w:pPr>
      <w:r>
        <w:rPr>
          <w:b w:val="0"/>
          <w:i w:val="0"/>
          <w:sz w:val="24"/>
        </w:rPr>
        <w:t>O SINAN registrou notificações de agravos relacionados ao trabalho em Campos no período 2015–2025 (Tabela 3). Os acidentes de trabalho representam a vasta maioria das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1.144 CATs da saúde (aproximadamente 10:1) fornece uma estimativa indireta da magnitude de acidentes que não geram CAT, embora os universos de cobertura não sejam idênticos.</w:t>
      </w:r>
    </w:p>
    <w:p>
      <w:pPr>
        <w:spacing w:before="80" w:after="40"/>
        <w:ind w:firstLine="0"/>
        <w:jc w:val="both"/>
      </w:pPr>
      <w:r>
        <w:rPr>
          <w:b/>
          <w:i w:val="0"/>
          <w:sz w:val="20"/>
        </w:rPr>
        <w:t>Tabela 3.</w:t>
      </w:r>
      <w:r>
        <w:rPr>
          <w:b w:val="0"/>
          <w:i w:val="0"/>
          <w:sz w:val="20"/>
        </w:rPr>
        <w:t xml:space="preserve"> SINAN, agravos relacionados ao trabalho, Campos (RJ), 2018-2025.</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2018-2022 + PRELIM 2023-2025). Filtro: SIT_TRAB=01 (acidentes), TRAB_DOE=1 (doenças). Observar que PRELIM têm completude inferior a FINAIS.</w:t>
      </w:r>
    </w:p>
    <w:p>
      <w:pPr>
        <w:spacing w:before="40" w:after="40"/>
        <w:ind w:firstLine="0"/>
        <w:jc w:val="both"/>
      </w:pPr>
      <w:r>
        <w:rPr>
          <w:b/>
          <w:i w:val="0"/>
          <w:sz w:val="20"/>
        </w:rPr>
        <w:t>Tabela 4.</w:t>
      </w:r>
      <w:r>
        <w:rPr>
          <w:b w:val="0"/>
          <w:i w:val="0"/>
          <w:sz w:val="20"/>
        </w:rPr>
        <w:t xml:space="preserve"> Internações SIH/SUS com CID de trabalho, residentes de Campos (RJ), 2018-2025.</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SIM: 0 obitos com esses CIDs.</w:t>
      </w:r>
    </w:p>
    <w:p>
      <w:pPr>
        <w:spacing w:before="40" w:after="40"/>
        <w:ind w:firstLine="0"/>
        <w:jc w:val="both"/>
      </w:pPr>
      <w:r>
        <w:rPr>
          <w:b/>
          <w:i w:val="0"/>
          <w:sz w:val="20"/>
        </w:rPr>
        <w:t>Tabela 5.</w:t>
      </w:r>
      <w:r>
        <w:rPr>
          <w:b w:val="0"/>
          <w:i w:val="0"/>
          <w:sz w:val="20"/>
        </w:rPr>
        <w:t xml:space="preserve"> Benefícios acidentários (B91-B94) concedidos, Campos (RJ), 2018-2025.</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Foram utilizados exclusivamente códigos com relação direta ao trabalho, excluindo-se traumatismos, queimaduras, fraturas e intoxicações. Os distúrbios osteomusculares predominam (95%), compatíveis com a elevada prevalência de LER/DORT em trabalhadores brasileiros. Não foram registrados óbitos com esses CIDs no SIM (2018-2024).</w:t>
      </w:r>
    </w:p>
    <w:p>
      <w:pPr>
        <w:spacing w:before="0" w:after="40"/>
        <w:ind w:firstLine="709"/>
        <w:jc w:val="both"/>
      </w:pPr>
      <w:r>
        <w:rPr>
          <w:b w:val="0"/>
          <w:i w:val="0"/>
          <w:sz w:val="24"/>
        </w:rPr>
        <w:t>Os benefícios acidentários do INSS (B91-B94) totalizaram 48.528 concessões (Tabela 5). O pico de 2020 (10.631) coincide com a pandemia e pode refletir tanto aumento real de acidentes quanto mudanças administrativas nos procedimentos de concessão durante a emergência sanitária. A oscilação entre 286 (2022) e 13.607 (2025) provavelmente incorpora efeitos de alterações normativas e de capacidade operacional do INSS, não apenas variação na incidência de acidentes. Estes benefícios cobrem todas as ocupações do município, não apenas a saúde, e a base não contém a Classificação Brasileira de Ocupações, impedindo estratificação por categoria profissional.</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(ALMEIDA; BINDER; FISCHER, 2000; GALDINO; SANTANA; FERRITE, 2012). Parte dos médicos atua como pessoa jurídica, forma de vínculo sem CAT. Os estatutários, independentemente da categoria, estão excluídos do sistema CAT. O delineamento ecológico impede isolar a contribuição de cada fator.</w:t>
      </w:r>
    </w:p>
    <w:p>
      <w:pPr>
        <w:spacing w:before="0" w:after="40"/>
        <w:ind w:firstLine="709"/>
        <w:jc w:val="both"/>
      </w:pPr>
      <w:r>
        <w:rPr>
          <w:b w:val="0"/>
          <w:i w:val="0"/>
          <w:sz w:val="24"/>
        </w:rPr>
        <w:t>A triangulação com os demais sistemas de informação oferece estimativas indiretas da subnotificação. A razão SINAN/CAT de aproximadamente 10:1 é compatível com a existência de um universo de acidentes de trabalho que não são comunicados via CAT. As 5.585 internações com CID de ocupacional no SIH, com 286 internações em oito anos (0,11%), das quais 95% são distúrbios osteomusculares (LER/DORT), reforça o predomínio desses agravos também na rede hospitalar. A virtual ausência de doenças ocupacionais crônicas confirmadas no SINAN (26 casos em oito anos) é consistente com a dificuldade estrutural de estabelecer nexo entre adoecimento crônico e trabalho (GALDINO; SANTANA; FERRITE, 2012). Esses padrões convergentes sugerem que a subnotificação de acidentes e, sobretudo, de doenças ocupacionais é expressiva em Campos, embora sua magnitude exata não possa ser quantificada com os dados disponíveis.</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Pesquisas futuras com dados individuais que vinculem o acidente ao regime previdenciário poderão superar as limitações do delineamento ecológico e quantificar a contribuição relativa dos múltiplos fatores aqui discutidos.</w:t>
      </w:r>
    </w:p>
    <w:p>
      <w:pPr>
        <w:spacing w:before="160" w:after="80"/>
        <w:ind w:firstLine="0"/>
        <w:jc w:val="both"/>
      </w:pPr>
      <w:r>
        <w:rPr>
          <w:b/>
          <w:i w:val="0"/>
          <w:sz w:val="21"/>
        </w:rPr>
        <w:t>Referências</w:t>
      </w:r>
    </w:p>
    <w:p>
      <w:pPr>
        <w:spacing w:before="0" w:after="20"/>
        <w:ind w:firstLine="0"/>
        <w:jc w:val="left"/>
      </w:pPr>
      <w:r>
        <w:rPr>
          <w:b w:val="0"/>
          <w:i w:val="0"/>
          <w:sz w:val="16"/>
        </w:rPr>
        <w:t xml:space="preserve">ALMEIDA, I. M.; BINDER, M. C. P.; FISCHER, F. M. Acidentes de trabalho e sua notificação. </w:t>
      </w:r>
      <w:r>
        <w:rPr>
          <w:b/>
          <w:i w:val="0"/>
          <w:sz w:val="16"/>
        </w:rPr>
        <w:t>Revista Brasileira de Saúde Ocupacional</w:t>
      </w:r>
      <w:r>
        <w:rPr>
          <w:b w:val="0"/>
          <w:i w:val="0"/>
          <w:sz w:val="16"/>
        </w:rPr>
        <w:t>, v. 25, p. 17-31, 2000.</w:t>
      </w:r>
    </w:p>
    <w:p>
      <w:pPr>
        <w:spacing w:before="0" w:after="20"/>
        <w:ind w:firstLine="0"/>
        <w:jc w:val="left"/>
      </w:pPr>
      <w:r>
        <w:rPr>
          <w:b w:val="0"/>
          <w:i w:val="0"/>
          <w:sz w:val="16"/>
        </w:rPr>
        <w:t xml:space="preserve">ANTUNES, R.; PRAUN, L. A sociedade dos adoecimentos no trabalho. </w:t>
      </w:r>
      <w:r>
        <w:rPr>
          <w:b/>
          <w:i w:val="0"/>
          <w:sz w:val="16"/>
        </w:rPr>
        <w:t>Serviço Social &amp; Sociedade</w:t>
      </w:r>
      <w:r>
        <w:rPr>
          <w:b w:val="0"/>
          <w:i w:val="0"/>
          <w:sz w:val="16"/>
        </w:rPr>
        <w:t>, n. 123, p. 407-427, 2015.</w:t>
      </w:r>
    </w:p>
    <w:p>
      <w:pPr>
        <w:spacing w:before="0" w:after="20"/>
        <w:ind w:firstLine="0"/>
        <w:jc w:val="left"/>
      </w:pPr>
      <w:r>
        <w:rPr>
          <w:b w:val="0"/>
          <w:i w:val="0"/>
          <w:sz w:val="16"/>
        </w:rPr>
        <w:t xml:space="preserve">BRASIL. </w:t>
      </w:r>
      <w:r>
        <w:rPr>
          <w:b/>
          <w:i w:val="0"/>
          <w:sz w:val="16"/>
        </w:rPr>
        <w:t>Lei nº 8.213/1991</w:t>
      </w:r>
      <w:r>
        <w:rPr>
          <w:b w:val="0"/>
          <w:i w:val="0"/>
          <w:sz w:val="16"/>
        </w:rPr>
        <w:t>. Planos de Benefícios da Previdência Social.</w:t>
      </w:r>
    </w:p>
    <w:p>
      <w:pPr>
        <w:spacing w:before="0" w:after="20"/>
        <w:ind w:firstLine="0"/>
        <w:jc w:val="left"/>
      </w:pPr>
      <w:r>
        <w:rPr>
          <w:b w:val="0"/>
          <w:i w:val="0"/>
          <w:sz w:val="16"/>
        </w:rPr>
        <w:t xml:space="preserve">BRASIL. Ministério da Saúde. </w:t>
      </w:r>
      <w:r>
        <w:rPr>
          <w:b/>
          <w:i w:val="0"/>
          <w:sz w:val="16"/>
        </w:rPr>
        <w:t>Portaria nº 1.339/1999</w:t>
      </w:r>
      <w:r>
        <w:rPr>
          <w:b w:val="0"/>
          <w:i w:val="0"/>
          <w:sz w:val="16"/>
        </w:rPr>
        <w:t>. Lista de doenças relacionadas ao trabalho.</w:t>
      </w:r>
    </w:p>
    <w:p>
      <w:pPr>
        <w:spacing w:before="0" w:after="20"/>
        <w:ind w:firstLine="0"/>
        <w:jc w:val="left"/>
      </w:pPr>
      <w:r>
        <w:rPr>
          <w:b w:val="0"/>
          <w:i w:val="0"/>
          <w:sz w:val="16"/>
        </w:rPr>
        <w:t xml:space="preserve">GALDINO, A.; SANTANA, V. S.; FERRITE, S. Fatores associados à subnotificação de acidentes. </w:t>
      </w:r>
      <w:r>
        <w:rPr>
          <w:b/>
          <w:i w:val="0"/>
          <w:sz w:val="16"/>
        </w:rPr>
        <w:t>Cadernos de Saúde Pública</w:t>
      </w:r>
      <w:r>
        <w:rPr>
          <w:b w:val="0"/>
          <w:i w:val="0"/>
          <w:sz w:val="16"/>
        </w:rPr>
        <w:t>, v. 28, n. 4, p. 733-742, 2012.</w:t>
      </w:r>
    </w:p>
    <w:p>
      <w:pPr>
        <w:spacing w:before="0" w:after="20"/>
        <w:ind w:firstLine="0"/>
        <w:jc w:val="left"/>
      </w:pPr>
      <w:r>
        <w:rPr>
          <w:b w:val="0"/>
          <w:i w:val="0"/>
          <w:sz w:val="16"/>
        </w:rPr>
        <w:t xml:space="preserve">GOMEZ, C. M.; VASCONCELLOS, L. C. F.; MACHADO, J. M. H. Saúde do trabalhador no SUS. </w:t>
      </w:r>
      <w:r>
        <w:rPr>
          <w:b/>
          <w:i w:val="0"/>
          <w:sz w:val="16"/>
        </w:rPr>
        <w:t>Ciência &amp; Saúde Coletiva</w:t>
      </w:r>
      <w:r>
        <w:rPr>
          <w:b w:val="0"/>
          <w:i w:val="0"/>
          <w:sz w:val="16"/>
        </w:rPr>
        <w:t>, v. 23, n. 6, p. 1963-1970, 2018.</w:t>
      </w:r>
    </w:p>
    <w:p>
      <w:pPr>
        <w:spacing w:before="0" w:after="20"/>
        <w:ind w:firstLine="0"/>
        <w:jc w:val="left"/>
      </w:pPr>
      <w:r>
        <w:rPr>
          <w:b w:val="0"/>
          <w:i w:val="0"/>
          <w:sz w:val="16"/>
        </w:rPr>
        <w:t xml:space="preserve">ILO. </w:t>
      </w:r>
      <w:r>
        <w:rPr>
          <w:b/>
          <w:i w:val="0"/>
          <w:sz w:val="16"/>
        </w:rPr>
        <w:t>World Statistic: Occupational Safety and Health</w:t>
      </w:r>
      <w:r>
        <w:rPr>
          <w:b w:val="0"/>
          <w:i w:val="0"/>
          <w:sz w:val="16"/>
        </w:rPr>
        <w:t>. 2023.</w:t>
      </w:r>
    </w:p>
    <w:p>
      <w:pPr>
        <w:spacing w:before="0" w:after="20"/>
        <w:ind w:firstLine="0"/>
        <w:jc w:val="left"/>
      </w:pPr>
      <w:r>
        <w:rPr>
          <w:b w:val="0"/>
          <w:i w:val="0"/>
          <w:sz w:val="16"/>
        </w:rPr>
        <w:t xml:space="preserve">LACAZ, F. A. C. O campo Saúde do Trabalhador. </w:t>
      </w:r>
      <w:r>
        <w:rPr>
          <w:b/>
          <w:i w:val="0"/>
          <w:sz w:val="16"/>
        </w:rPr>
        <w:t>Cadernos de Saúde Pública</w:t>
      </w:r>
      <w:r>
        <w:rPr>
          <w:b w:val="0"/>
          <w:i w:val="0"/>
          <w:sz w:val="16"/>
        </w:rPr>
        <w:t>, v. 23, n. 4, p. 757-766, 2007.</w:t>
      </w:r>
    </w:p>
    <w:p>
      <w:pPr>
        <w:spacing w:before="0" w:after="20"/>
        <w:ind w:firstLine="0"/>
        <w:jc w:val="left"/>
      </w:pPr>
      <w:r>
        <w:rPr>
          <w:b w:val="0"/>
          <w:i w:val="0"/>
          <w:sz w:val="16"/>
        </w:rPr>
        <w:t xml:space="preserve">MARTINS, S.; HASENCLEVER, L.; MIRANDA, C. A gestão da saúde e instabilidade de financiamento. </w:t>
      </w:r>
      <w:r>
        <w:rPr>
          <w:b/>
          <w:i w:val="0"/>
          <w:sz w:val="16"/>
        </w:rPr>
        <w:t>Cadernos do Desenvolvimento Fluminense</w:t>
      </w:r>
      <w:r>
        <w:rPr>
          <w:b w:val="0"/>
          <w:i w:val="0"/>
          <w:sz w:val="16"/>
        </w:rPr>
        <w:t>, n. 27, 2024.</w:t>
      </w:r>
    </w:p>
    <w:p>
      <w:pPr>
        <w:spacing w:before="0" w:after="20"/>
        <w:ind w:firstLine="0"/>
        <w:jc w:val="left"/>
      </w:pPr>
      <w:r>
        <w:rPr>
          <w:b w:val="0"/>
          <w:i w:val="0"/>
          <w:sz w:val="16"/>
        </w:rPr>
        <w:t xml:space="preserve">MORGENSTERN, H. Ecologic studies in epidemiology. </w:t>
      </w:r>
      <w:r>
        <w:rPr>
          <w:b/>
          <w:i w:val="0"/>
          <w:sz w:val="16"/>
        </w:rPr>
        <w:t>Annual Review of Public Health</w:t>
      </w:r>
      <w:r>
        <w:rPr>
          <w:b w:val="0"/>
          <w:i w:val="0"/>
          <w:sz w:val="16"/>
        </w:rPr>
        <w:t>, v. 16, p. 61-81, 1995.</w:t>
      </w:r>
    </w:p>
    <w:p>
      <w:pPr>
        <w:spacing w:before="0" w:after="20"/>
        <w:ind w:firstLine="0"/>
        <w:jc w:val="left"/>
      </w:pPr>
      <w:r>
        <w:rPr>
          <w:b w:val="0"/>
          <w:i w:val="0"/>
          <w:sz w:val="16"/>
        </w:rPr>
        <w:t xml:space="preserve">OLIVEIRA, E. M. Transformações no mundo do trabalho. </w:t>
      </w:r>
      <w:r>
        <w:rPr>
          <w:b/>
          <w:i w:val="0"/>
          <w:sz w:val="16"/>
        </w:rPr>
        <w:t>Caminhos de Geografia</w:t>
      </w:r>
      <w:r>
        <w:rPr>
          <w:b w:val="0"/>
          <w:i w:val="0"/>
          <w:sz w:val="16"/>
        </w:rPr>
        <w:t>, v. 6, n. 11, p. 84-96, 2004.</w:t>
      </w:r>
    </w:p>
    <w:p>
      <w:pPr>
        <w:spacing w:before="0" w:after="20"/>
        <w:ind w:firstLine="0"/>
        <w:jc w:val="left"/>
      </w:pPr>
      <w:r>
        <w:rPr>
          <w:b w:val="0"/>
          <w:i w:val="0"/>
          <w:sz w:val="16"/>
        </w:rPr>
        <w:t xml:space="preserve">SILVA, J. E. M.; HASENCLEVER, L. Ciclo do petróleo e desenvolvimento socioeconômico em Campos. </w:t>
      </w:r>
      <w:r>
        <w:rPr>
          <w:b/>
          <w:i w:val="0"/>
          <w:sz w:val="16"/>
        </w:rPr>
        <w:t>Desenvolvimento em Questão</w:t>
      </w:r>
      <w:r>
        <w:rPr>
          <w:b w:val="0"/>
          <w:i w:val="0"/>
          <w:sz w:val="16"/>
        </w:rPr>
        <w:t>, v. 17, n. 46, p. 314-332, 2019.</w:t>
      </w:r>
    </w:p>
    <w:p>
      <w:pPr>
        <w:spacing w:before="0" w:after="20"/>
        <w:ind w:firstLine="0"/>
        <w:jc w:val="left"/>
      </w:pPr>
      <w:r>
        <w:rPr>
          <w:b w:val="0"/>
          <w:i w:val="0"/>
          <w:sz w:val="16"/>
        </w:rPr>
        <w:t xml:space="preserve">SOUZA, D. O.; MELO, A. I. S. C.; VASCONCELLOS, L. C. F. Saúde do(s) trabalhador(es): do 'campo' à 'questão'. </w:t>
      </w:r>
      <w:r>
        <w:rPr>
          <w:b/>
          <w:i w:val="0"/>
          <w:sz w:val="16"/>
        </w:rPr>
        <w:t>Saúde em Debate</w:t>
      </w:r>
      <w:r>
        <w:rPr>
          <w:b w:val="0"/>
          <w:i w:val="0"/>
          <w:sz w:val="16"/>
        </w:rPr>
        <w:t>, v. 41, n. 113, p. 591-604, 2017.</w:t>
      </w:r>
    </w:p>
    <w:p>
      <w:pPr>
        <w:spacing w:before="0" w:after="20"/>
        <w:ind w:firstLine="0"/>
        <w:jc w:val="left"/>
      </w:pPr>
      <w:r>
        <w:rPr>
          <w:b w:val="0"/>
          <w:i w:val="0"/>
          <w:sz w:val="16"/>
        </w:rPr>
        <w:t xml:space="preserve">VEDOVATO, T. G. et al. Trabalhadores(as) da saúde e a COVID-19. </w:t>
      </w:r>
      <w:r>
        <w:rPr>
          <w:b/>
          <w:i w:val="0"/>
          <w:sz w:val="16"/>
        </w:rPr>
        <w:t>Revista Brasileira de Saúde Ocupacional</w:t>
      </w:r>
      <w:r>
        <w:rPr>
          <w:b w:val="0"/>
          <w:i w:val="0"/>
          <w:sz w:val="16"/>
        </w:rPr>
        <w:t>, v. 46, e1, 2021.</w:t>
      </w:r>
    </w:p>
    <w:p>
      <w:pPr>
        <w:spacing w:before="0" w:after="20"/>
        <w:ind w:firstLine="0"/>
        <w:jc w:val="left"/>
      </w:pPr>
      <w:r>
        <w:rPr>
          <w:b w:val="0"/>
          <w:i w:val="0"/>
          <w:sz w:val="16"/>
        </w:rPr>
        <w:t xml:space="preserve">WHO. </w:t>
      </w:r>
      <w:r>
        <w:rPr>
          <w:b/>
          <w:i w:val="0"/>
          <w:sz w:val="16"/>
        </w:rPr>
        <w:t>Occupational health: health workers</w:t>
      </w:r>
      <w:r>
        <w:rPr>
          <w:b w:val="0"/>
          <w:i w:val="0"/>
          <w:sz w:val="16"/>
        </w:rPr>
        <w:t>. 2020.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