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</w:pPr>
      <w:r>
        <w:rPr>
          <w:b/>
          <w:sz w:val="26"/>
        </w:rPr>
        <w:t>Relatório metodológico — CAT/INSS, Campos dos Goytacazes, profissões da saúde, 2018–2025</w:t>
      </w:r>
    </w:p>
    <w:p>
      <w:pPr>
        <w:jc w:val="both"/>
      </w:pPr>
      <w:r>
        <w:t>Data: 18 jul. 2026. Estudo teórico-conceitual com análise documental e apoio de dados secundários. Este relatório documenta as decisões metodológicas da reconstrução integral da análise das Comunicações de Acidente de Trabalho (CAT) do INSS. A etapa SmartLab foi integralmente excluída por decisão metodológica; nenhum arquivo dessa origem existe na pasta do projeto. A análise legada (medicina x enfermagem) foi tratada como material catalogado e auditado, sem reaproveitamento de resultados.</w:t>
      </w:r>
    </w:p>
    <w:p>
      <w:pPr>
        <w:spacing w:before="160"/>
      </w:pPr>
      <w:r>
        <w:rPr>
          <w:b/>
          <w:sz w:val="23"/>
        </w:rPr>
        <w:t>1. Fontes</w:t>
      </w:r>
    </w:p>
    <w:p>
      <w:pPr>
        <w:jc w:val="both"/>
      </w:pPr>
      <w:r>
        <w:t>(a) Teóricas: cinco obras da pasta ARTIGOS, lidas integralmente (Antunes, 2018; Cecilio; Lacaz, 2012; Lemos, 2012; Lourenço, 2012; Oliveira, 2004), complementadas por Mendes e Dias (1991) e Vedovato et al. (2021), verificadas por DOI. (b) Caracterização municipal: tabelas SIDRA/IBGE da pasta CARACTERIZAÇÃO - CAMPOS (Censo 2022 — tab. 4714; estimativas — 6579; PIB dos municípios — 5938; PAM — 1612), com auditoria de fonte, período, unidade e preços (correntes). (c) CAT/INSS: 58 arquivos CSV (competências jul/2018 a dez/2025), 3.902.905 linhas de dados, dicionário oficial da fonte (dicionario-cat-dados-abertos-10-02-2021.xlsx).</w:t>
      </w:r>
    </w:p>
    <w:p>
      <w:pPr>
        <w:spacing w:before="160"/>
      </w:pPr>
      <w:r>
        <w:rPr>
          <w:b/>
          <w:sz w:val="23"/>
        </w:rPr>
        <w:t>2. Estrutura dos arquivos e importação</w:t>
      </w:r>
    </w:p>
    <w:p>
      <w:pPr>
        <w:jc w:val="both"/>
      </w:pPr>
      <w:r>
        <w:t>Quatro esquemas estruturais foram identificados e mapeados por posição (24 colunas em duas variantes, 25 e 27 colunas), com cabeçalhos duplicados (CBO, CID-10, CNAE 2.0, Data Acidente) preservados — nenhuma coluna foi renomeada ou sobrescrita automaticamente. Codificação detectada por arquivo (Latin-1; três arquivos de 2020 em UTF-8 com BOM); separador ponto e vírgula; sem tratamento de aspas (QUOTE_NONE), como na fonte. A coluna 2 ('Data Acidente') contém o mês de referência do acidente (formatos AAAA/MM, AAAAMM ou DD/MM/AAAA com dia = 01) e não foi confundida com a data completa do acidente (posições 21–23, conforme o esquema), usada em todas as análises temporais. Cada linha recebeu identificador técnico (arquivo:linha) e hash SHA-256 do registro bruto.</w:t>
      </w:r>
    </w:p>
    <w:p>
      <w:pPr>
        <w:spacing w:before="160"/>
      </w:pPr>
      <w:r>
        <w:rPr>
          <w:b/>
          <w:sz w:val="23"/>
        </w:rPr>
        <w:t>3. Critério municipal</w:t>
      </w:r>
    </w:p>
    <w:p>
      <w:pPr>
        <w:jc w:val="both"/>
      </w:pPr>
      <w:r>
        <w:t>Filtro principal: código municipal do EMPREGADOR igual a 330100 (seis dígitos antes do hífen; observado como '330100-Campos dos Go' truncado e '330100-Campos dos Goytacazes' completo) E UF do município do empregador igual a Rio de Janeiro. A tabela de controle (dados/processados/controle_localidades_campo.csv) lista 73 localidades com 'Campo(s)' no nome presentes na fonte (Campo Grande-MS, São Bernardo do Campo, São José dos Campos, Campos Novos, Campos do Jordão, Campos de Júlio, Mário Campos etc.), todas excluídas. Doze registros com código 330100 e UF divergente foram excluídos e documentados. A unidade observada são CATs vinculadas a empregadores localizados em Campos dos Goytacazes — não necessariamente acidentes ocorridos no município nem trabalhadores nele residentes.</w:t>
      </w:r>
    </w:p>
    <w:p>
      <w:pPr>
        <w:spacing w:before="160"/>
      </w:pPr>
      <w:r>
        <w:rPr>
          <w:b/>
          <w:sz w:val="23"/>
        </w:rPr>
        <w:t>4. Duplicidades</w:t>
      </w:r>
    </w:p>
    <w:p>
      <w:pPr>
        <w:jc w:val="both"/>
      </w:pPr>
      <w:r>
        <w:t>Arquivos com cobertura sobreposta foram identificados pela distribuição mensal das datas de emissão (202201/202204; 202207–202211; 202404/202405; 202506–202510). Removeram-se somente duplicidades tecnicamente demonstráveis: linhas brutas idênticas (mesmo esquema) presentes em mais de um arquivo, mantendo-se a primeira competência (537 remoções no recorte Campos+RJ; log integral em dados/processados/log_duplicidades_removidas.csv). Linhas idênticas dentro de um mesmo arquivo foram mantidas e sinalizadas (eventos legítimos podem coincidir).</w:t>
      </w:r>
    </w:p>
    <w:p>
      <w:pPr>
        <w:spacing w:before="160"/>
      </w:pPr>
      <w:r>
        <w:rPr>
          <w:b/>
          <w:sz w:val="23"/>
        </w:rPr>
        <w:t>5. Classificação ocupacional (CBO 2002)</w:t>
      </w:r>
    </w:p>
    <w:p>
      <w:pPr>
        <w:jc w:val="both"/>
      </w:pPr>
      <w:r>
        <w:t>Classificação prioritariamente pelo código de seis dígitos, com dicionário mestre construído a partir das famílias ocupacionais e revisão manual dos 459 códigos observados na base municipal (metadados/dicionario_cbo_profissoes_saude.xlsx). Títulos validados contra espelho público da tabela oficial 'CBO2002 – Ocupação' (2.719 títulos; referencias/fonte_cbo.txt). Três níveis: (i) universo principal (medicina — famílias 2231/2251–2253; enfermagem — 2235/3222; odontologia e saúde bucal; farmácia; fisioterapia; nutrição; fonoaudiologia; biomedicina; técnicos e auxiliares de diagnóstico e laboratório — 3241/3242/5152; agentes comunitários e afins — 5151; instrumentação cirúrgica — 322225); (ii) profissões multiprofissionais intersetoriais (psicologia, serviço social, educação física, biologia), com sensibilidade restrita a CNAE 86/87; (iii) trabalhadores de apoio em estabelecimentos de saúde (analisados à parte; jamais somados às profissões da saúde). Registros sem CBO válido (184; 3,6%) foram mantidos em categoria própria. O código 519305 ('enfermeiro veterinário' como sinônimo de auxiliar de veterinário) foi excluído do campo da saúde humana — erro que a rotina legada, baseada em texto, cometeria.</w:t>
      </w:r>
    </w:p>
    <w:p>
      <w:pPr>
        <w:spacing w:before="160"/>
      </w:pPr>
      <w:r>
        <w:rPr>
          <w:b/>
          <w:sz w:val="23"/>
        </w:rPr>
        <w:t>6. Denominadores e interpretação</w:t>
      </w:r>
    </w:p>
    <w:p>
      <w:pPr>
        <w:jc w:val="both"/>
      </w:pPr>
      <w:r>
        <w:t>As pastas do projeto não continham vínculos formais por ocupação e ano; nenhum indicador de incidência, prevalência, risco ou taxa foi calculado a partir da CAT isoladamente. Denominadores REAIS de força de trabalho foram baixados do CNES/DataSUS (TabNet, def cnes/cnv/prid02rj.def): profissionais (indivíduos) por ocupação CBO 2002, município de Campos (330100), competência dezembro de 2018 a 2025 (9.803 a 13.275 profissionais), com resolução dinâmica e verificada do filtro municipal, dupla checagem de totais por consulta de controle, brutos preservados em dados/brutos/cnes-rh/ e proveniência em logs/log_10_denominadores.json. Como o CNES abrange TODOS os tipos de vínculo (estatutário, celetista, autônomo, PJ; SUS e não SUS) e a CAT cobre essencialmente celetistas, a compatibilidade numerador-denominador NÃO é demonstrável; as razões CAT por 1.000 profissionais CNES (saidas/tabelas/T22_razao_cat_1000_cnes.csv) são apresentadas exclusivamente como densidade EXPLORATÓRIA de comunicação (supressão quando numerador&lt;5 ou denominador&lt;30), jamais como incidência ou risco. A RAIS/eSocial (vínculos formais por CBO x município x ano, via PDET/MTE) permanece como denominador prioritário para trabalho futuro: os microdados exigem download de arquivos de vários GB por UF/ano — bloqueio registrado, sem qualquer imputação.</w:t>
      </w:r>
    </w:p>
    <w:p>
      <w:pPr>
        <w:spacing w:before="160"/>
      </w:pPr>
      <w:r>
        <w:rPr>
          <w:b/>
          <w:sz w:val="23"/>
        </w:rPr>
        <w:t>7. Cobertura temporal e sensibilidade</w:t>
      </w:r>
    </w:p>
    <w:p>
      <w:pPr>
        <w:jc w:val="both"/>
      </w:pPr>
      <w:r>
        <w:t>A série da fonte inicia na competência jul/2018 (2018 parcial). Em 2022 a carga da fonte é irregular; as competências set–dez/2024 têm volume nacional atípico (3–10 mil linhas/mês contra 40–60 mil típicas) e nov–dez/2025 estão quase vazias (205 e 126 linhas): 2025 foi tratado como parcial (efetivo até out). Análises de sensibilidade: exclusão de 2025; meses jan–out em todos os anos; exclusão de trajeto; somente típicos; universo restrito a CNAE 86/87; multiprofissionais separadas; resultados antes/depois da deduplicação (saidas/tabelas/T17_sensibilidade.csv).</w:t>
      </w:r>
    </w:p>
    <w:p>
      <w:pPr>
        <w:spacing w:before="160"/>
      </w:pPr>
      <w:r>
        <w:rPr>
          <w:b/>
          <w:sz w:val="23"/>
        </w:rPr>
        <w:t>8. Validação independente e reprodutibilidade</w:t>
      </w:r>
    </w:p>
    <w:p>
      <w:pPr>
        <w:jc w:val="both"/>
      </w:pPr>
      <w:r>
        <w:t>Uma segunda rotina (pandas, implementação distinta) recontou os totais diretamente dos 58 CSVs brutos: totais de linhas, base municipal, universo principal, categorias e anos convergiram integralmente com o pipeline (logs/validacao_independente.json: 'CONVERGENTE — publicação liberada'). Scripts com caminhos relativos, executáveis em ordem numerada, com logs; versões em metadados/versoes_programas_pacotes.txt; sem procedimentos aleatórios.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