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ind w:firstLine="0"/>
        <w:jc w:val="center"/>
      </w:pPr>
      <w:r>
        <w:rPr>
          <w:b/>
          <w:i w:val="0"/>
          <w:sz w:val="24"/>
        </w:rPr>
        <w:t>Trabalho e desgaste nas profissões da saúde de Campos dos Goytacazes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>O trabalho é um processo social, econômico e político historicamente determinado. Desde a Revolução Industrial, o modo de organizar a produção disciplina corpos e tempos e produz padrões específicos de adoecimento (OLIVEIRA, 2004). No Brasil, o campo da Saúde do Trabalhador constituiu-se como crítica à medicina do trabalho e à saúde ocupacional, ao afirmar a determinação social do processo saúde-doença e o processo de trabalho como categoria explicativa central (MENDES; DIAS, 1991). No setor saúde, o trabalho produtor do cuidado se realiza sob divisão social e técnica, relações desiguais de poder entre categorias e desgaste, em serviços submetidos à reorganização gerencial flexível. Parcela expressiva dos vínculos do Sistema Único de Saúde (SUS) é precária, estimada entre 30% e 50% (CECILIO; LACAZ, 2012).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>Campos dos Goytacazes é o maior município fluminense em extensão (4.032,5 km²) e contava com 483.540 habitantes no Censo de 2022, com estimativa de 519.259 para 2025. A população se declara branca (42,1%), parda (40,1%) e preta (17,7%), com 3.083 quilombolas e 363 indígenas recenseados. A taxa de alfabetização das pessoas de 15 anos ou mais é de 95,1%. O Índice de Desenvolvimento Humano Municipal (IDHM) era de 0,716 em 2010, abaixo da média do estado do Rio de Janeiro (0,761). Em 2010, 37,7% da população vivia com rendimento nominal mensal per capita de até meio salário mínimo. O salário médio mensal dos trabalhadores formais era de 2,1 salários mínimos em 2023 e o pessoal ocupado em postos formais somava 114.135 pessoas. O PIB per capita de 2023 foi de R$ 88.831,26 (Tabela 1).</w:t>
      </w:r>
    </w:p>
    <w:p>
      <w:pPr>
        <w:spacing w:before="80" w:after="40"/>
        <w:ind w:firstLine="0"/>
        <w:jc w:val="both"/>
      </w:pPr>
      <w:r>
        <w:rPr>
          <w:b/>
          <w:i w:val="0"/>
          <w:sz w:val="19"/>
        </w:rPr>
        <w:t>Tabela 1.</w:t>
      </w:r>
      <w:r>
        <w:rPr>
          <w:b w:val="0"/>
          <w:i w:val="0"/>
          <w:sz w:val="19"/>
        </w:rPr>
        <w:t xml:space="preserve"> Campos dos Goytacazes (RJ): perfil sociodemográfico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</w:rPr>
            </w:r>
            <w:r>
              <w:rPr>
                <w:b/>
                <w:i w:val="0"/>
                <w:sz w:val="16"/>
              </w:rPr>
              <w:t>Indicador</w:t>
            </w:r>
          </w:p>
        </w:tc>
        <w:tc>
          <w:tcPr>
            <w:tcW w:type="dxa" w:w="3024"/>
          </w:tcPr>
          <w:p>
            <w:r>
              <w:rPr>
                <w:b/>
              </w:rPr>
            </w:r>
            <w:r>
              <w:rPr>
                <w:b/>
                <w:i w:val="0"/>
                <w:sz w:val="16"/>
              </w:rPr>
              <w:t>Valor</w:t>
            </w:r>
          </w:p>
        </w:tc>
        <w:tc>
          <w:tcPr>
            <w:tcW w:type="dxa" w:w="3024"/>
          </w:tcPr>
          <w:p>
            <w:r>
              <w:rPr>
                <w:b/>
              </w:rPr>
            </w:r>
            <w:r>
              <w:rPr>
                <w:b/>
                <w:i w:val="0"/>
                <w:sz w:val="16"/>
              </w:rPr>
              <w:t>Ano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População residente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483.540 hab.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2022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População estimada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519.259 hab.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2025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Densidade demográfica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119,9 hab./km²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2022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População quilombola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3.083 pessoas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2022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População indígena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363 pessoas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2022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IDHM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0,716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2010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PIB per capita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R$ 88.831,26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2023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Salário médio mensal (formal)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2,1 salários mínimos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2023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Pop. com renda até ½ SM per capita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37,7%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2010</w:t>
            </w:r>
          </w:p>
        </w:tc>
      </w:tr>
    </w:tbl>
    <w:p>
      <w:pPr>
        <w:spacing w:before="0" w:after="80"/>
        <w:ind w:firstLine="0"/>
        <w:jc w:val="both"/>
      </w:pPr>
      <w:r>
        <w:rPr>
          <w:b w:val="0"/>
          <w:i w:val="0"/>
          <w:sz w:val="16"/>
        </w:rPr>
        <w:t>Fonte dos dados brutos: IBGE, Censo Demográfico 2022, estimativas populacionais e IBGE Cidades (https://cidades.ibge.gov.br). SM = salário mínimo.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>A formação econômica do município assentou-se na agroindústria açucareira e, a partir das décadas de 1980 e 1990, na exploração de petróleo da Bacia de Campos e nas rendas petrolíferas (</w:t>
      </w:r>
      <w:r>
        <w:rPr>
          <w:b w:val="0"/>
          <w:i/>
          <w:sz w:val="22"/>
        </w:rPr>
        <w:t>royalties</w:t>
      </w:r>
      <w:r>
        <w:rPr>
          <w:b w:val="0"/>
          <w:i w:val="0"/>
          <w:sz w:val="22"/>
        </w:rPr>
        <w:t xml:space="preserve"> e participações especiais) (SILVA; HASENCLEVER, 2019). O Cadastro Central de Empresas de 2024 registra 16.776 empresas atuantes, 114.466 pessoas ocupadas (93.366 assalariadas) e salário médio mensal de 2,2 salários mínimos. O setor de saúde humana e serviços sociais respondia por 1.544 estabelecimentos e 15.002 postos de trabalho. O PIB municipal, a preços correntes, oscilou de R$ 58,4 bilhões em 2013 para R$ 23,9 bilhões em 2020 e R$ 43,0 bilhões em 2023, acompanhando a volatilidade da commodity petrolífera. Silva e Hasenclever (2019) demonstram que o ciclo do petróleo elevou arrecadação sem diversificação produtiva e Martins, Hasenclever e Miranda (2024) mostram que o financiamento da saúde municipal acompanhou essas flutuações entre 2009 e 2020.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>As finanças públicas municipais evidenciam dependência estrutural de transferências intergovernamentais. Em 2024, as receitas brutas somaram R$ 2,95 bilhões, dos quais 71,0% provieram de transferências correntes, enquanto as despesas empenhadas atingiram R$ 3,31 bilhões. As despesas por natureza econômica, obtidas do Portal da Transparência da Prefeitura de Campos para o período de 2020 a 2024, revelam a coexistência de dois regimes previdenciários no funcionalismo municipal. As contribuições patronais ao Regime Próprio de Previdência Social (RPPS) dos servidores estatutários somaram R$ 58,7 milhões em 2024, acrescidas de R$ 2,5 milhões de aporte para cobertura do déficit atuarial. As contribuições ao Regime Geral de Previdência Social (INSS) dos trabalhadores celetistas totalizaram R$ 18,3 milhões no mesmo exercício. A existência de um regime próprio é relevante para a análise dos acidentes de trabalho porque a CAT cobre apenas os segurados do INSS, deixando os servidores estatutários sob a égide do RPPS, cujos registros de acidentes e adoecimentos não são consolidados em base nacional de acesso público (Tabela 2).</w:t>
      </w:r>
    </w:p>
    <w:p>
      <w:pPr>
        <w:spacing w:before="80" w:after="40"/>
        <w:ind w:firstLine="0"/>
        <w:jc w:val="both"/>
      </w:pPr>
      <w:r>
        <w:rPr>
          <w:b/>
          <w:i w:val="0"/>
          <w:sz w:val="19"/>
        </w:rPr>
        <w:t>Tabela 2.</w:t>
      </w:r>
      <w:r>
        <w:rPr>
          <w:b w:val="0"/>
          <w:i w:val="0"/>
          <w:sz w:val="19"/>
        </w:rPr>
        <w:t xml:space="preserve"> Campos dos Goytacazes (RJ): estrutura empresarial, finanças públicas e regimes previdenciários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</w:rPr>
            </w:r>
            <w:r>
              <w:rPr>
                <w:b/>
                <w:i w:val="0"/>
                <w:sz w:val="16"/>
              </w:rPr>
              <w:t>Indicador</w:t>
            </w:r>
          </w:p>
        </w:tc>
        <w:tc>
          <w:tcPr>
            <w:tcW w:type="dxa" w:w="3024"/>
          </w:tcPr>
          <w:p>
            <w:r>
              <w:rPr>
                <w:b/>
              </w:rPr>
            </w:r>
            <w:r>
              <w:rPr>
                <w:b/>
                <w:i w:val="0"/>
                <w:sz w:val="16"/>
              </w:rPr>
              <w:t>Valor</w:t>
            </w:r>
          </w:p>
        </w:tc>
        <w:tc>
          <w:tcPr>
            <w:tcW w:type="dxa" w:w="3024"/>
          </w:tcPr>
          <w:p>
            <w:r>
              <w:rPr>
                <w:b/>
              </w:rPr>
            </w:r>
            <w:r>
              <w:rPr>
                <w:b/>
                <w:i w:val="0"/>
                <w:sz w:val="16"/>
              </w:rPr>
              <w:t>Ano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Empresas atuantes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16.776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2024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Pessoal ocupado total (assalariado)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114.466 (93.366)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2024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Saúde: unidades / pessoal ocupado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1.544 / 15.002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2024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Receitas brutas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R$ 2,95 bilhões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2024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Transferências correntes (% das receitas)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71,0%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2024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Despesas empenhadas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R$ 3,31 bilhões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2024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Contribuições RPPS (estatutários)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R$ 61,2 milhões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2024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Contribuições INSS (celetistas)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R$ 18,3 milhões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2024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Aporte déficit atuarial RPPS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R$ 2,5 milhões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2024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Déficit orçamentário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R$ 356 milhões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2024</w:t>
            </w:r>
          </w:p>
        </w:tc>
      </w:tr>
    </w:tbl>
    <w:p>
      <w:pPr>
        <w:spacing w:before="0" w:after="80"/>
        <w:ind w:firstLine="0"/>
        <w:jc w:val="both"/>
      </w:pPr>
      <w:r>
        <w:rPr>
          <w:b w:val="0"/>
          <w:i w:val="0"/>
          <w:sz w:val="16"/>
        </w:rPr>
        <w:t>Fontes dos dados brutos: IBGE, Cadastro Central de Empresas 2024; Siconfi/STN, Finanças Públicas 2024; Portal da Transparência da Prefeitura de Campos, despesas por natureza econômica, 2020-2024. RPPS = Regime Próprio de Previdência Social.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 xml:space="preserve">O perfil de mortalidade do município, obtido do Sistema de Informações sobre Mortalidade (SIM/DATASUS) e processado com o pacote </w:t>
      </w:r>
      <w:r>
        <w:rPr>
          <w:b w:val="0"/>
          <w:i/>
          <w:sz w:val="22"/>
        </w:rPr>
        <w:t>microdatasus</w:t>
      </w:r>
      <w:r>
        <w:rPr>
          <w:b w:val="0"/>
          <w:i w:val="0"/>
          <w:sz w:val="22"/>
        </w:rPr>
        <w:t xml:space="preserve"> (R), registrou entre 4.199 e 5.635 óbitos anuais de residentes no período de 2019 a 2024, com taxa bruta de mortalidade variando de 8,1 a 10,9 por 1.000 habitantes (Tabela 3). Em 2021, auge da pandemia de covid-19, as doenças infecciosas e parasitárias deslocaram-se para a primeira posição (1.548 óbitos, 27,5% do total), ultrapassando as doenças do aparelho circulatório, que retomaram a liderança a partir de 2022. As causas externas mantiveram-se entre as cinco primeiras posições em todo o período. Esse deslocamento evidencia o impacto da pandemia sobre um território com IDHM de 0,716 e 37,7% da população em situação de pobreza em 2010. Nesse mercado de trabalho, os serviços de saúde, polo regional do Norte Fluminense, constituem espaço relevante de assalariamento, estratificado por hierarquias de renda e de prestígio entre profissões (LEMOS, 2012).</w:t>
      </w:r>
    </w:p>
    <w:p>
      <w:pPr>
        <w:spacing w:before="80" w:after="40"/>
        <w:ind w:firstLine="0"/>
        <w:jc w:val="both"/>
      </w:pPr>
      <w:r>
        <w:rPr>
          <w:b/>
          <w:i w:val="0"/>
          <w:sz w:val="19"/>
        </w:rPr>
        <w:t>Tabela 3.</w:t>
      </w:r>
      <w:r>
        <w:rPr>
          <w:b w:val="0"/>
          <w:i w:val="0"/>
          <w:sz w:val="19"/>
        </w:rPr>
        <w:t xml:space="preserve"> Campos dos Goytacazes (RJ): mortalidade geral de residentes, 2019-2024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b/>
              </w:rPr>
            </w:r>
            <w:r>
              <w:rPr>
                <w:b/>
                <w:i w:val="0"/>
                <w:sz w:val="16"/>
              </w:rPr>
              <w:t>Ano</w:t>
            </w:r>
          </w:p>
        </w:tc>
        <w:tc>
          <w:tcPr>
            <w:tcW w:type="dxa" w:w="1814"/>
          </w:tcPr>
          <w:p>
            <w:r>
              <w:rPr>
                <w:b/>
              </w:rPr>
            </w:r>
            <w:r>
              <w:rPr>
                <w:b/>
                <w:i w:val="0"/>
                <w:sz w:val="16"/>
              </w:rPr>
              <w:t>Óbitos</w:t>
            </w:r>
          </w:p>
        </w:tc>
        <w:tc>
          <w:tcPr>
            <w:tcW w:type="dxa" w:w="1814"/>
          </w:tcPr>
          <w:p>
            <w:r>
              <w:rPr>
                <w:b/>
              </w:rPr>
            </w:r>
            <w:r>
              <w:rPr>
                <w:b/>
                <w:i w:val="0"/>
                <w:sz w:val="16"/>
              </w:rPr>
              <w:t>Taxa/1.000</w:t>
            </w:r>
          </w:p>
        </w:tc>
        <w:tc>
          <w:tcPr>
            <w:tcW w:type="dxa" w:w="1814"/>
          </w:tcPr>
          <w:p>
            <w:r>
              <w:rPr>
                <w:b/>
              </w:rPr>
            </w:r>
            <w:r>
              <w:rPr>
                <w:b/>
                <w:i w:val="0"/>
                <w:sz w:val="16"/>
              </w:rPr>
              <w:t>1ª causa</w:t>
            </w:r>
          </w:p>
        </w:tc>
        <w:tc>
          <w:tcPr>
            <w:tcW w:type="dxa" w:w="1814"/>
          </w:tcPr>
          <w:p>
            <w:r>
              <w:rPr>
                <w:b/>
              </w:rPr>
            </w:r>
            <w:r>
              <w:rPr>
                <w:b/>
                <w:i w:val="0"/>
                <w:sz w:val="16"/>
              </w:rPr>
              <w:t>2ª causa</w:t>
            </w:r>
          </w:p>
        </w:tc>
      </w:tr>
      <w:tr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2019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4.299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8,5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Circulatórias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Neoplasias</w:t>
            </w:r>
          </w:p>
        </w:tc>
      </w:tr>
      <w:tr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2020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4.831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9,5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Circulatórias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Infecciosas</w:t>
            </w:r>
          </w:p>
        </w:tc>
      </w:tr>
      <w:tr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2021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5.635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10,9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Infecciosas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Circulatórias</w:t>
            </w:r>
          </w:p>
        </w:tc>
      </w:tr>
      <w:tr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2022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4.608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9,5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Circulatórias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Neoplasias</w:t>
            </w:r>
          </w:p>
        </w:tc>
      </w:tr>
      <w:tr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2023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4.199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8,1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Circulatórias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Respiratórias</w:t>
            </w:r>
          </w:p>
        </w:tc>
      </w:tr>
      <w:tr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2024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4.346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8,4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Circulatórias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Respiratórias</w:t>
            </w:r>
          </w:p>
        </w:tc>
      </w:tr>
    </w:tbl>
    <w:p>
      <w:pPr>
        <w:spacing w:before="0" w:after="80"/>
        <w:ind w:firstLine="0"/>
        <w:jc w:val="both"/>
      </w:pPr>
      <w:r>
        <w:rPr>
          <w:b w:val="0"/>
          <w:i w:val="0"/>
          <w:sz w:val="16"/>
        </w:rPr>
        <w:t>Fonte dos dados brutos: SIM/DATASUS, processados com o pacote microdatasus (R). Denominadores populacionais do IBGE (estimativas e Censo 2022).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 xml:space="preserve">Este estudo, de natureza teórico-conceitual e documental, apoia-se em </w:t>
      </w:r>
      <w:r>
        <w:rPr>
          <w:b w:val="0"/>
          <w:i/>
          <w:sz w:val="22"/>
        </w:rPr>
        <w:t>pipeline</w:t>
      </w:r>
      <w:r>
        <w:rPr>
          <w:b w:val="0"/>
          <w:i w:val="0"/>
          <w:sz w:val="22"/>
        </w:rPr>
        <w:t xml:space="preserve"> reprodutível e auditado (scripts, logs e testes automatizados acompanham o repositório). A base empírica foi reconstruída dos dados abertos da CAT do INSS, disponíveis no Portal de Dados Abertos do governo federal. Foram processados 58 arquivos, competências de julho de 2018 a outubro de 2025, totalizando 3.902.905 registros. A importação foi feita por posição de coluna, dados os quatro esquemas estruturais distintos e cabeçalhos duplicados de CBO, CID-10, CNAE e data do acidente. A codificação de caracteres foi detectada arquivo a arquivo e o mês de referência administrativo foi rigorosamente distinguido da data completa do acidente. O recorte municipal exigiu código do empregador igual a 330100 e unidade federativa igual a Rio de Janeiro. Municípios homônimos foram excluídos, assim como 12 registros com UF divergente. Foram removidos 938 registros duplicados (401 </w:t>
      </w:r>
      <w:r>
        <w:rPr>
          <w:b w:val="0"/>
          <w:i/>
          <w:sz w:val="22"/>
        </w:rPr>
        <w:t>hashes</w:t>
      </w:r>
      <w:r>
        <w:rPr>
          <w:b w:val="0"/>
          <w:i w:val="0"/>
          <w:sz w:val="22"/>
        </w:rPr>
        <w:t xml:space="preserve"> SHA-256 distintos) entre arquivos de cobertura sobreposta. A classificação ocupacional utilizou a CBO 2002, com dicionário auditado de 458 códigos observados em Campos. Registros sem código válido (184, 3,6%) foram mantidos em categoria própria. Os denominadores de força de trabalho foram extraídos da RAIS, disponível no FTP do Ministério do Trabalho e Emprego, processados com detecção automática de delimitador. Como a RAIS captura apenas vínculos celetistas ativos em 31 de dezembro de cada ano, seus denominadores são comensuráveis com o numerador da CAT, que também cobre majoritariamente celetistas. Denominadores complementares do CNES-PF foram obtidos com o pacote microdatasus (R) e sustentam razões exploratórias de densidade de comunicação. Todos os totais foram reproduzidos por rotina independente, com convergência integral. Células com menos de cinco registros foram agregadas.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>Das 5.066 CATs vinculadas a empregadores de Campos dos Goytacazes entre 2018 e 2025, 1.144 (22,6%) correspondem às profissões da saúde, 26 às profissões multiprofissionais, 184 (3,6%) a registros sem CBO válido e 3.712 às demais ocupações, das quais 427 estavam empregadas em estabelecimentos de saúde. A distribuição interna é fortemente assimétrica (Tabela 4). A enfermagem concentra 84,4% dos registros, sendo 70,2% de técnicos e auxiliares e 14,2% de enfermeiros. Seguem-se os técnicos e auxiliares de diagnóstico e laboratório (6,8%) e a fisioterapia (2,6%). A medicina responde por 1,0%. Predominam mulheres (85,7%), com idade mediana de 36 anos. Os acidentes típicos somam 81,9% e os de trajeto, 17,1%. Os ferimentos de punho e mãos lideram os diagnósticos (CID-10 S61, 25,1%; o dedo é a parte atingida em 43,9% dos registros), seguidos do contato ou exposição a doenças transmissíveis (Z20, 21,9%). Agentes infecciosos e produtos biológicos respondem por 26,9% dos agentes causadores. Quase todos os empregadores pertencem às divisões 86 e 87 da CNAE (95,4%), com dominância hospitalar (classe 8610, 76,8%). O empregador emitiu 97,0% das CATs, com mediana de um dia entre o acidente e a emissão. Houve um óbito registrado. Comunicações de doença relacionada ao trabalho somaram apenas 1,0%, mesmo com a pandemia dentro do período (Figuras 1 e 2).</w:t>
      </w:r>
    </w:p>
    <w:p>
      <w:pPr>
        <w:spacing w:before="80" w:after="40"/>
        <w:ind w:firstLine="0"/>
        <w:jc w:val="both"/>
      </w:pPr>
      <w:r>
        <w:rPr>
          <w:b/>
          <w:i w:val="0"/>
          <w:sz w:val="19"/>
        </w:rPr>
        <w:t>Tabela 4.</w:t>
      </w:r>
      <w:r>
        <w:rPr>
          <w:b w:val="0"/>
          <w:i w:val="0"/>
          <w:sz w:val="19"/>
        </w:rPr>
        <w:t xml:space="preserve"> Características das CATs das profissões da saúde, empregadores de Campos dos Goytacazes (RJ), 2018-2025 (n = 1.144)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</w:rPr>
            </w:r>
            <w:r>
              <w:rPr>
                <w:b/>
                <w:i w:val="0"/>
                <w:sz w:val="16"/>
              </w:rPr>
              <w:t>Característica</w:t>
            </w:r>
          </w:p>
        </w:tc>
        <w:tc>
          <w:tcPr>
            <w:tcW w:type="dxa" w:w="4536"/>
          </w:tcPr>
          <w:p>
            <w:r>
              <w:rPr>
                <w:b/>
              </w:rPr>
            </w:r>
            <w:r>
              <w:rPr>
                <w:b/>
                <w:i w:val="0"/>
                <w:sz w:val="16"/>
              </w:rPr>
              <w:t>n (%)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Técnicos e auxiliares de enfermagem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803 (70,2)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Enfermeiros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163 (14,2)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Téc. e aux. de diagnóstico e laboratório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78 (6,8)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Fisioterapia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30 (2,6)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Técnicos e auxiliares de farmácia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 (1,7)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Agentes comunitários de saúde e afins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14 (1,2)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Medicina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12 (1,0)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Demais categorias (n&lt;5 agregados)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24 (2,1)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Sexo feminino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980 (85,7)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Acidente típico / trajeto / doença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937 (81,9) / 196 (17,1) / 11 (1,0)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Parte atingida: dedo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502 (43,9)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Agente biológico ou infeccioso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308 (26,9)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CID-10 S61 / Z20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287 (25,1) / 250 (21,9)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Empregador CNAE 86-87 (hospitalar 8610)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1.091 (95,4) / 879 (76,8)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CAT emitida pelo empregador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1.110 (97,0)</w:t>
            </w:r>
          </w:p>
        </w:tc>
      </w:tr>
    </w:tbl>
    <w:p>
      <w:pPr>
        <w:spacing w:before="0" w:after="80"/>
        <w:ind w:firstLine="0"/>
        <w:jc w:val="both"/>
      </w:pPr>
      <w:r>
        <w:rPr>
          <w:b w:val="0"/>
          <w:i w:val="0"/>
          <w:sz w:val="16"/>
        </w:rPr>
        <w:t>Fonte dos dados brutos: INSS, Comunicações de Acidente de Trabalho (CAT), disponíveis no Portal de Dados Abertos do governo federal. Idade mediana de 36 anos. Sexo ignorado em 4 registros. Um óbito. Percentuais sobre o universo principal (n = 1.144).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220000" cy="2079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_cat_ano_categoria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079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ind w:firstLine="0"/>
        <w:jc w:val="both"/>
      </w:pPr>
      <w:r>
        <w:rPr>
          <w:b/>
          <w:i w:val="0"/>
          <w:sz w:val="17"/>
        </w:rPr>
        <w:t>Figura 1.</w:t>
      </w:r>
      <w:r>
        <w:rPr>
          <w:b w:val="0"/>
          <w:i w:val="0"/>
          <w:sz w:val="17"/>
        </w:rPr>
        <w:t xml:space="preserve"> CATs de profissões da saúde (universo principal, n = 1.144), Campos dos Goytacazes (RJ), por ano do acidente e categoria profissional, 2018-2025. *Cobertura parcial ou irregular da fonte.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220000" cy="17641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_serie_mensal_sau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764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ind w:firstLine="0"/>
        <w:jc w:val="both"/>
      </w:pPr>
      <w:r>
        <w:rPr>
          <w:b/>
          <w:i w:val="0"/>
          <w:sz w:val="17"/>
        </w:rPr>
        <w:t>Figura 2.</w:t>
      </w:r>
      <w:r>
        <w:rPr>
          <w:b w:val="0"/>
          <w:i w:val="0"/>
          <w:sz w:val="17"/>
        </w:rPr>
        <w:t xml:space="preserve"> Distribuição mensal das CATs de profissões da saúde (universo principal, n = 1.144), Campos dos Goytacazes (RJ), janeiro de 2018 a dezembro de 2025. Destaque para o período crítico da covid-19 (março de 2020 a dezembro de 2021) e médias mensais por período. Ver notas da Figura 1 sobre oscilações de cobertura da fonte.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>A concentração dos registros na base técnica da enfermagem expressa a divisão social e técnica do trabalho em saúde. A execução manual e corporal do cuidado, que inclui punção venosa, administração de medicamentos, manipulação de perfurocortantes e mobilização de pacientes, é delegada a categorias majoritariamente femininas, de menor renda e prestígio, submetidas a intensificação e sobrecarga (CECILIO; LACAZ, 2012; ANTUNES, 2018). O setor saúde de Campos empregava 15.002 pessoas em 2024, com massa salarial anual de R$ 593,9 milhões e salário médio de 2,2 salários mínimos mensais, o que torna esse contingente economicamente relevante e, ao mesmo tempo, vulnerável à oscilação das finanças públicas. A quase invisibilidade da medicina (12 CATs em oito anos, ante 1.099 a 1.393 vínculos celetistas ativos de médicos na RAIS entre 2018 e 2025) não autoriza concluir menor exposição. Indica inserção predominante por vínculos estatutários, autônomos e de pessoa jurídica, não cobertos pela CAT, o que configura desigualdade de proteção e de reconhecimento institucional e reitera a estratificação de classe e prestígio entre as profissões (LEMOS, 2012). A coexistência de dois regimes previdenciários na administração municipal, com R$ 58,7 milhões em contribuições ao RPPS e R$ 18,3 milhões ao INSS em 2024, materializa essa dualidade de proteção. Agentes comunitários de saúde e de combate às endemias, majoritariamente estatutários, quase não aparecem na base (14 registros, nenhum agente de combate às endemias).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 xml:space="preserve">A média mensal de registros passou de 13,8 (julho de 2018 a fevereiro de 2020) para 14,5 no período crítico da covid-19 (março de 2020 a dezembro de 2021) e recuou para 11,9 no biênio seguinte (2022-2023), convergente com a sobrecarga pandêmica descrita para os trabalhadores da saúde (VEDOVATO </w:t>
      </w:r>
      <w:r>
        <w:rPr>
          <w:b w:val="0"/>
          <w:i/>
          <w:sz w:val="22"/>
        </w:rPr>
        <w:t>et al.</w:t>
      </w:r>
      <w:r>
        <w:rPr>
          <w:b w:val="0"/>
          <w:i w:val="0"/>
          <w:sz w:val="22"/>
        </w:rPr>
        <w:t>, 2021). As oscilações de cobertura da fonte, contudo, impedem atribuição causal (Figura 2). A baixíssima frequência de comunicações de doença (1,0%) reforça o diagnóstico de subnotificação seletiva. O sistema registra sobretudo a lesão aguda e visível, não o adoecimento lento produzido pela organização do trabalho. Os dados não permitem estimar incidência, prevalência ou risco ocupacional, pois as diferenças entre categorias podem refletir o tamanho das forças de trabalho, a composição e a formalização dos vínculos, a terceirização e a cultura institucional de notificação. A robustez interna é alta. A predominância da enfermagem e a hierarquia das categorias mantêm-se em todos os cenários de sensibilidade, com participação da enfermagem entre 84,4% e 86,3%. As razões exploratórias com denominadores do CNES (13.839 profissionais em 2018, 18.382 em 2025) reforçam o gradiente. Nos anos de cobertura integral (2019 a 2021 e 2023) houve de 25,0 a 36,6 CATs por 1.000 técnicos e auxiliares de enfermagem ao ano, de 16,5 a 28,0 por 1.000 enfermeiros e 1,2 por 1.000 médicos em 2019, com valores suprimidos nos demais anos por contagens inferiores a cinco.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 xml:space="preserve">Para a Vigilância em Saúde do Trabalhador e para a gestão municipal, os resultados indicam prioridades verificáveis. A primeira é proteger a base técnica da enfermagem, núcleo do cuidado e dos registros, com ênfase em perfurocortantes e exposição biológica. A segunda é enfrentar a subnotificação de doenças relacionadas ao trabalho e a invisibilidade de estatutários, terceirizados e informais, articulando CAT, SINAN, RAIS, CNES e os registros do RPPS municipal, cujos dados de acidentes e adoecimentos de servidores estatutários não são consolidados em base nacional de acesso público. A terceira é qualificar o preenchimento dos registros, pois 3,6% não trazem código ocupacional válido, com concentração entre 2021 e 2023. A quarta é planejar a rede assistencial reconhecendo que seu financiamento oscila com as rendas petrolíferas (MARTINS; HASENCLEVER; MIRANDA, 2024) e que a proteção de quem cuida é condição de possibilidade do próprio cuidado. O IDHM de 0,716, a dependência de 71% das receitas de transferências e a convivência de dois regimes previdenciários com patamares desiguais de proteção reforçam a urgência de políticas que não estejam à mercê da volatilidade de uma única </w:t>
      </w:r>
      <w:r>
        <w:rPr>
          <w:b w:val="0"/>
          <w:i/>
          <w:sz w:val="22"/>
        </w:rPr>
        <w:t>commodity</w:t>
      </w:r>
      <w:r>
        <w:rPr>
          <w:b w:val="0"/>
          <w:i w:val="0"/>
          <w:sz w:val="22"/>
        </w:rPr>
        <w:t>.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>A CAT capta comunicações, não a totalidade dos acidentes e adoecimentos. Cobre essencialmente o emprego formal celetista, excluindo informais, autônomos e estatutários. Não há denominadores plenamente compatíveis para cálculo de incidência. A cobertura da fonte é parcial em 2018 (competências desde julho), irregular em 2022, atípica de setembro a dezembro de 2024 e incompleta em 2025 (dados até outubro), o que restringe comparações anuais. Registros sem CBO válido podem subestimar as profissões da saúde entre 2021 e 2023. O desenho descritivo e documental não permite inferência causal. Os registros de acidentes e adoecimentos de servidores estatutários municipais, vinculados ao RPPS, não estão disponíveis em base consolidada de acesso público, o que impede a comparação direta entre os dois regimes previdenciários.</w:t>
      </w:r>
    </w:p>
    <w:p>
      <w:pPr>
        <w:spacing w:before="120" w:after="40"/>
        <w:ind w:firstLine="0"/>
        <w:jc w:val="both"/>
      </w:pPr>
      <w:r>
        <w:rPr>
          <w:b/>
          <w:i w:val="0"/>
          <w:sz w:val="21"/>
        </w:rPr>
        <w:t>Referências</w:t>
      </w:r>
    </w:p>
    <w:p>
      <w:pPr>
        <w:spacing w:before="0" w:after="40"/>
        <w:ind w:firstLine="0"/>
        <w:jc w:val="left"/>
      </w:pPr>
      <w:r>
        <w:rPr>
          <w:b w:val="0"/>
          <w:i w:val="0"/>
          <w:sz w:val="18"/>
        </w:rPr>
        <w:t xml:space="preserve">ANTUNES, R. </w:t>
      </w:r>
      <w:r>
        <w:rPr>
          <w:b/>
          <w:i w:val="0"/>
          <w:sz w:val="18"/>
        </w:rPr>
        <w:t>O privilégio da servidão</w:t>
      </w:r>
      <w:r>
        <w:rPr>
          <w:b w:val="0"/>
          <w:i w:val="0"/>
          <w:sz w:val="18"/>
        </w:rPr>
        <w:t>: o novo proletariado de serviços na era digital. São Paulo: Boitempo, 2018.</w:t>
      </w:r>
    </w:p>
    <w:p>
      <w:pPr>
        <w:spacing w:before="0" w:after="40"/>
        <w:ind w:firstLine="0"/>
        <w:jc w:val="left"/>
      </w:pPr>
      <w:r>
        <w:rPr>
          <w:b w:val="0"/>
          <w:i w:val="0"/>
          <w:sz w:val="18"/>
        </w:rPr>
        <w:t xml:space="preserve">CECILIO, L. C. O.; LACAZ, F. A. C. </w:t>
      </w:r>
      <w:r>
        <w:rPr>
          <w:b/>
          <w:i w:val="0"/>
          <w:sz w:val="18"/>
        </w:rPr>
        <w:t>O trabalho em saúde</w:t>
      </w:r>
      <w:r>
        <w:rPr>
          <w:b w:val="0"/>
          <w:i w:val="0"/>
          <w:sz w:val="18"/>
        </w:rPr>
        <w:t>. Rio de Janeiro: Cebes, 2012.</w:t>
      </w:r>
    </w:p>
    <w:p>
      <w:pPr>
        <w:spacing w:before="0" w:after="40"/>
        <w:ind w:firstLine="0"/>
        <w:jc w:val="left"/>
      </w:pPr>
      <w:r>
        <w:rPr>
          <w:b w:val="0"/>
          <w:i w:val="0"/>
          <w:sz w:val="18"/>
        </w:rPr>
        <w:t xml:space="preserve">IBGE. </w:t>
      </w:r>
      <w:r>
        <w:rPr>
          <w:b/>
          <w:i w:val="0"/>
          <w:sz w:val="18"/>
        </w:rPr>
        <w:t>Sistema IBGE de Recuperação Automática (SIDRA)</w:t>
      </w:r>
      <w:r>
        <w:rPr>
          <w:b w:val="0"/>
          <w:i w:val="0"/>
          <w:sz w:val="18"/>
        </w:rPr>
        <w:t>: Censo Demográfico 2022 (tabela 4714); Produto Interno Bruto dos Municípios (tabela 5938). Rio de Janeiro: IBGE, 2026. Disponível em: https://sidra.ibge.gov.br. Acesso em: 18 jul. 2026.</w:t>
      </w:r>
    </w:p>
    <w:p>
      <w:pPr>
        <w:spacing w:before="0" w:after="40"/>
        <w:ind w:firstLine="0"/>
        <w:jc w:val="left"/>
      </w:pPr>
      <w:r>
        <w:rPr>
          <w:b w:val="0"/>
          <w:i w:val="0"/>
          <w:sz w:val="18"/>
        </w:rPr>
        <w:t xml:space="preserve">LEMOS, M. R. Estratificação social na teoria de Max Weber: considerações em torno do tema. </w:t>
      </w:r>
      <w:r>
        <w:rPr>
          <w:b/>
          <w:i w:val="0"/>
          <w:sz w:val="18"/>
        </w:rPr>
        <w:t>Revista Iluminart</w:t>
      </w:r>
      <w:r>
        <w:rPr>
          <w:b w:val="0"/>
          <w:i w:val="0"/>
          <w:sz w:val="18"/>
        </w:rPr>
        <w:t>, Sertãozinho, ano 4, n. 9, p. 113-128, nov. 2012.</w:t>
      </w:r>
    </w:p>
    <w:p>
      <w:pPr>
        <w:spacing w:before="0" w:after="40"/>
        <w:ind w:firstLine="0"/>
        <w:jc w:val="left"/>
      </w:pPr>
      <w:r>
        <w:rPr>
          <w:b w:val="0"/>
          <w:i w:val="0"/>
          <w:sz w:val="18"/>
        </w:rPr>
        <w:t xml:space="preserve">MARTINS, S.; HASENCLEVER, L.; MIRANDA, C. A gestão da saúde à luz da instabilidade de financiamento e das propostas de governo. </w:t>
      </w:r>
      <w:r>
        <w:rPr>
          <w:b/>
          <w:i w:val="0"/>
          <w:sz w:val="18"/>
        </w:rPr>
        <w:t>Cadernos do Desenvolvimento Fluminense</w:t>
      </w:r>
      <w:r>
        <w:rPr>
          <w:b w:val="0"/>
          <w:i w:val="0"/>
          <w:sz w:val="18"/>
        </w:rPr>
        <w:t>, Rio de Janeiro, n. 27, 2024. Disponível em: https://doi.org/10.12957/cdf.2024.87352. Acesso em: 18 jul. 2026.</w:t>
      </w:r>
    </w:p>
    <w:p>
      <w:pPr>
        <w:spacing w:before="0" w:after="40"/>
        <w:ind w:firstLine="0"/>
        <w:jc w:val="left"/>
      </w:pPr>
      <w:r>
        <w:rPr>
          <w:b w:val="0"/>
          <w:i w:val="0"/>
          <w:sz w:val="18"/>
        </w:rPr>
        <w:t xml:space="preserve">MENDES, R.; DIAS, E. C. Da medicina do trabalho à saúde do trabalhador. </w:t>
      </w:r>
      <w:r>
        <w:rPr>
          <w:b/>
          <w:i w:val="0"/>
          <w:sz w:val="18"/>
        </w:rPr>
        <w:t>Revista de Saúde Pública</w:t>
      </w:r>
      <w:r>
        <w:rPr>
          <w:b w:val="0"/>
          <w:i w:val="0"/>
          <w:sz w:val="18"/>
        </w:rPr>
        <w:t>, São Paulo, v. 25, n. 5, p. 341-349, 1991. Disponível em: https://doi.org/10.1590/S0034-89101991000500003. Acesso em: 18 jul. 2026.</w:t>
      </w:r>
    </w:p>
    <w:p>
      <w:pPr>
        <w:spacing w:before="0" w:after="40"/>
        <w:ind w:firstLine="0"/>
        <w:jc w:val="left"/>
      </w:pPr>
      <w:r>
        <w:rPr>
          <w:b w:val="0"/>
          <w:i w:val="0"/>
          <w:sz w:val="18"/>
        </w:rPr>
        <w:t xml:space="preserve">OLIVEIRA, E. M. Transformações no mundo do trabalho, da Revolução Industrial aos nossos dias. </w:t>
      </w:r>
      <w:r>
        <w:rPr>
          <w:b/>
          <w:i w:val="0"/>
          <w:sz w:val="18"/>
        </w:rPr>
        <w:t>Caminhos de Geografia</w:t>
      </w:r>
      <w:r>
        <w:rPr>
          <w:b w:val="0"/>
          <w:i w:val="0"/>
          <w:sz w:val="18"/>
        </w:rPr>
        <w:t>, Uberlândia, v. 6, n. 11, p. 84-96, fev. 2004. Disponível em: https://doi.org/10.14393/rcg51115327. Acesso em: 18 jul. 2026.</w:t>
      </w:r>
    </w:p>
    <w:p>
      <w:pPr>
        <w:spacing w:before="0" w:after="40"/>
        <w:ind w:firstLine="0"/>
        <w:jc w:val="left"/>
      </w:pPr>
      <w:r>
        <w:rPr>
          <w:b w:val="0"/>
          <w:i w:val="0"/>
          <w:sz w:val="18"/>
        </w:rPr>
        <w:t xml:space="preserve">SILVA, J. E. M. da; HASENCLEVER, L. Ciclo do petróleo e desenvolvimento socioeconômico no município de Campos dos Goytacazes (1999-2014). </w:t>
      </w:r>
      <w:r>
        <w:rPr>
          <w:b/>
          <w:i w:val="0"/>
          <w:sz w:val="18"/>
        </w:rPr>
        <w:t>Desenvolvimento em Questão</w:t>
      </w:r>
      <w:r>
        <w:rPr>
          <w:b w:val="0"/>
          <w:i w:val="0"/>
          <w:sz w:val="18"/>
        </w:rPr>
        <w:t>, Ijuí, v. 17, n. 46, p. 314-332, 2019. Disponível em: https://doi.org/10.21527/2237-6453.2019.46.314-332. Acesso em: 18 jul. 2026.</w:t>
      </w:r>
    </w:p>
    <w:p>
      <w:pPr>
        <w:spacing w:before="0" w:after="40"/>
        <w:ind w:firstLine="0"/>
        <w:jc w:val="left"/>
      </w:pPr>
      <w:r>
        <w:rPr>
          <w:b w:val="0"/>
          <w:i w:val="0"/>
          <w:sz w:val="18"/>
        </w:rPr>
        <w:t xml:space="preserve">VEDOVATO, T. G.; ANDRADE, C. B.; SANTOS, D. L.; BITENCOURT, S. M.; ALMEIDA, L. P. de; SAMPAIO, J. F. da S. Trabalhadores(as) da saúde e a COVID-19: condições de trabalho à deriva? </w:t>
      </w:r>
      <w:r>
        <w:rPr>
          <w:b/>
          <w:i w:val="0"/>
          <w:sz w:val="18"/>
        </w:rPr>
        <w:t>Revista Brasileira de Saúde Ocupacional</w:t>
      </w:r>
      <w:r>
        <w:rPr>
          <w:b w:val="0"/>
          <w:i w:val="0"/>
          <w:sz w:val="18"/>
        </w:rPr>
        <w:t>, São Paulo, v. 46, e1, 2021. Disponível em: https://doi.org/10.1590/2317-6369000028520. Acesso em: 18 jul. 2026.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360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