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t>Saúde do Trabalhador em Campos dos Goytacazes (RJ): ensaio teórico apoiado em análise multifonte, 2015–2025</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(ALMEIDA; BINDER; FISCHER, 2000)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(WHO, 2020).</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t>Este ensaio teórico, apoiado em análise multifonte de bases secundárias, descreve o perfil e as taxas de notificação de acidentes de trabalho entre profissionais da saúde com vínculo celetista em Campos dos Goytacazes, de 2015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71 arquivos mensais de 2015 a 2025, com registros de acidentes de trabalho comunicados no município, dos quais 6.617 vinculados a empregadores de Campos e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99 arquivos .dbc, 2015-2025, 9 agravos, filtro SIT_TRAB=01 para acidentes e TRAB_DOE=1 para doenças); SIH/SUS (microdatasus, R, 255.254 internações com CID de trabalho baseados na lista do Ministério da Saúde, Brasil, 1999); benefícios acidentários do INSS, B91-B94 (Portal de Dados Abertos, 48.528 concessões, todas as ocupações); e 42 indicadores do SmartLab/MPT (extração automatizada).</w:t>
      </w:r>
      <w:r>
        <w:rPr>
          <w:b w:val="0"/>
          <w:i/>
          <w:sz w:val="24"/>
        </w:rPr>
      </w:r>
      <w:r>
        <w:rPr>
          <w:b w:val="0"/>
          <w:i w:val="0"/>
          <w:sz w:val="24"/>
        </w:rPr>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CATs de profissionais celetistas da saúde no período 2015-2025 (Tabela 1), a enfermagem de nível técnico concentra 70,2% dos registros (IC 95%: 67,5-72,8%), seguida por enfermeiros (14,2%; IC 95%: 12,2-16,3%). A medicina responde por 1,0%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 Esses padrões sugerem que a concentração de notificações na enfermagem técnica não reflete apenas maior risco — que é real e documentado — mas também a maior visibilidade institucional dessa categoria no sistema CAT, em contraste com a medicina, cujos vínculos frequentemente escapam à cobertura celetista.</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 CATs das profissões celetistas da saúde, Campos dos Goytacazes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2015–2025, parcial em 2015-2018 (semestral), 2022 (carga irregular) e 2024-2025 (até outubro).</w:t>
      </w:r>
    </w:p>
    <w:p>
      <w:pPr>
        <w:spacing w:before="40" w:after="40"/>
        <w:ind w:firstLine="0"/>
        <w:jc w:val="both"/>
      </w:pPr>
      <w:r>
        <w:rPr>
          <w:b/>
          <w:i w:val="0"/>
          <w:sz w:val="20"/>
        </w:rPr>
        <w:t>Tabela 2. Taxa de notificação por 1.000 vínculos RAIS celetistas, profissões da saúde, Campos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profissionais celetistas da saúde (n = 1.144) por ano e categoria. Asterisco = cobertura parcial. Fonte: CAT/INSS.</w:t>
      </w:r>
    </w:p>
    <w:p>
      <w:pPr>
        <w:spacing w:before="0" w:after="40"/>
        <w:ind w:firstLine="709"/>
        <w:jc w:val="both"/>
      </w:pPr>
      <w:r>
        <w:rPr>
          <w:b w:val="0"/>
          <w:i w:val="0"/>
          <w:sz w:val="24"/>
        </w:rPr>
        <w:t>O SINAN registrou notificações de agravos relacionados ao trabalho em Campos no período 2015–2025 (Tabela 3). Os acidentes de trabalho representam a vasta maioria das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1.144 CATs da saúde (aproximadamente 10:1) fornece uma estimativa indireta da magnitude de acidentes que não geram CAT, embora os universos de cobertura não sejam idênticos.</w:t>
      </w:r>
    </w:p>
    <w:p>
      <w:pPr>
        <w:spacing w:before="80" w:after="40"/>
        <w:ind w:firstLine="0"/>
        <w:jc w:val="both"/>
      </w:pPr>
      <w:r>
        <w:rPr>
          <w:b/>
          <w:i w:val="0"/>
          <w:sz w:val="20"/>
        </w:rPr>
        <w:t>Tabela 3. SINAN, agravos relacionados ao trabalho,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2015-2022 + PRELIM 2023-2025). Total de 99 arquivos .dbc, 9 agravos. Filtro: SIT_TRAB=01 (acidentes), TRAB_DOE=1 (doenças). Observar que PRELIM têm completude inferior a FINAIS.</w:t>
      </w:r>
    </w:p>
    <w:p>
      <w:pPr>
        <w:spacing w:before="40" w:after="40"/>
        <w:ind w:firstLine="0"/>
        <w:jc w:val="both"/>
      </w:pPr>
      <w:r>
        <w:rPr>
          <w:b/>
          <w:i w:val="0"/>
          <w:sz w:val="20"/>
        </w:rPr>
        <w:t>Tabela 4. Internações SIH/SUS com CID de trabalho, residentes de Campos (RJ), 2015–2025.</w:t>
      </w:r>
      <w:r>
        <w:rPr>
          <w:b w:val="0"/>
          <w:i w:val="0"/>
          <w:sz w:val="20"/>
        </w:rPr>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SIM: 0 obitos com esses CIDs.</w:t>
      </w:r>
    </w:p>
    <w:p>
      <w:pPr>
        <w:spacing w:before="40" w:after="40"/>
        <w:ind w:firstLine="0"/>
        <w:jc w:val="both"/>
      </w:pPr>
      <w:r>
        <w:rPr>
          <w:b/>
          <w:i w:val="0"/>
          <w:sz w:val="20"/>
        </w:rPr>
        <w:t>Tabela 5. Benefícios acidentários (B91-B94) concedidos,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Esse número é notavelmente baixo: para uma população de aproximadamente 500 mil habitantes ao longo de uma década, esperar-se-ia maior volume de internações por agravos ocupacionais se a notificação fosse completa. Globalmente, estima-se que as doenças ocupacionais respondam por 2,4% a 4,0% da carga total de morbidade (TAKALA et al., 2014). A proporção de 0,11% em Campos é ordens de grandeza inferior, sugerindo que o SIH captura apenas uma fração dos agravos ocupacionais que demandam hospitalização. Os distúrbios osteomusculares predominam (95%), compatíveis com a elevada prevalência de LER/DORT em trabalhadores brasileiros. Não foram registrados óbitos com esses CIDs nas bases disponíveis.</w:t>
      </w:r>
    </w:p>
    <w:p>
      <w:pPr>
        <w:spacing w:before="0" w:after="40"/>
        <w:ind w:firstLine="709"/>
        <w:jc w:val="both"/>
      </w:pPr>
      <w:r>
        <w:rPr>
          <w:b w:val="0"/>
          <w:i w:val="0"/>
          <w:sz w:val="24"/>
        </w:rPr>
        <w:t>Os benefícios acidentários do INSS (B91-B94) totalizaram 48.528 concessões (Tabela 5). Este volume é comparável a municípios brasileiros de médio porte, mas a trajetória temporal revela instabilidade administrativa: o pico de 2020 (10.631) coincide com a pandemia, enquanto a oscilação entre 286 (2022) e 13.607 (2025) provavelmente incorpora efeitos de alterações normativas e de capacidade operacional do INSS, não apenas variação na incidência de acidentes. A impossibilidade de estratificar por ocupação — a base não contém a Classificação Brasileira de Ocupações — impede análises por categoria profissional e representa limitação importante para a vigilância. Esses benefícios cobrem todas as ocupações do município e constituem indicador complementar valioso, sobretudo quando triangulados com as demais fontes.</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(GALDINO; SANTANA; FERRITE, 2012). A subnotificação de agravos ocupacionais é fenômeno global: estima-se que os sistemas nacionais de vigilância capturem entre 20% e 60% dos acidentes de trabalho não fatais, com variação expressiva entre setores e ocupações (ROSENMAN et al., 2006). Métodos de captura-recaptura, aplicados a fontes independentes, estimam que a subnotificação pode atingir proporções ainda maiores quando se consideram doenças ocupacionais de longa latência (BODEN; OZONOFF, 2008). Parte dos médicos atua como pessoa jurídica, forma de vínculo sem CAT. Os estatutários, independentemente da categoria, estão estruturalmente excluídos do sistema CAT. O delineamento ecológico impede isolar a contribuição de cada fator, e a triangulação aqui empregada atenua, mas não elimina, a incerteza.</w:t>
      </w:r>
    </w:p>
    <w:p>
      <w:pPr>
        <w:spacing w:before="0" w:after="40"/>
        <w:ind w:firstLine="709"/>
        <w:jc w:val="both"/>
      </w:pPr>
      <w:r>
        <w:t>A triangulação com os demais sistemas de informação oferece estimativas indiretas da subnotificação. A comparação entre sistemas — reconhecendo que SINAN e CAT possuem coberturas, definições de caso e finalidades distintas — indica que o SINAN notifica um volume substancialmente maior de agravos ocupacionais do que a CAT. Embora os universos não sejam diretamente comensuráveis, essa assimetria é compatível com a hipótese de que parcela significativa dos acidentes de trabalho não é comunicada via CAT, conforme documentado na literatura nacional (GALDINO; SANTANA; FERRITE, 2012) e internacional (ROSENMAN et al., 2006; TAKALA et al., 2014). As 286 internações com CID ocupacional no SIH em oito anos (0,11% do total de 255.254), das quais 95% são distúrbios osteomusculares (LER/DORT), reforçam o predomínio desses agravos na rede hospitalar. A virtual ausência de doenças ocupacionais crônicas confirmadas no SINAN é consistente com a dificuldade estrutural de estabelecer nexo entre adoecimento crônico e trabalho em um sistema de vigilância fragmentado (GOMEZ; VASCONCELLOS; MACHADO, 2018). Esses padrões convergentes sugerem que a subnotificação de acidentes e, sobretudo, de doenças ocupacionais é expressiva em Campos, embora sua magnitude exata não possa ser quantificada sem métodos de captura-recaptura aplicados a fontes independentes (BODEN; OZONOFF, 2008).</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A fragmentação dos sistemas de informação em saúde do trabalhador no Brasil não é excepcional: estudos internacionais documentam problemas similares de subnotificação e desarticulação entre bases (ROSENMAN et al., 2006). Pesquisas futuras com aplicação de métodos de captura-recaptura a fontes independentes — CAT, SINAN, SIH e benefícios previdenciários — poderiam estimar a magnitude real dos agravos ocupacionais e superar as limitações do delineamento ecológico aqui empregado.</w:t>
      </w:r>
    </w:p>
    <w:p>
      <w:pPr>
        <w:spacing w:before="160" w:after="80"/>
        <w:ind w:firstLine="0"/>
        <w:jc w:val="both"/>
      </w:pPr>
      <w:r>
        <w:rPr>
          <w:b/>
          <w:i w:val="0"/>
          <w:sz w:val="21"/>
        </w:rPr>
        <w:t>Referências</w:t>
      </w:r>
    </w:p>
    <w:p>
      <w:r>
        <w:t>ANTUNES, R.; PRAUN, L. A sociedade dos adoecimentos no trabalho. Serviço Social &amp; Sociedade, n. 123, p. 407-427, 2015.</w:t>
      </w:r>
    </w:p>
    <w:p>
      <w:r>
        <w:t>BODEN, L. I.; OZONOFF, A. Capture-recapture estimates of nonfatal workplace injuries and illnesses. Annals of Epidemiology, v. 18, n. 6, p. 500-506, 2008.</w:t>
      </w:r>
    </w:p>
    <w:p>
      <w:r>
        <w:t>BRASIL. Lei nº 8.213, de 24 de julho de 1991. Dispõe sobre os Planos de Benefícios da Previdência Social. Diário Oficial da União, Brasília, DF, 25 jul. 1991.</w:t>
      </w:r>
    </w:p>
    <w:p>
      <w:r>
        <w:t>GALDINO, A.; SANTANA, V. S.; FERRITE, S. Fatores associados à subnotificação de acidentes de trabalho no SINAN. Cadernos de Saúde Pública, v. 28, n. 4, p. 733-742, 2012.</w:t>
      </w:r>
    </w:p>
    <w:p>
      <w:r>
        <w:t>GOMEZ, C. M.; VASCONCELLOS, L. C. F.; MACHADO, J. M. H. Saúde do trabalhador no SUS: desafios para uma política pública. Ciência &amp; Saúde Coletiva, v. 23, n. 6, p. 1963-1970, 2018.</w:t>
      </w:r>
    </w:p>
    <w:p>
      <w:r>
        <w:t>ILO. World statistic: occupational safety and health. Genebra: International Labour Organization, 2023. Disponível em: https://ilostat.ilo.org/topics/safety-and-health-at-work/. Acesso em: 22 jul. 2026.</w:t>
      </w:r>
    </w:p>
    <w:p>
      <w:r>
        <w:t>MARTINS, S.; HASENCLEVER, L.; MIRANDA, C. A gestão da saúde à luz da instabilidade de financiamento: o caso de Campos dos Goytacazes. Cadernos do Desenvolvimento Fluminense, n. 27, 2024.</w:t>
      </w:r>
    </w:p>
    <w:p>
      <w:r>
        <w:t>MORGENSTERN, H. Ecologic studies in epidemiology: concepts, principles, and methods. Annual Review of Public Health, v. 16, p. 61-81, 1995.</w:t>
      </w:r>
    </w:p>
    <w:p>
      <w:r>
        <w:t>OLIVEIRA, E. M. Transformações no mundo do trabalho, da Revolução Industrial aos nossos dias. Caminhos de Geografia, v. 6, n. 11, p. 84-96, 2004.</w:t>
      </w:r>
    </w:p>
    <w:p>
      <w:r>
        <w:t>ROSENMAN, K. D. et al. How much work-related injury and illness is missed by the current national surveillance system? Journal of Occupational and Environmental Medicine, v. 48, n. 4, p. 357-365, 2006.</w:t>
      </w:r>
    </w:p>
    <w:p>
      <w:r>
        <w:t>SILVA, J. E. M.; HASENCLEVER, L. Ciclo do petróleo e desenvolvimento socioeconômico em Campos dos Goytacazes. Desenvolvimento em Questão, v. 17, n. 46, p. 314-332, 2019.</w:t>
      </w:r>
    </w:p>
    <w:p>
      <w:r>
        <w:t>SOUZA, D. O.; MELO, A. I. S. C.; VASCONCELLOS, L. C. F. Saúde do(s) trabalhador(es): do "campo" à "questão" ou do "campo" à "categoria"?. Saúde em Debate, v. 41, n. 113, p. 591-604, 2017.</w:t>
      </w:r>
    </w:p>
    <w:p>
      <w:r>
        <w:t>TAKALA, J. et al. Global estimates of the burden of injury and illness at work in 2012. Journal of Occupational and Environmental Hygiene, v. 11, n. 5, p. 326-337, 2014.</w:t>
      </w:r>
    </w:p>
    <w:p>
      <w:r>
        <w:t>VEDOVATO, T. G. et al. Trabalhadores(as) da saúde e a COVID-19: condições de trabalho à deriva?. Revista Brasileira de Saúde Ocupacional, v. 46, e1, 2021.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