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saúde e profissão em Campos dos Goytacazes (RJ)</w:t>
      </w:r>
    </w:p>
    <w:p>
      <w:pPr>
        <w:spacing w:before="0" w:after="40"/>
        <w:ind w:firstLine="709"/>
        <w:jc w:val="both"/>
      </w:pPr>
      <w:r>
        <w:rPr>
          <w:b w:val="0"/>
          <w:i w:val="0"/>
          <w:sz w:val="22"/>
        </w:rPr>
        <w:t>Este ensaio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ensaio mobiliza esse arcabouço conceitual para construir um diagnóstico estrutural da saúde do trabalhador no setor saúde de Campos, articulando sistemas de informação epidemiológica, registros administrativos e indicadores socioeconômicos para construir um diagnóstico territorial da Saúde do Trabalhador. O território onde esse regime opera é precisamente o que se descreve a seguir.</w:t>
        <w:br/>
        <w:br/>
        <w:t>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br/>
        <w:b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nos termos da Lei nº 9.478/1997,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br/>
        <w:b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ensaio,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Este ensaio integra uma agenda mais ampla de investigação sobre a Saúde do Trabalhador em Campos dos Goytacazes. Seu propósito é construir o diagnóstico territorial e institucional necessário para estudos posteriores sobre processos de trabalho, adoecimento e vigilância. Trata-se de um ensaio analítico destinado à construção de um diagnóstico territorial da Saúde do Trabalhador, apoiado na triangulação de sistemas de informação epidemiológica, registros administrativos e indicadores socioeconômicos, cujo objetivo é caracterizar a configuração contemporânea da saúde do trabalhador no setor saúde do município e identificar elementos estruturantes para investigações subsequentes. A base empírica principal foi reconstruída dos dados abertos da CAT do INSS, disponíveis no Portal de Dados Abertos do governo federal. Foram processados 58 arquivos, de julho de 2018 a outubro de 2025, totalizando 3.902.905 registros, com importação posicional e remoção de 938 duplicatas (401 hashes SHA-256). O recorte municipal utilizou código do empregador 330100 e UF Rio de Janeiro. A classificação ocupacional baseou-se na CBO 2002, com dicionário auditado de 458 códigos.</w:t>
        <w:br/>
        <w:b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br/>
        <w:br/>
        <w:t xml:space="preserve">Para examinar como o regime de visibilidade previdenciária se manifesta nos registros da CAT, três estratégias analíticas complementares foram empregadas. A primeira compreendeu a descrição do perfil das CATs das profissões da saúde, com teste de sensibilidade em seis cenários para verificar a estabilidade dos achados. A segunda consistiu na análise da série temporal mensal de CATs (janeiro de 2018 a outubro de 2025), com decomposição clássica, Mann-Kendall, Dickey-Fuller e suavização LOESS com intervalo de confiança </w:t>
      </w:r>
      <w:r>
        <w:rPr>
          <w:b w:val="0"/>
          <w:i/>
          <w:sz w:val="22"/>
        </w:rPr>
        <w:t>bootstrap</w:t>
      </w:r>
      <w:r>
        <w:rPr>
          <w:b w:val="0"/>
          <w:i w:val="0"/>
          <w:sz w:val="22"/>
        </w:rPr>
        <w:t xml:space="preserve"> de 200 reamostragens. A terceira compreendeu a identificação de padrões de associação entre ocupação, agente causador e diagnóstico, utilizando o algoritmo Apriori (métricas de suporte, confiança e </w:t>
      </w:r>
      <w:r>
        <w:rPr>
          <w:b w:val="0"/>
          <w:i/>
          <w:sz w:val="22"/>
        </w:rPr>
        <w:t>lift</w:t>
      </w:r>
      <w:r>
        <w:rPr>
          <w:b w:val="0"/>
          <w:i w:val="0"/>
          <w:sz w:val="22"/>
        </w:rPr>
        <w:t>), grafos bipartidos e teste qui-quadrado com V de Cramér. Essas abordagens identificam regularidades que contribuam para a caracterização do regime de visibilidade previdenciária. Adicionalmente, 46 arquivos do SINAN/DATASUS (126,5 MB, nove agravos relacionados ao trabalho, 2018-2022, FTP do DATASUS) foram obtidos para cotejo futuro entre notificação compulsória e comunicação de acidente.</w:t>
        <w:br/>
        <w:br/>
        <w:t>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br/>
        <w:b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br/>
        <w:b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permite antever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Duas cadeias predominantes de risco prevenível emergem dessa concentração.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br/>
        <w:br/>
        <w:t>A concentração das CATs na enfermagem e a quase ausência da medicina, com apenas 1,0%, refletem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br/>
        <w:br/>
        <w:t>Conforme exposto na abertura deste ensaio, Souza, Melo e Vasconcellos (2017) oferecem uma distinção entre campo e questão que ilumina esses achados.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br/>
        <w:b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é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exploratório do ensaio não comporta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 Por fim, o ensaio não contempla análise direta do processo de trabalho, lacuna que demanda estudos qualitativos complementares com participação dos trabalhadores, nos moldes do Modelo Operário Italiano (França, 2014).</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