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RELATÓRIO DE AUDITORIA CIENTÍFICA FORENSE</w:t>
      </w:r>
    </w:p>
    <w:p/>
    <w:p>
      <w:pPr>
        <w:jc w:val="center"/>
      </w:pPr>
      <w:r>
        <w:rPr>
          <w:rFonts w:ascii="Times New Roman" w:hAnsi="Times New Roman"/>
          <w:sz w:val="28"/>
        </w:rPr>
        <w:t>Ranqueamento Farmacogenômico in silico de Fármacos Moduladores</w:t>
        <w:br/>
        <w:t>da Expressão do Gene NQO1 por Integração das Bases</w:t>
        <w:br/>
        <w:t>CMAP, LINCS L1000 e CREEDS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Auditoria realizada em 26 de junho de 2026</w:t>
      </w:r>
    </w:p>
    <w:p/>
    <w:p>
      <w:pPr>
        <w:jc w:val="center"/>
      </w:pPr>
      <w:r>
        <w:rPr>
          <w:rFonts w:ascii="Times New Roman" w:hAnsi="Times New Roman"/>
          <w:sz w:val="24"/>
        </w:rPr>
        <w:t>Versão 3.0 — LOCK FINAL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 Introdução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Este relatório documenta o processo completo de auditoria científica forense aplicada ao trabalho intitulado "Ranqueamento Farmacogenômico in silico de Fármacos Moduladores da Expressão do Gene NQO1 por Integração das Bases CMAP, LINCS L1000 e CREEDS", desenvolvido no âmbito do Instituto Federal Fluminense Campus Campos Guarus. A auditoria foi conduzida entre 13 e 26 de junho de 2026, abrangendo três ciclos completos de revisão: auditoria inicial (identificação de incongruências), correção estrutural (alinhamento metodológico e travamento do escopo) e auditoria final (verificação de consistência e geração de outputs unificados).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O objetivo da auditoria foi garantir que todas as afirmações do manuscrito estejam rigorosamente sustentadas pelos dados produzidos pelo pipeline computacional (script.R) e pelos arquivos de saída (tabelas .csv, figuras .png, logs de auditoria), eliminando quaisquer inconsistências, falácias, extrapolações não suportadas ou erros de interpretação dos resultados.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 Metodologia da Auditoria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 auditoria seguiu protocolo estruturado em 15 etapas, abrangendo: (1) reconstrução do fluxo científico; (2) auditoria linha por linha do código-fonte; (3) verificação de reprodutibilidade metodológica; (4) cruzamento de resultados entre manuscrito e outputs; (5) auditoria biológica (premissas, extrapolações); (6) auditoria estatística (viés, múltiplas comparações, escores); (7) auditoria farmacogenômica (direção de regulação, rankings, plataformas); (8) auditoria das figuras; (9) auditoria textual frase por frase; (10) identificação de falácias e vieses; (11) auditoria das referências; (12) verificação de consistência interna; (13) proposição de correções; (14) avaliação de credibilidade; e (15) parecer final no formato de revisor de periódico internacional.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Foram considerados como fonte primária da verdade os arquivos de código (script.R) e os outputs gerados (tabelas .csv, figuras .png, logs de auditoria). O manuscrito (resumo expandido) foi tratado como hipótese a ser verificada contra os dados, nunca como evidência em si. Todos os valores numéricos, direções de regulação, escores e classificações foram conferidos diretamente nos arquivos de saída.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 Ciclo 1 — Auditoria Inicial (13 de junho de 2026)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3.1. Problemas críticos identificados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 auditoria inicial revelou quatro problemas críticos que invalidavam as conclusões do manuscrito original: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a) q-value da doxorrubicina incorreto: o manuscrito afirmava q-value = 6,32 × 10⁻⁶, porém o valor real nos outputs era 2,21 × 10⁻²⁸ (CREEDS) e 2,50 × 10⁻⁹ (LINCS L1000). O valor apresentado no texto não correspondia a nenhum registro da base de dados.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b) Direção da regulação invertida para três fármacos: doxorrubicina, geldanamicina e wortmannin foram descritos como upreguladores de NQO1, quando os dados demonstravam inequivocamente downregulação (Fold Change médio = −1,065, −0,275 e −0,159, respectivamente).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c) Menção a composto inexistente: monensina era citada como fármaco com "potente capacidade de regulação biológica", porém não constava em nenhum dos 1281 fármacos do ranking.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d) Premissa AMPK-NQO1 artificial: o manuscrito afirmava que NQO1 havia sido identificado na "triagem da via AMPK", contudo o gene NQO1 não pertence à via AMPK do KEGG (hsa04152) e não consta entre os 119 genes que a compõem.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3.2. Problemas de alta gravidade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Adicionalmente, foram identificados: (e) o script.R não continha as etapas de análise de expressão diferencial (GEOquery, limma), GSEA ou GSVA descritas na metodologia, tornando o estudo irreproduzível; (f) o GSEA da via AMPK não era estatisticamente significativo (p = 0,125; padj = 0,419), informação omitida do manuscrito; (g) a referência [13] era sobre identificação de carbono pirolítico (engenharia de materiais), completamente desconexa do tema; (h) o arquivo pubchem_results_with_names.csv estava vazio, contradizendo alegações de mapeamento farmacogenômico via PubChem.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 Ciclo 2 — Correção Estrutural e Lock do Escopo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4.1. Correções aplicadas ao script.R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Foram implementadas as seguintes correções no código-fonte: (a) adição de normalização case-insensitive dos nomes de fármacos (Drug_Name_Norm), unificando grafias equivalentes como "Doxorubicin" e "doxorubicin"; (b) remoção de código morto (coluna Specificity não utilizada); (c) conversão forçada das colunas p_value, q_value e Fold_Change para character antes do bind_rows, prevenindo erros de incompatibilidade de tipos entre abas do arquivo XLSX; (d) adição de logs explícitos da direção e fold change da doxorrubicina no relatório de auditoria; (e) adição do pacote tidyr e geração programática da Tabela 1 (distribuição plataforma vs. direção) no arquivo table1_platform_direction.csv.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4.2. Reescrita completa do manuscrito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O manuscrito foi integralmente reescrito com as seguintes diretrizes: (a) novo título objetivo: "Ranqueamento Farmacogenômico in silico de Fármacos Moduladores da Expressão do Gene NQO1 por Integração das Bases CMAP, LINCS L1000 e CREEDS"; (b) remoção completa de narrativas sobre cardiotoxicidade, enfermagem de precisão, farmacovigilância e mecanismos compensatórios; (c) a via AMPK foi reposicionada como mero contexto metodológico para a identificação inicial do NQO1, não mais como foco do estudo; (d) todas as alegações de upregulation foram corrigidas para downregulation onde aplicável; (e) a monensina foi removida; (f) a referência do carbono pirolítico foi eliminada; (g) as conclusões foram restritas ao que os dados efetivamente demonstram: identificação, caracterização e ranqueamento de fármacos moduladores de NQO1.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4.3. Lock do escopo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Foi estabelecido um lock definitivo do escopo do trabalho, definindo: (a) objetivo único: identificar e ranquear fármacos com evidência transcriptômica de modulação de NQO1; (b) pergunta científica: quais fármacos apresentam evidência de modular NQO1 segundo os resultados do pipeline; (c) conclusões permitidas: restritas ao ranking, magnitudes de efeito, significância estatística e distribuição por plataforma; (d) conclusões proibidas: mecanismos moleculares, causalidade, implicações clínicas, farmacovigilância, enfermagem de precisão, validação da via AMPK.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5. Ciclo 3 — Auditoria Final e Correções Definitivas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5.1. Inconsistências remanescentes identificadas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 auditoria do manuscrito corrigido (versão 2) revelou três inconsistências remanescentes: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a) Tabela 1 com inconsistência matemática: as contagens de fármacos por direção (676 + 605 = 1281) não correspondiam ao total declarado de 1266 fármacos únicos. As porcentagens eram calculadas com denominador unificado (1266) mas numeradores do agrupamento não-unificado (1281 entradas).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b) Divergência entre escore descrito e escore implementado: o manuscrito descrevia o escore como −log₁₀(q) × |FC| (fórmula de efeito agregado), enquanto o código calculava max(−log₁₀(qᵢ) × |FCᵢ|) (melhor registro individual). Para o trichostatin A, a diferença era de 60,7 (código) versus 34,0 (fórmula descrita).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c) Tabela 2 híbrida: 19 dos 20 fármacos utilizavam scores do agrupamento case-sensitive antigo; apenas a doxorrubicina havia sido recalculada manualmente com valores unificados.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5.2. Correções aplicadas no ciclo 3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Para resolver todas as inconsistências: (a) o script.R foi re-executado integralmente, gerando outputs unificados com 1266 fármacos (agrupamento case-insensitive); (b) a Tabela 1 foi recalculada com dados unificados, resultando em 668 downreguladores (52,8%) e 598 upreguladores (47,2%), com 1206 fármacos no LINCS L1000 (95,3%), 68 no CREEDS (5,4%), 14 no CMAP (1,1%) e 21 multi-plataforma (1,7%); (c) a Tabela 2 foi integralmente recalculada com scores unificados, corrigindo o valor da doxorrubicina de 29,5 para 41,4 e ajustando a proporção do top 20 para 10 downreguladores e 10 upreguladores; (d) a seção 2.3 foi reescrita para descrever precisamente a fórmula do escore (score = max(−log₁₀(qᵢ) × |FCᵢ|)); (e) referências desatualizadas foram substituídas (Yoshida 1995 → Seto &amp; Yoshida 2014; Wallace 2003 → Rawat et al. 2021); (f) a referência tangencial sobre estudos transversais foi removida; (g) interpretações mecanísticas foram qualificadas como hipóteses não demonstradas ("poderia explicar", "consistente com, embora a relação causal não tenha sido investigada").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6. Resultados Finais da Auditoria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6.1. Quadro-resumo das correções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 Tabela 1 apresenta o resumo quantitativo de todas as inconsistências identificadas e corrigidas ao longo dos três ciclos de auditoria.</w:t>
      </w:r>
    </w:p>
    <w:p>
      <w:pPr>
        <w:spacing w:before="120"/>
        <w:jc w:val="center"/>
      </w:pPr>
      <w:r>
        <w:rPr>
          <w:rFonts w:ascii="Times New Roman" w:hAnsi="Times New Roman"/>
          <w:b/>
          <w:sz w:val="22"/>
        </w:rPr>
        <w:t>Quadro 1. Resumo das inconsistências identificadas e corrigidas.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Gravidade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Quantidade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CRÍTICA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q-value falso, direção invertida (3 fármacos), composto inexistente, premissa AMPK-NQO1 artificial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Corrigido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Irreprodutibilidade, GSEA omitido, ref. desconexa, Tabela 1 inconsistente, Tabela 2 híbrida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Corrigido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MÉDIA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Case sensitivity, PubChem vazio, referências desatualizadas, escore descrito ≠ implementado, interpretações especulativas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Corrigido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BAIXA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Erro de digitação, código morto, redação redundante, cap arbitrário em q=0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Corrigido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CÓDIGO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Normalização case-insensitive, bind_rows type fix, tidyr, Table 1 automática, logs de direção, código morto removido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Implementado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TEXTO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Título, resumo, introdução, métodos, resultados, discussão, conclusão, referências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Reescrito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TABELAS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Tabela 1 (distribuição plataforma), Tabela 2 (top 20 unificado)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Recalculadas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REFERÊNCIAS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[8] e [10] atualizadas, [12] removida, renumeração por ordem de aparição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Corrigido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FIGURAS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Volcano plot e dose-response regenerados com dados unificados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Regeneradas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FORMATAÇÃO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Adequação ao template CONEPE 2026 (ABNT)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Aplicada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LOCK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Escopo, objetivo, conclusões permitidas e proibidas definidos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Estabelecido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/>
          <w:b/>
          <w:sz w:val="24"/>
        </w:rPr>
        <w:t>6.2. Estado final do pipeline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Após todas as correções, o pipeline computacional produz de forma totalmente reproduzível: (a) base de dados limpa com 3523 registros e 1266 fármacos únicos (DGB_results_NQO1_from_xlsx_clean.csv); (b) ranking completo (ranking_drugs_NQO1.csv); (c) tabela de distribuição plataforma vs. direção (table1_platform_direction.csv); (d) sumário da doxorrubicina (doxorubicin_NQO1_summary.csv); (e) volcano plot (volcano_NQO1_drugs.png); (f) gráfico dose-resposta (dose_response_NQO1_drugs.png); (g) rede PPI da via AMPK (PPI_AMPK_network.png); (h) gráfico PubChem (pubchem_top_genes_compound_counts.png); (i) log estruturado de auditoria (audit_events_nqo1_pubchem_ppi.csv); e (j) relatório de auditoria em markdown (AUDIT_NQO1_PUBCHEM_PPI.md).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6.3. Avaliação final de credibilidade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A Tabela 2 apresenta a evolução das notas de credibilidade científica entre a versão original e a versão final corrigida do manuscrito, em escala de 0 a 10.</w:t>
      </w:r>
    </w:p>
    <w:p>
      <w:pPr>
        <w:spacing w:before="120"/>
        <w:jc w:val="center"/>
      </w:pPr>
      <w:r>
        <w:rPr>
          <w:rFonts w:ascii="Times New Roman" w:hAnsi="Times New Roman"/>
          <w:b/>
          <w:sz w:val="22"/>
        </w:rPr>
        <w:t>Quadro 2. Evolução da credibilidade científica.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Critério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Versão Original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Versão Final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Originalidade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Metodologia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Bioinformática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Reprodutibilidade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Estatística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Interpretação biológica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Discussão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Conclusões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Farmacogenômica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Qualidade das figuras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Consistência interna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Potencial de publicação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</w:tbl>
    <w:p>
      <w:pPr>
        <w:spacing w:before="80"/>
      </w:pPr>
      <w:r>
        <w:rPr>
          <w:rFonts w:ascii="Times New Roman" w:hAnsi="Times New Roman"/>
          <w:i/>
          <w:sz w:val="20"/>
        </w:rPr>
        <w:t>Fonte: Elaborado pelo auditor (2026). Média original: 2,3/10. Média final: 8,2/10.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7. Conclusão da Auditoria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O processo de auditoria científica forense em três ciclos identificou e corrigiu 18 inconsistências no trabalho original, abrangendo erros críticos (4), de alta gravidade (5), de média gravidade (5) e de baixa gravidade (4). As correções aplicadas incluíram a reexecução completa do pipeline computacional com agrupamento case-insensitive, a reescrita integral do manuscrito com foco exclusivo no ranqueamento farmacogenômico de NQO1, a atualização de referências bibliográficas e a adequação da formatação ao template do XIII CONEPE.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O manuscrito final atende aos critérios de reprodutibilidade (código-fonte completo e documentado), consistência interna (100% das afirmações sustentadas pelos outputs) e rigor metodológico (métodos descritos com precisão, limitações explicitadas, interpretações qualificadas como hipóteses quando não demonstradas). A nota de credibilidade científica evoluiu de 2,3/10 (versão original) para 8,2/10 (versão final corrigida).</w:t>
      </w:r>
    </w:p>
    <w:p>
      <w:pPr>
        <w:spacing w:after="120" w:line="360" w:lineRule="auto"/>
        <w:ind w:firstLine="709"/>
      </w:pPr>
      <w:r>
        <w:rPr>
          <w:rFonts w:ascii="Times New Roman" w:hAnsi="Times New Roman"/>
          <w:sz w:val="24"/>
        </w:rPr>
        <w:t>Recomenda-se que trabalhos futuros utilizem o ranking aqui apresentado como ponto de partida para validação experimental dos efeitos preditos, particularmente para os fármacos com maior escore composto e evidência convergente em múltiplas plataformas farmacogenômicas.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Referências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ASSOCIAÇÃO BRASILEIRA DE NORMAS TÉCNICAS. NBR 14724: informação e documentação: trabalhos acadêmicos: apresentação. Rio de Janeiro: ABNT, 2011.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INSTITUTO FEDERAL FLUMINENSE. Template Resumo Expandido 2026. In: XIII CONEPE — Congresso de Ensino, Pesquisa e Extensão. Campos dos Goytacazes: IFFluminense,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WANG, Z. Y. et al. Drug Gene Budger (DGB): an application for ranking drugs to modulate a specific gene based on transcriptomic signatures. Bioinformatics, v. 37, n. 8, p. 1247-1248, 2021.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SUBRAMANIAN, A. et al. A Next Generation Connectivity Map: L1000 Platform and the First 1,000,000 Profiles. Cell, v. 171, n. 6, p. 1437-1452.e17, 2017.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