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Times New Roman" w:hAnsi="Times New Roman" w:eastAsia="Times New Roman" w:cs="Times New Roman"/>
          <w:b/>
          <w:bCs/>
          <w:sz w:val="24"/>
          <w:szCs w:val="24"/>
        </w:rPr>
      </w:pPr>
      <w:r>
        <w:rPr>
          <w:rFonts w:eastAsia="Times New Roman" w:cs="Times New Roman" w:ascii="Times New Roman" w:hAnsi="Times New Roman"/>
          <w:b/>
          <w:bCs/>
          <w:i w:val="false"/>
          <w:sz w:val="24"/>
          <w:szCs w:val="24"/>
        </w:rPr>
        <w:t>Análise Transcriptômica da Via de Sinalização do Hormônio Tireoidiano no Carcinoma de Tireoide e Potenciais Implicações para a Enfermagem de Precisão</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i w:val="false"/>
          <w:iCs w:val="false"/>
          <w:caps w:val="false"/>
          <w:smallCaps w:val="false"/>
          <w:strike w:val="false"/>
          <w:dstrike w:val="false"/>
          <w:color w:val="000000"/>
          <w:sz w:val="24"/>
          <w:szCs w:val="24"/>
          <w:u w:val="none"/>
          <w:shd w:fill="auto" w:val="clear"/>
          <w:vertAlign w:val="superscript"/>
        </w:rPr>
      </w:pPr>
      <w:r>
        <w:rPr>
          <w:rFonts w:eastAsia="Times New Roman" w:cs="Times New Roman" w:ascii="Times New Roman" w:hAnsi="Times New Roman"/>
          <w:sz w:val="20"/>
          <w:szCs w:val="20"/>
          <w:u w:val="single"/>
        </w:rPr>
        <w:t>Freitas, L. M. D</w:t>
      </w:r>
      <w:r>
        <w:rPr>
          <w:rFonts w:eastAsia="Times New Roman" w:cs="Times New Roman" w:ascii="Times New Roman" w:hAnsi="Times New Roman"/>
          <w:sz w:val="20"/>
          <w:szCs w:val="20"/>
          <w:vertAlign w:val="super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Times New Roman" w:cs="Times New Roman" w:ascii="Times New Roman" w:hAnsi="Times New Roman"/>
          <w:sz w:val="20"/>
          <w:szCs w:val="20"/>
        </w:rPr>
        <w:t xml:space="preserve"> Santos, R. P.</w:t>
      </w:r>
      <w:r>
        <w:rPr>
          <w:rFonts w:eastAsia="Times New Roman" w:cs="Times New Roman" w:ascii="Times New Roman" w:hAnsi="Times New Roman"/>
          <w:sz w:val="20"/>
          <w:szCs w:val="20"/>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sz w:val="20"/>
          <w:szCs w:val="20"/>
        </w:rPr>
        <w:t>Pereira, T. F. C. S.</w:t>
      </w:r>
      <w:r>
        <w:rPr>
          <w:rFonts w:eastAsia="Times New Roman" w:cs="Times New Roman" w:ascii="Times New Roman" w:hAnsi="Times New Roman"/>
          <w:sz w:val="20"/>
          <w:szCs w:val="20"/>
          <w:vertAlign w:val="superscript"/>
        </w:rPr>
        <w:t>1</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b w:val="false"/>
          <w:bCs w:val="false"/>
          <w:i/>
          <w:iCs/>
          <w:caps w:val="false"/>
          <w:smallCaps w:val="false"/>
          <w:strike w:val="false"/>
          <w:dstrike w:val="false"/>
          <w:color w:val="000000"/>
          <w:position w:val="0"/>
          <w:sz w:val="20"/>
          <w:szCs w:val="20"/>
          <w:u w:val="none"/>
          <w:shd w:fill="auto" w:val="clear"/>
          <w:vertAlign w:val="baseline"/>
        </w:rPr>
      </w:pPr>
      <w:r>
        <w:rPr>
          <w:rFonts w:eastAsia="Times New Roman" w:cs="Times New Roman" w:ascii="Times New Roman" w:hAnsi="Times New Roman"/>
          <w:i/>
          <w:iCs/>
          <w:sz w:val="20"/>
          <w:szCs w:val="20"/>
          <w:vertAlign w:val="superscript"/>
        </w:rPr>
        <w:t>1</w:t>
      </w:r>
      <w:r>
        <w:rPr>
          <w:rFonts w:eastAsia="Times New Roman" w:cs="Times New Roman" w:ascii="Times New Roman" w:hAnsi="Times New Roman"/>
          <w:i/>
          <w:iCs/>
          <w:sz w:val="20"/>
          <w:szCs w:val="20"/>
        </w:rPr>
        <w:t>Escola Técnica Estadual João Barcelos Martins - ETEJBM/FAETEC</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b w:val="false"/>
          <w:bCs w:val="false"/>
          <w:i/>
          <w:iCs/>
          <w:caps w:val="false"/>
          <w:smallCaps w:val="false"/>
          <w:strike w:val="false"/>
          <w:dstrike w:val="false"/>
          <w:color w:val="000000"/>
          <w:sz w:val="12"/>
          <w:szCs w:val="12"/>
          <w:u w:val="none"/>
          <w:shd w:fill="auto" w:val="clear"/>
          <w:vertAlign w:val="superscript"/>
        </w:rPr>
        <w:t> </w:t>
      </w:r>
      <w:r>
        <w:rPr>
          <w:rFonts w:eastAsia="Times New Roman" w:cs="Times New Roman" w:ascii="Times New Roman" w:hAnsi="Times New Roman"/>
          <w:b w:val="false"/>
          <w:bCs w:val="false"/>
          <w:i/>
          <w:iCs/>
          <w:caps w:val="false"/>
          <w:smallCaps w:val="false"/>
          <w:strike w:val="false"/>
          <w:dstrike w:val="false"/>
          <w:color w:val="000000"/>
          <w:sz w:val="20"/>
          <w:szCs w:val="20"/>
          <w:u w:val="none"/>
          <w:shd w:fill="auto" w:val="clear"/>
          <w:vertAlign w:val="superscript"/>
        </w:rPr>
        <w:t>2</w:t>
      </w:r>
      <w:r>
        <w:rPr>
          <w:rFonts w:eastAsia="Times New Roman" w:cs="Times New Roman" w:ascii="Times New Roman" w:hAnsi="Times New Roman"/>
          <w:i/>
          <w:iCs/>
          <w:sz w:val="20"/>
          <w:szCs w:val="20"/>
        </w:rPr>
        <w:t>Instituto Federal de Educação, Ciência e Tecnologia Fluminense - IFF Campus Campos Guarus</w:t>
      </w:r>
    </w:p>
    <w:p>
      <w:pPr>
        <w:pStyle w:val="normal1"/>
        <w:keepNext w:val="false"/>
        <w:keepLines w:val="false"/>
        <w:pageBreakBefore w:val="false"/>
        <w:widowControl/>
        <w:spacing w:lineRule="auto" w:line="240" w:before="0" w:after="0"/>
        <w:ind w:hanging="0" w:start="0" w:end="0"/>
        <w:jc w:val="center"/>
        <w:rPr/>
      </w:pPr>
      <w:r>
        <w:rPr>
          <w:rFonts w:eastAsia="Times New Roman" w:cs="Times New Roman" w:ascii="Times New Roman" w:hAnsi="Times New Roman"/>
          <w:b w:val="false"/>
          <w:bCs w:val="false"/>
          <w:i/>
          <w:iCs/>
          <w:caps w:val="false"/>
          <w:smallCaps w:val="false"/>
          <w:strike w:val="false"/>
          <w:dstrike w:val="false"/>
          <w:color w:val="000000"/>
          <w:position w:val="0"/>
          <w:sz w:val="20"/>
          <w:szCs w:val="20"/>
          <w:u w:val="none"/>
          <w:shd w:fill="auto" w:val="clear"/>
          <w:vertAlign w:val="baseline"/>
        </w:rPr>
        <w:t>*</w:t>
      </w:r>
      <w:r>
        <w:rPr>
          <w:rFonts w:eastAsia="Times New Roman" w:cs="Times New Roman" w:ascii="Times New Roman" w:hAnsi="Times New Roman"/>
          <w:i/>
          <w:iCs/>
          <w:sz w:val="20"/>
          <w:szCs w:val="20"/>
        </w:rPr>
        <w:t>leticiamariadiasfreitas@gmail.com</w:t>
      </w:r>
    </w:p>
    <w:p>
      <w:pPr>
        <w:pStyle w:val="normal1"/>
        <w:keepNext w:val="false"/>
        <w:keepLines w:val="false"/>
        <w:pageBreakBefore w:val="false"/>
        <w:widowControl/>
        <w:spacing w:lineRule="auto" w:line="240" w:before="200" w:after="0"/>
        <w:ind w:hanging="0" w:start="0" w:end="0"/>
        <w:jc w:val="center"/>
        <w:rPr>
          <w:rFonts w:ascii="Times New Roman" w:hAnsi="Times New Roman" w:eastAsia="Times New Roman" w:cs="Times New Roman"/>
          <w:color w:val="FF0000"/>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t>Resumo</w:t>
      </w:r>
    </w:p>
    <w:p>
      <w:pPr>
        <w:pStyle w:val="normal1"/>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val="false"/>
          <w:i w:val="false"/>
          <w:sz w:val="20"/>
          <w:szCs w:val="20"/>
        </w:rPr>
        <w:t>Objetivou-se analisar a expressao diferencial dos genes da via de sinalizacao do hormonio tireoidiano (SHT, KEGG hsa04919) no carcinoma de tireoide, identificando alteracoes transcriptomicas e padroes de interacao proteina-proteina capazes de gerar hipoteses biologicas sobre processos moleculares potencialmente associados a biologia tumoral. Trata-se de estudo exploratorio em bioinformatica, com dados de RNA-seq do conjunto integrado TCGA-GTEx (THCA, n = 783) processados no ambiente R. Foram identificados 29 genes diferencialmente expressos (GDEs) na via SHT (9 superexpressos, 20 subexpressos; |log2FC| &gt; 1; FDR &lt; 0,05) por meio de volcano plot. A rede de interacao proteina-proteina (PPI) foi construida com STRING v12.0 (escore &gt;= 700), revelando 8 proteinas interagentes organizadas em dois modulos funcionais detectados pelo algoritmo walktrap. PRKCA destacou-se como gene de maior centralidade na rede (grau = 5, betweenness = 0,476), atuando como elo entre os modulos. Os demais 21 GDEs nao formaram interacoes de alta confianca na rede. Os achados geram hipoteses biologicas sobre a via de sinalizacao do hormonio tireoidiano no carcinoma de tireoide, contribuindo para futuras investigacoes em oncologia molecular e enfermagem de precisao.</w:t>
      </w:r>
    </w:p>
    <w:p>
      <w:pPr>
        <w:pStyle w:val="normal1"/>
        <w:keepNext w:val="false"/>
        <w:keepLines w:val="false"/>
        <w:pageBreakBefore w:val="false"/>
        <w:widowControl/>
        <w:spacing w:lineRule="auto" w:line="240" w:before="0" w:after="0"/>
        <w:ind w:hanging="0" w:start="0" w:end="0"/>
        <w:jc w:val="both"/>
        <w:rPr>
          <w:rFonts w:ascii="Times New Roman" w:hAnsi="Times New Roman" w:eastAsia="Times New Roman" w:cs="Times New Roman"/>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t xml:space="preserve">Palavras-chave: </w:t>
      </w:r>
      <w:r>
        <w:rPr>
          <w:rFonts w:eastAsia="Times New Roman" w:cs="Times New Roman" w:ascii="Times New Roman" w:hAnsi="Times New Roman"/>
          <w:b w:val="false"/>
          <w:i w:val="false"/>
          <w:sz w:val="22"/>
        </w:rPr>
        <w:t>Câncer de Tireoide, Doenças Cardiovasculares, Informática em Enfermagem.</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1. Introdução</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O carcinoma de tireoide origina-se nas células parenquimatosas da tireoide e apresenta incidência crescente mundialmente[1]. A meta-análise de Tsai et al. (2023)[2] reportou maior risco de doença cerebrovascular (RR = 1,15; IC95%: 1,10-1,21) e fibrilação atrial (RR = 1,59; IC95%: 1,45-1,73) em indivíduos com câncer de tireoide comparados à população geral, sugerindo associação epidemiológica entre essas condições. Estudos de bioinformática integrativa, como o de Zhang et al. (2021)[3], demonstraram a viabilidade de se identificar genes-chave e vias de sinalização relevantes no carcinoma de tireoide por meio de análise transcriptômica com dados públicos. O carcinoma de tireoide apresenta alterações transcriptômicas em genes da via de sinalização do hormônio tireoidiano (hsa04919), refletindo processos moleculares associados à biologia tumoral. A identificação desses genes e de suas interações proteicas pode contribuir para a geração de hipóteses biológicas relevantes para futuras investigações em oncologia molecular e enfermagem de precisão.</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Diante desse cenario, objetivou-se analisar a expressao diferencial dos genes da via de sinalizacao do hormonio tireoidiano (hsa04919) no carcinoma de tireoide, identificando alteracoes transcriptomicas e padroes de interacao proteina-proteina capazes de gerar hipoteses biologicas sobre processos moleculares potencialmente associados a biologia tumoral e discutir sua relevancia para a enfermagem de precisao. Especificamente, buscou-se identificar genes diferencialmente expressos da via SHT no carcinoma de tireoide em comparacao ao tecido tireoidiano normal, construir uma rede de interacao proteina-proteina dos GDEs, identificar genes com elevada centralidade e potencial relevancia biologica na rede e discutir as contribuicoes dos achados para a compreensao molecular do carcinoma de tireoide e suas potenciais aplicacoes futuras na enfermagem de precisao.</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2. Materiais e Métodos</w:t>
      </w:r>
    </w:p>
    <w:p>
      <w:pPr>
        <w:pStyle w:val="normal1"/>
        <w:keepNext w:val="false"/>
        <w:keepLines w:val="false"/>
        <w:pageBreakBefore w:val="false"/>
        <w:widowControl/>
        <w:spacing w:lineRule="auto" w:line="240" w:before="0" w:after="0"/>
        <w:ind w:hanging="0" w:start="0" w:end="0"/>
        <w:jc w:val="start"/>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single"/>
          <w:shd w:fill="auto" w:val="clear"/>
          <w:vertAlign w:val="baseline"/>
        </w:rPr>
        <w:t>2.1. Materiais</w:t>
      </w:r>
    </w:p>
    <w:p>
      <w:pPr>
        <w:pStyle w:val="normal1"/>
        <w:spacing w:lineRule="auto" w:line="24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Trata-se de estudo exploratório, baseado em dados secundários, desenvolvido no campo da bioinformática aplicada à oncologia tireoidiana. Os dados de expressão gênica foram obtidos por meio da plataforma UCSC Xena Browser, utilizando o conjunto integrado TCGA-GTEx (504 amostras tumorais THCA; 279 amostras normais de tecido tireoidiano), disponibilizado em escala log2. A análise de expressão diferencial foi conduzida com o pacote limma (modelo linear com moderação empírica de Bayes), considerando como critérios de significância |log2 Fold Change| &gt; 1 e valor de p ajustado pelo método de Benjamini-Hochberg (FDR) &lt; 0,05. As interações proteína-proteína foram investigadas por meio do banco de dados STRING v12.0 (Homo sapiens, taxon 9606), adotando-se escore combinado mínimo de 700 (alta confiança). Os resultados foram representados por volcano plot e rede PPI.</w:t>
      </w:r>
    </w:p>
    <w:p>
      <w:pPr>
        <w:pStyle w:val="normal1"/>
        <w:spacing w:lineRule="auto" w:line="240" w:before="0" w:after="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singl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single"/>
          <w:shd w:fill="auto" w:val="clear"/>
          <w:vertAlign w:val="baseline"/>
        </w:rPr>
        <w:t>2.2. Metodologia</w:t>
      </w:r>
    </w:p>
    <w:p>
      <w:pPr>
        <w:pStyle w:val="normal1"/>
        <w:spacing w:lineRule="auto" w:line="24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Os dados transcriptômicos foram obtidos na plataforma UCSC Xena Browser a partir do conjunto integrado TCGA-GTEx referente ao carcinoma de tireoide (THCA), disponível em repositório público de livre acesso. A variável TCGA_GTEX_main_category foi utilizada para a estratificação biológica das amostras (GTEX Thyroid vs. TCGA Thyroid Carcinoma). Os genes da via SHT foram identificados via KEGG REST API (hsa04919). Todas as etapas de processamento foram executadas no ambiente R v4.6.0. Empregaram-se os pacotes KEGGREST (consulta à via metabólica), readr (importação de dados), limma (expressão diferencial), dplyr e tibble (manipulação de dados), httr e jsonlite (consulta à STRING REST API), igraph e ggraph (construção e visualização da rede PPI), e ggplot2 e ggrepel (volcano plot). O pipeline completo, os parâmetros de análise e os scripts reprodutíveis estão disponíveis publicamente em repositório GitHub (https://github.com/santosry/thyroid-volcano-ppi). Ressalta-se que a comparação TCGA versus GTEx pode estar sujeita a batch effects inerentes às diferenças de plataforma, processamento e perfil demográfico entre as coortes, constituindo limitação metodológica deste estudo.</w:t>
      </w:r>
    </w:p>
    <w:p>
      <w:pPr>
        <w:pStyle w:val="normal1"/>
        <w:keepNext w:val="false"/>
        <w:keepLines w:val="false"/>
        <w:pageBreakBefore w:val="false"/>
        <w:widowControl/>
        <w:spacing w:lineRule="auto" w:line="240" w:before="0" w:after="0"/>
        <w:ind w:hanging="0" w:start="0" w:end="0"/>
        <w:jc w:val="start"/>
        <w:rPr>
          <w:rFonts w:ascii="Times New Roman" w:hAnsi="Times New Roman" w:eastAsia="Times New Roman" w:cs="Times New Roman"/>
          <w:color w:val="1B1B1B"/>
          <w:sz w:val="24"/>
          <w:szCs w:val="24"/>
          <w:highlight w:val="whit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3. Resultados e Discussão</w:t>
      </w:r>
    </w:p>
    <w:p>
      <w:pPr>
        <w:pStyle w:val="normal1"/>
        <w:spacing w:lineRule="auto" w:line="240" w:before="0" w:after="0"/>
        <w:ind w:firstLine="283"/>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Na análise,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CCND1 (log2FC = 2,65; FDR = 1,03e-214) e RXRG (log2FC = 5,28; FDR = 3,26e-149) estão envolvidos, respectivamente, na regulação do ciclo celular e em mecanismos de regulação transcricional mediados por receptores nucleares.</w:t>
      </w:r>
      <w:sdt>
        <w:sdtPr>
          <w:tag w:val="goog_rdk_0"/>
          <w:id w:val="233339939"/>
        </w:sdtPr>
        <w:sdtContent>
          <w:r>
            <w:rPr>
              <w:rFonts w:eastAsia="Times New Roman" w:cs="Times New Roman" w:ascii="Times New Roman" w:hAnsi="Times New Roman"/>
              <w:b w:val="false"/>
              <w:i w:val="false"/>
              <w:sz w:val="24"/>
              <w:szCs w:val="24"/>
            </w:rPr>
          </w:r>
        </w:sdtContent>
      </w:sdt>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w:t>
      </w:r>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No contexto da topologia da rede, PRKCA destacou-se como o gene de maior centralidade, apresentando grau 5, betweenness de 0,476, closeness de 8,52x10-4 e hub score de 1,000. A conexao entre os dois modulos foi estabelecida exclusivamente pela interacao PRKCA-ACTG1 (escore STRING = 918), conferindo a PRKCA uma posicao topologica singular como unico elo entre a sinalizacao intracelular mediada por fosfolipases C e proteinas quinase C (Modulo 1) e a organizacao estrutural do citoesqueleto de actina e das interacoes celula-matriz (Modulo 2). PLCG1, PLCD4 e PRKCG tambem apresentaram elevada conectividade (grau = 4), embora restrita ao Modulo 1, reforcando a coesao funcional desse agrupamento. Ressalta-se que essas metricas de centralidade sao exploratorias e derivadas de uma rede de 8 nos, devendo ser interpretadas como geradoras de hipoteses, e nao como evidencia de relevancia funcional comprovada.</w:t>
      </w:r>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Por outro lado, 21 dos 29 GDEs nao integraram a rede conectada final, incluindo genes de alta significancia estatistica como MYH7, DIO3, CCND1, RXRG e ATP2A1. Esses genes, embora nao apresentem interacoes de alta confianca (escore &gt;= 700) entre si na base STRING, possuem relevancia biologica individual documentada na literatura. Tal achado sugere que as alteracoes transcriptomicas na via SHT no carcinoma de tireoide podem envolver tanto mecanismos coordenados de sinalizacao intracelular representados pela rede PPI quanto mecanismos independentes exercidos por genes que atuam por vias distintas ou que interagem por meio de proteinas nao capturadas pelos limiares de confianca adotados. A investigacao desses genes em estudos futuros, com estrategias complementares de analise de redes e validacao experimental, podera ampliar a compreensao dos processos moleculares associados a biologia tumoral tireoidiana.</w:t>
      </w:r>
    </w:p>
    <w:p>
      <w:pPr>
        <w:pStyle w:val="normal1"/>
        <w:spacing w:lineRule="auto" w:line="240" w:before="0" w:after="0"/>
        <w:ind w:firstLine="283"/>
        <w:jc w:val="both"/>
        <w:rPr>
          <w:rFonts w:ascii="Times New Roman" w:hAnsi="Times New Roman" w:eastAsia="Times New Roman" w:cs="Times New Roman"/>
          <w:sz w:val="24"/>
          <w:szCs w:val="24"/>
          <w:highlight w:val="white"/>
        </w:rPr>
      </w:pPr>
      <w:r>
        <w:rPr>
          <w:rFonts w:eastAsia="Times New Roman" w:cs="Times New Roman" w:ascii="Times New Roman" w:hAnsi="Times New Roman"/>
          <w:b w:val="false"/>
          <w:i w:val="false"/>
          <w:sz w:val="24"/>
          <w:szCs w:val="24"/>
        </w:rPr>
        <w:t>A enfermagem de precisão, conforme o marco conceitual de Fu et al. (2020)[4], propõe a utilização de dados ômicos para personalizar intervenções nos domínios de pesquisa, ensino, prática clínica e políticas de saúde. Embora os achados deste estudo sejam exploratórios e não possuam aplicabilidade clínica imediata, a identificação de genes com elevada centralidade na via de sinalização do hormônio tireoidiano e de padrões de interação proteína-proteína no carcinoma de tireoide fornece subsídios para a formulação de hipóteses biológicas que, uma vez validadas experimentalmente, poderão informar futuras abordagens translacionais. Nesse contexto, o enfermeiro ocupa posição privilegiada para integrar o conhecimento multiômico à prática assistencial, considerando as facetas sociocultural, ambiental e econômica do cotidiano do paciente, conforme preconizado pela saúde de precisão[4].</w:t>
      </w:r>
    </w:p>
    <w:p>
      <w:pPr>
        <w:pStyle w:val="normal1"/>
        <w:spacing w:lineRule="auto" w:line="240" w:before="200" w:after="0"/>
        <w:ind w:hanging="0" w:start="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4. Conclusões</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color w:val="FF0000"/>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Este estudo não busca demonstrar mecanismos cardiovasculares, biomarcadores clínicos ou relações causais. Seu propósito é caracterizar alterações transcriptômicas na via de sinalização do hormônio tireoidiano e identificar genes relevantes dentro de uma rede de interação proteína-proteína, gerando hipóteses biológicas para investigações futuras. Foram identificados 29 genes da via SHT diferencialmente expressos no carcinoma de tireoide, com PRKCA apresentando a maior centralidade na rede PPI (grau = 5, betweenness = 0,476), conectando módulos de sinalização intracelular e organização estrutural. Genes com alta significância estatística (MYH6, MYH7, DIO3, CCND1) e genes com elevada centralidade na rede (PRKCA, PLCG1, PLCD4, PRKCG) constituem candidatos prioritários para investigações de validação experimental. A enfermagem de precisão é apresentada como campo potencial de aplicação translacional dos conhecimentos produzidos, e não como desfecho diretamente demonstrado pelos dados.</w:t>
      </w:r>
    </w:p>
    <w:p>
      <w:pPr>
        <w:pStyle w:val="normal1"/>
        <w:keepNext w:val="false"/>
        <w:keepLines w:val="false"/>
        <w:pageBreakBefore w:val="false"/>
        <w:widowControl/>
        <w:spacing w:lineRule="auto" w:line="240" w:before="20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position w:val="0"/>
          <w:sz w:val="24"/>
          <w:szCs w:val="24"/>
          <w:u w:val="none"/>
          <w:shd w:fill="auto" w:val="clear"/>
          <w:vertAlign w:val="baseline"/>
        </w:rPr>
        <w:t>Agradecimentos</w:t>
      </w:r>
    </w:p>
    <w:p>
      <w:pPr>
        <w:pStyle w:val="normal1"/>
        <w:spacing w:lineRule="auto" w:line="240" w:before="0" w:after="0"/>
        <w:ind w:firstLine="284"/>
        <w:jc w:val="both"/>
        <w:rPr>
          <w:rFonts w:ascii="Times New Roman" w:hAnsi="Times New Roman" w:eastAsia="Times New Roman" w:cs="Times New Roman"/>
          <w:b/>
          <w:bCs/>
          <w:sz w:val="24"/>
          <w:szCs w:val="24"/>
        </w:rPr>
      </w:pPr>
      <w:r>
        <w:rPr>
          <w:rFonts w:eastAsia="Times New Roman" w:cs="Times New Roman" w:ascii="Times New Roman" w:hAnsi="Times New Roman"/>
          <w:b w:val="false"/>
          <w:i w:val="false"/>
          <w:sz w:val="24"/>
          <w:szCs w:val="24"/>
        </w:rPr>
        <w:t>Agradecemos a Escola Tecnica Estadual Joao Barcelos Martins e ao Instituto Federal Fluminense de Educacao, Ciencia e Tecnologia Campus Campos Guarus pela promocao dessa troca sinergica.</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Referencias</w:t>
      </w:r>
    </w:p>
    <w:p>
      <w:pPr>
        <w:pStyle w:val="normal1"/>
        <w:keepNext w:val="false"/>
        <w:keepLines w:val="false"/>
        <w:pageBreakBefore w:val="false"/>
        <w:widowControl/>
        <w:spacing w:lineRule="auto" w:line="240" w:before="0" w:after="0"/>
        <w:ind w:hanging="0" w:start="0" w:end="0"/>
        <w:jc w:val="start"/>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[1] LEE, Kenny; ANASTASOPOULOU, Catherine; CHANDRAN, Chandriya; CASSARO, Sebastiano. </w:t>
      </w:r>
      <w:r>
        <w:rPr>
          <w:rFonts w:eastAsia="Times New Roman" w:cs="Times New Roman" w:ascii="Times New Roman" w:hAnsi="Times New Roman"/>
          <w:b/>
          <w:bCs/>
          <w:i/>
          <w:iCs/>
          <w:sz w:val="20"/>
          <w:szCs w:val="20"/>
        </w:rPr>
        <w:t>Thyroid Cancer</w:t>
      </w:r>
      <w:r>
        <w:rPr>
          <w:rFonts w:eastAsia="Times New Roman" w:cs="Times New Roman" w:ascii="Times New Roman" w:hAnsi="Times New Roman"/>
          <w:sz w:val="20"/>
          <w:szCs w:val="20"/>
        </w:rPr>
        <w:t xml:space="preserve">. In: STATPEARLS [Internet]. </w:t>
      </w:r>
      <w:r>
        <w:rPr>
          <w:rFonts w:eastAsia="Times New Roman" w:cs="Times New Roman" w:ascii="Times New Roman" w:hAnsi="Times New Roman"/>
          <w:i/>
          <w:iCs/>
          <w:sz w:val="20"/>
          <w:szCs w:val="20"/>
        </w:rPr>
        <w:t>Treasure Island (FL): StatPearls Publishing</w:t>
      </w:r>
      <w:r>
        <w:rPr>
          <w:rFonts w:eastAsia="Times New Roman" w:cs="Times New Roman" w:ascii="Times New Roman" w:hAnsi="Times New Roman"/>
          <w:sz w:val="20"/>
          <w:szCs w:val="20"/>
        </w:rPr>
        <w:t>, 2023. Disponível em: https://www.ncbi.nlm.nih.gov/books/NBK459299/. Acesso em: 23 jun. 2026.</w:t>
      </w:r>
    </w:p>
    <w:p>
      <w:pPr>
        <w:pStyle w:val="normal1"/>
        <w:keepLines/>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[2] TSAI, W. H.; ZENG, Y. H.; LEE, C. C.; CHIEN, M. N.; LIU, S. C.; CHIEN, K. L.; CHENG, S. P.; TSENG, P. J.; TSAI, M. C. </w:t>
      </w:r>
      <w:r>
        <w:rPr>
          <w:rFonts w:eastAsia="Times New Roman" w:cs="Times New Roman" w:ascii="Times New Roman" w:hAnsi="Times New Roman"/>
          <w:i/>
          <w:iCs/>
          <w:sz w:val="20"/>
          <w:szCs w:val="20"/>
        </w:rPr>
        <w:t>Association between thyroid cancer and cardiovascular disease: A meta-analysis.</w:t>
      </w:r>
      <w:r>
        <w:rPr>
          <w:rFonts w:eastAsia="Times New Roman" w:cs="Times New Roman" w:ascii="Times New Roman" w:hAnsi="Times New Roman"/>
          <w:sz w:val="20"/>
          <w:szCs w:val="20"/>
        </w:rPr>
        <w:t xml:space="preserve"> </w:t>
      </w:r>
      <w:r>
        <w:rPr>
          <w:rFonts w:eastAsia="Times New Roman" w:cs="Times New Roman" w:ascii="Times New Roman" w:hAnsi="Times New Roman"/>
          <w:b/>
          <w:bCs/>
          <w:i/>
          <w:iCs/>
          <w:sz w:val="20"/>
          <w:szCs w:val="20"/>
        </w:rPr>
        <w:t>Frontiers in Cardiovascular Medicine</w:t>
      </w:r>
      <w:r>
        <w:rPr>
          <w:rFonts w:eastAsia="Times New Roman" w:cs="Times New Roman" w:ascii="Times New Roman" w:hAnsi="Times New Roman"/>
          <w:i/>
          <w:iCs/>
          <w:sz w:val="20"/>
          <w:szCs w:val="20"/>
        </w:rPr>
        <w:t xml:space="preserve">, </w:t>
      </w:r>
      <w:r>
        <w:rPr>
          <w:rFonts w:eastAsia="Times New Roman" w:cs="Times New Roman" w:ascii="Times New Roman" w:hAnsi="Times New Roman"/>
          <w:sz w:val="20"/>
          <w:szCs w:val="20"/>
        </w:rPr>
        <w:t>2023. Disponível em: https://pubmed.ncbi.nlm.nih.gov/36937933/. Acesso em: 21 jun. 2026.</w:t>
      </w:r>
    </w:p>
    <w:p>
      <w:pPr>
        <w:pStyle w:val="normal1"/>
        <w:keepLines/>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p>
    <w:p>
      <w:pPr>
        <w:pStyle w:val="normal1"/>
        <w:keepNext w:val="false"/>
        <w:keepLines w:val="false"/>
        <w:pageBreakBefore w:val="false"/>
        <w:widowControl/>
        <w:spacing w:lineRule="auto" w:line="240" w:before="0" w:after="0"/>
        <w:ind w:hanging="0" w:start="0" w:end="0"/>
        <w:jc w:val="both"/>
        <w:rPr>
          <w:rFonts w:ascii="Times New Roman" w:hAnsi="Times New Roman" w:eastAsia="Times New Roman" w:cs="Times New Roman"/>
          <w:sz w:val="20"/>
          <w:szCs w:val="20"/>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hyperlink r:id="rId2">
        <w:r>
          <w:rPr>
            <w:rStyle w:val="Style3"/>
            <w:rFonts w:eastAsia="Times New Roman" w:cs="Times New Roman" w:ascii="Times New Roman" w:hAnsi="Times New Roman"/>
            <w:sz w:val="20"/>
            <w:szCs w:val="20"/>
          </w:rPr>
          <w:t>https://doi.org/10.1016/j.ijnss.2019.12.008</w:t>
        </w:r>
      </w:hyperlink>
    </w:p>
    <w:sectPr>
      <w:headerReference w:type="even" r:id="rId3"/>
      <w:headerReference w:type="default" r:id="rId4"/>
      <w:headerReference w:type="first" r:id="rId5"/>
      <w:type w:val="nextPage"/>
      <w:pgSz w:w="11906" w:h="16838"/>
      <w:pgMar w:left="1701" w:right="1701" w:gutter="0" w:header="0" w:top="1985"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5" behindDoc="1" locked="0" layoutInCell="1" allowOverlap="1">
          <wp:simplePos x="0" y="0"/>
          <wp:positionH relativeFrom="column">
            <wp:posOffset>-1069340</wp:posOffset>
          </wp:positionH>
          <wp:positionV relativeFrom="paragraph">
            <wp:posOffset>635</wp:posOffset>
          </wp:positionV>
          <wp:extent cx="7559040" cy="1325880"/>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7559040" cy="1325880"/>
                  </a:xfrm>
                  <a:prstGeom prst="rect">
                    <a:avLst/>
                  </a:prstGeom>
                  <a:noFill/>
                </pic:spPr>
              </pic:pic>
            </a:graphicData>
          </a:graphic>
        </wp:anchor>
      </w:drawing>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5" behindDoc="1" locked="0" layoutInCell="1" allowOverlap="1">
          <wp:simplePos x="0" y="0"/>
          <wp:positionH relativeFrom="column">
            <wp:posOffset>-1069340</wp:posOffset>
          </wp:positionH>
          <wp:positionV relativeFrom="paragraph">
            <wp:posOffset>635</wp:posOffset>
          </wp:positionV>
          <wp:extent cx="7559040" cy="1325880"/>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7559040" cy="1325880"/>
                  </a:xfrm>
                  <a:prstGeom prst="rect">
                    <a:avLst/>
                  </a:prstGeom>
                  <a:noFill/>
                </pic:spPr>
              </pic:pic>
            </a:graphicData>
          </a:graphic>
        </wp:anchor>
      </w:drawing>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alhoerodap">
    <w:name w:val="Cabeçalho e rodapé"/>
    <w:basedOn w:val="Normal"/>
    <w:qFormat/>
    <w:pPr/>
    <w:rPr/>
  </w:style>
  <w:style w:type="paragraph" w:styleId="Header">
    <w:name w:val="header"/>
    <w:basedOn w:val="Cabealhoerodap"/>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6/j.ijnss.2019.12.008"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ages>4</Pages>
  <Words>1597</Words>
  <Characters>9877</Characters>
  <CharactersWithSpaces>11446</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2026-06-24T17:54:15Z</dcterms:modified>
  <cp:revision>1</cp:revision>
  <dc:subject/>
  <dc:title/>
</cp:coreProperties>
</file>