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Alterações Transcriptômicas na Via de Sinalização dos Hormônios Tireoidianos no Carcinoma de Tireoide: Análise de Expressão Diferencial e Rede de Interação Proteína-Proteína com Potenciais Implicações Cardiovasculares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superscript"/>
        </w:rPr>
      </w:pPr>
      <w:r w:rsidDel="00000000" w:rsidR="00000000" w:rsidRPr="00000000">
        <w:rPr>
          <w:rFonts w:ascii="Times New Roman" w:cs="Times New Roman" w:eastAsia="Times New Roman" w:hAnsi="Times New Roman"/>
          <w:sz w:val="20"/>
          <w:szCs w:val="20"/>
          <w:u w:val="single"/>
          <w:rtl w:val="0"/>
        </w:rPr>
        <w:t xml:space="preserve">Freitas, L. M. D</w:t>
      </w:r>
      <w:r w:rsidDel="00000000" w:rsidR="00000000" w:rsidRPr="00000000">
        <w:rPr>
          <w:rFonts w:ascii="Times New Roman" w:cs="Times New Roman" w:eastAsia="Times New Roman" w:hAnsi="Times New Roman"/>
          <w:sz w:val="20"/>
          <w:szCs w:val="20"/>
          <w:vertAlign w:val="superscript"/>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sz w:val="20"/>
          <w:szCs w:val="20"/>
          <w:rtl w:val="0"/>
        </w:rPr>
        <w:t xml:space="preserve"> Santos</w:t>
      </w:r>
      <w:r w:rsidDel="00000000" w:rsidR="00000000" w:rsidRPr="00000000">
        <w:rPr>
          <w:rFonts w:ascii="Times New Roman" w:cs="Times New Roman" w:eastAsia="Times New Roman" w:hAnsi="Times New Roman"/>
          <w:sz w:val="20"/>
          <w:szCs w:val="20"/>
          <w:rtl w:val="0"/>
        </w:rPr>
        <w:t xml:space="preserve">, R. P.</w:t>
      </w:r>
      <w:r w:rsidDel="00000000" w:rsidR="00000000" w:rsidRPr="00000000">
        <w:rPr>
          <w:rFonts w:ascii="Times New Roman" w:cs="Times New Roman" w:eastAsia="Times New Roman" w:hAnsi="Times New Roman"/>
          <w:sz w:val="20"/>
          <w:szCs w:val="20"/>
          <w:vertAlign w:val="superscript"/>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sz w:val="20"/>
          <w:szCs w:val="20"/>
          <w:rtl w:val="0"/>
        </w:rPr>
        <w:t xml:space="preserve">Pereira, T. F. C. S.</w:t>
      </w:r>
      <w:r w:rsidDel="00000000" w:rsidR="00000000" w:rsidRPr="00000000">
        <w:rPr>
          <w:rFonts w:ascii="Times New Roman" w:cs="Times New Roman" w:eastAsia="Times New Roman" w:hAnsi="Times New Roman"/>
          <w:sz w:val="20"/>
          <w:szCs w:val="20"/>
          <w:vertAlign w:val="superscript"/>
          <w:rtl w:val="0"/>
        </w:rPr>
        <w:t xml:space="preserve">1</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1"/>
          <w:iCs w:val="1"/>
          <w:sz w:val="20"/>
          <w:szCs w:val="20"/>
          <w:vertAlign w:val="superscript"/>
          <w:rtl w:val="0"/>
        </w:rPr>
        <w:t xml:space="preserve">1</w:t>
      </w:r>
      <w:r w:rsidDel="00000000" w:rsidR="00000000" w:rsidRPr="00000000">
        <w:rPr>
          <w:rFonts w:ascii="Times New Roman" w:cs="Times New Roman" w:eastAsia="Times New Roman" w:hAnsi="Times New Roman"/>
          <w:i w:val="1"/>
          <w:iCs w:val="1"/>
          <w:sz w:val="20"/>
          <w:szCs w:val="20"/>
          <w:rtl w:val="0"/>
        </w:rPr>
        <w:t xml:space="preserve">Escola Técnica Estadual João Barcelos Martins - ETEJBM/FAETEC</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12"/>
          <w:szCs w:val="12"/>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superscript"/>
          <w:rtl w:val="0"/>
        </w:rPr>
        <w:t xml:space="preserve">2</w:t>
      </w:r>
      <w:r w:rsidDel="00000000" w:rsidR="00000000" w:rsidRPr="00000000">
        <w:rPr>
          <w:rFonts w:ascii="Times New Roman" w:cs="Times New Roman" w:eastAsia="Times New Roman" w:hAnsi="Times New Roman"/>
          <w:i w:val="1"/>
          <w:iCs w:val="1"/>
          <w:sz w:val="20"/>
          <w:szCs w:val="20"/>
          <w:rtl w:val="0"/>
        </w:rPr>
        <w:t xml:space="preserve">Instituto Federal de Educação, Ciência e Tecnologia Fluminense - IFF Campus Campos Guarus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i w:val="1"/>
          <w:iCs w:val="1"/>
          <w:sz w:val="20"/>
          <w:szCs w:val="20"/>
          <w:rtl w:val="0"/>
        </w:rPr>
        <w:t xml:space="preserve">leticiamariadiasfreitas@gmail.com</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Resumo</w:t>
      </w:r>
      <w:r w:rsidDel="00000000" w:rsidR="00000000" w:rsidRPr="00000000">
        <w:rPr>
          <w:rtl w:val="0"/>
        </w:rPr>
      </w:r>
    </w:p>
    <w:p w:rsidR="00000000" w:rsidDel="00000000" w:rsidP="00000000" w:rsidRDefault="00000000" w:rsidRPr="00000000" w14:paraId="00000007">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Objetivou-se analisar a expressão diferencial de genes pertencentes à via de sinalização dos hormônios tireoidianos (SHT, KEGG hsa04919) no carcinoma de tireoide por meio de volcano plot e rede de interação proteína-proteína (PPI). Trata-se de estudo exploratório em bioinformática, com dados transcriptômicos do conjunto integrado TCGA-GTEx (THCA, n = 783) processados no ambiente R. Foram identificados 29 genes diferencialmente expressos (GDEs) na via SHT (9 superexpressos, 20 subexpressos; |log₂FC| &gt; 1; FDR &lt; 0,05). A rede PPI (STRING v12.0, escore ≥ 700) revelou 8 proteínas interagentes organizadas em dois módulos funcionais, com PRKCA como principal gene hub (grau = 5, betweenness = 0,476), atuando como elo entre os módulos. Os demais 21 GDEs não formaram interações de alta confiança na rede. Os achados geram hipóteses sobre possíveis mecanismos moleculares compartilhados entre o carcinoma de tireoide e processos cardiovasculares, sem que se estabeleça relação causal direta, contribuindo para futuras investigações translacionais em saúde de precisão.</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Palavras-chave: Câncer de Tireoide; Transcriptômica; Redes de Interação Proteína-Proteína; Biologia Computacional; Saúde de Precisão.</w:t>
      </w:r>
      <w:r w:rsidDel="00000000" w:rsidR="00000000" w:rsidRPr="00000000">
        <w:rPr>
          <w:rFonts w:ascii="Times New Roman" w:cs="Times New Roman" w:eastAsia="Times New Roman" w:hAnsi="Times New Roman"/>
          <w:rtl w:val="0"/>
        </w:rPr>
      </w:r>
      <w:r w:rsidDel="00000000" w:rsidR="00000000" w:rsidRPr="00000000">
        <w:rPr>
          <w:rFonts w:ascii="Times New Roman" w:cs="Times New Roman" w:eastAsia="Times New Roman" w:hAnsi="Times New Roman"/>
          <w:rtl w:val="0"/>
        </w:rPr>
      </w:r>
      <w:r w:rsidDel="00000000" w:rsidR="00000000" w:rsidRPr="00000000">
        <w:rPr>
          <w:rFonts w:ascii="Times New Roman" w:cs="Times New Roman" w:eastAsia="Times New Roman" w:hAnsi="Times New Roman"/>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Introdução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O carcinoma de tireoide origina-se nas células parenquimatosas da tireoide e apresenta incidência crescente mundialmente¹. A meta-análise de Tsai et al. (2023)² reportou maior risco de doença cerebrovascular (RR = 1,15; IC95%: 1,10–1,21) e fibrilação atrial (RR = 1,59; IC95%: 1,45–1,73) em indivíduos com câncer de tireoide comparados à população geral, sugerindo associação epidemiológica relevante entre essas condições. Contudo, os mecanismos moleculares subjacentes a essa associação permanecem pouco compreendidos. Análises transcriptômicas de dados públicos podem contribuir para a identificação de alvos moleculares compartilhados, auxiliando na formulação de hipóteses biológicas testáveis e fornecendo subsídios à saúde de precisão³.</w:t>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vertAlign w:val="superscript"/>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Diante desse cenário, objetivou-se analisar a expressão diferencial dos genes pertencentes à via SHT (hsa04919) no carcinoma de tireoide e construir a rede PPI dos genes alterados, visando a identificar potenciais genes hub e módulos funcionais que possam representar mecanismos moleculares compartilhados entre a progressão tumoral tireoidiana e a biologia cardiovascular. O estudo limita-se à geração de hipóteses a partir de dados transcriptômicos tumorais, não pretendendo estabelecer causalidade ou inferir mecanismos sistêmicos sem validação experimental.</w:t>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Materiais e Métodos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2.1. Materiais</w:t>
      </w:r>
      <w:r w:rsidDel="00000000" w:rsidR="00000000" w:rsidRPr="00000000">
        <w:rPr>
          <w:rtl w:val="0"/>
        </w:rPr>
      </w:r>
    </w:p>
    <w:p w:rsidR="00000000" w:rsidDel="00000000" w:rsidP="00000000" w:rsidRDefault="00000000" w:rsidRPr="00000000" w14:paraId="0000000E">
      <w:pPr>
        <w:spacing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Trata-se de estudo exploratório, baseado em dados secundários, desenvolvido no campo da bioinformática aplicada à oncologia tireoidiana. Os dados de expressão gênica foram obtidos por meio da plataforma UCSC Xena Browser, utilizando o conjunto integrado TCGA-GTEx (504 amostras tumorais THCA; 279 amostras normais de tecido tireoidiano), disponibilizado em escala log₂. A análise de expressão diferencial foi conduzida com o pacote limma (modelo linear com moderação empírica de Bayes), considerando como critérios de significância |log₂ Fold Change| &gt; 1 e valor de p ajustado pelo método de Benjamini-Hochberg (FDR) &lt; 0,05. As interações proteína-proteína foram investigadas por meio do banco de dados STRING v12.0 (Homo sapiens, taxon 9606), adotando-se escore combinado mínimo de 700 (alta confiança). Os resultados foram representados por volcano plot e rede PPI.</w:t>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F">
      <w:pPr>
        <w:spacing w:after="0" w:line="240" w:lineRule="auto"/>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2.2.  Metodologia</w:t>
      </w:r>
    </w:p>
    <w:p w:rsidR="00000000" w:rsidDel="00000000" w:rsidP="00000000" w:rsidRDefault="00000000" w:rsidRPr="00000000" w14:paraId="00000010">
      <w:pPr>
        <w:spacing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Os dados transcriptômicos foram obtidos na plataforma UCSC Xena Browser a partir do conjunto integrado TCGA-GTEx referente ao carcinoma de tireoide (THCA), disponível em repositório público de livre acesso. A variável TCGA_GTEX_main_category foi utilizada para a estratificação biológica das amostras (GTEX Thyroid vs. TCGA Thyroid Carcinoma). Os genes da via SHT foram identificados via KEGG REST API (hsa04919). Todas as etapas de processamento foram executadas no ambiente R v4.6.0. Empregaram-se os pacotes KEGGREST (consulta à via metabólica), readr (importação de dados), limma (expressão diferencial), dplyr e tibble (manipulação de dados), httr e jsonlite (consulta à STRING REST API), igraph e ggraph (construção e visualização da rede PPI), e ggplot2 e ggrepel (volcano plot). O pipeline completo, os parâmetros de análise e os scripts reprodutíveis estão disponíveis publicamente em repositório GitHub (https://github.com/santosry/thyroid-volcano-ppi). Ressalta-se que a comparação TCGA versus GTEx pode estar sujeita a batch effects inerentes às diferenças de plataforma, processamento e perfil demográfico entre as coortes, constituindo limitação metodológica deste estudo.</w:t>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1b1b1b"/>
          <w:sz w:val="24"/>
          <w:szCs w:val="24"/>
          <w:highlight w:val="whit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Resultados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Discussão</w:t>
      </w:r>
      <w:r w:rsidDel="00000000" w:rsidR="00000000" w:rsidRPr="00000000">
        <w:rPr>
          <w:rtl w:val="0"/>
        </w:rPr>
      </w:r>
    </w:p>
    <w:p w:rsidR="00000000" w:rsidDel="00000000" w:rsidP="00000000" w:rsidRDefault="00000000" w:rsidRPr="00000000" w14:paraId="00000012">
      <w:pPr>
        <w:spacing w:after="0" w:line="240" w:lineRule="auto"/>
        <w:ind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Foram analisados 119 genes da via SHT (hsa04919), dos quais 29 (24,4%) apresentaram expressão diferencial significativa: 9 superexpressos e 20 subexpressos no tumor em relação ao tecido normal (|log₂FC| &gt; 1; FDR &lt; 0,05). A Figura 1 apresenta o volcano plot com a distribuição dos genes, destacando-se MYH7 (log₂FC = −5,59; FDR = 7,3×10⁻²²⁴), DIO3 (log₂FC = −4,97; FDR = 4,4×10⁻¹⁶⁸), MYH6 (log₂FC = −4,42; FDR = 1,5×10⁻¹⁵⁷), RXRG (log₂FC = 5,28; FDR = 3,3×10⁻¹⁴⁹) e CCND1 (log₂FC = 2,65; FDR = 1,0×10⁻²¹⁴) entre os mais significativos. A rede PPI (Figura 2), construída com escore STRING ≥ 700, resultou em 8 proteínas interagentes — das 29 GDEs — organizadas em dois módulos funcionais. Os 21 GDEs restantes, incluindo MYH7 e DIO3, não apresentaram interações de alta confiança na rede STRING. O Módulo 1 reuniu genes envolvidos em sinalização intracelular mediada por fosfolipases C e proteínas quinase C (PRKCA, PRKCG, PLCG1, PLCD4), enquanto o Módulo 2 agregou genes relacionados à organização estrutural celular e interações célula-matriz (ACTG1, ITGAV). PLCD3 e PIK3R2 também integraram a rede, porém com menor conectividade.</w:t>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sdt>
        <w:sdtPr>
          <w:id w:val="233339939"/>
          <w:tag w:val="goog_rdk_0"/>
        </w:sdtPr>
        <w:sdtContent>
          <w:r w:rsidDel="00000000" w:rsidR="00000000" w:rsidRPr="00000000">
            <w:rPr>
              <w:rFonts w:ascii="Gungsuh" w:cs="Gungsuh" w:eastAsia="Gungsuh" w:hAnsi="Gungsuh"/>
              <w:sz w:val="24"/>
              <w:szCs w:val="24"/>
              <w:rtl w:val="0"/>
            </w:rPr>
            <w:t xml:space="preserve">, destacaram-se MYH7 (log2FC = −5,59; FDR = 7,26e−224), DIO3 (log2FC = −4,97; FDR = 4,44e−168), ATP2A1 (log2FC = −2,83; FDR = 1,27e−169) e MYH6 (log2FC = −4,42; FDR = 1,51e−157). O gene MYH7 codifica a cadeia pesada da miosina-7, associada à contração muscular e à atividade ATPase dependente de actina. DIO3 participa do metabolismo dos hormônios tireoidianos por meio da inativação de iodotironinas. ATP2A1 (SERCA1) está relacionado ao transporte de íons cálcio e à regulação da homeostase intracelular de cálcio no músculo esquelético. MYH6 codifica a cadeia pesada da miosina-6 (alfa), isoforma predominante no átrio cardíaco. Em contrapartida, os genes </w:t>
          </w:r>
        </w:sdtContent>
      </w:sdt>
      <w:r w:rsidDel="00000000" w:rsidR="00000000" w:rsidRPr="00000000">
        <w:rPr>
          <w:rFonts w:ascii="Times New Roman" w:cs="Times New Roman" w:eastAsia="Times New Roman" w:hAnsi="Times New Roman"/>
          <w:sz w:val="24"/>
          <w:szCs w:val="24"/>
          <w:rtl w:val="0"/>
        </w:rPr>
      </w:r>
      <w:sdt>
        <w:sdtPr>
          <w:id w:val="1730444966"/>
          <w:tag w:val="goog_rdk_1"/>
        </w:sdtPr>
        <w:sdtContent>
          <w:r w:rsidDel="00000000" w:rsidR="00000000" w:rsidRPr="00000000">
            <w:rPr>
              <w:rFonts w:ascii="Gungsuh" w:cs="Gungsuh" w:eastAsia="Gungsuh" w:hAnsi="Gungsuh"/>
              <w:sz w:val="24"/>
              <w:szCs w:val="24"/>
              <w:rtl w:val="0"/>
            </w:rPr>
            <w:t xml:space="preserve"> CCND1 (log2FC = 2,65; FDR = 1,03e−214) e RXRG (log2FC = 5,28; FDR = 3,26e−149) estão envolvidos, respectivamente, na regulação do ciclo celular e em mecanismos de regulação transcricional mediados por receptores nucleares.</w:t>
          </w:r>
        </w:sdtContent>
      </w:sdt>
    </w:p>
    <w:p w:rsidR="00000000" w:rsidDel="00000000" w:rsidP="00000000" w:rsidRDefault="00000000" w:rsidRPr="00000000" w14:paraId="00000013">
      <w:pPr>
        <w:spacing w:after="0" w:before="0" w:line="240" w:lineRule="auto"/>
        <w:ind w:left="0" w:firstLine="283.46456692913387"/>
        <w:jc w:val="both"/>
        <w:rPr>
          <w:rFonts w:ascii="Times New Roman" w:cs="Times New Roman" w:eastAsia="Times New Roman" w:hAnsi="Times New Roman"/>
          <w:sz w:val="24"/>
          <w:szCs w:val="24"/>
        </w:rPr>
      </w:pPr>
      <w:sdt>
        <w:sdtPr>
          <w:id w:val="599869035"/>
          <w:tag w:val="goog_rdk_2"/>
        </w:sdtPr>
        <w:sdtContent>
          <w:r w:rsidDel="00000000" w:rsidR="00000000" w:rsidRPr="00000000">
            <w:rPr>
              <w:rFonts w:ascii="Gungsuh" w:cs="Gungsuh" w:eastAsia="Gungsuh" w:hAnsi="Gungsuh"/>
              <w:sz w:val="24"/>
              <w:szCs w:val="24"/>
              <w:rtl w:val="0"/>
            </w:rPr>
            <w:t xml:space="preserve">Outrossim, a construção da rede PPI permitiu identificar 24 genes interagentes dentre os 29 DEGs, organizados em dois módulos biológicos distintos. Cinco GDEs não participaram da rede por ausência de interações proteína-proteína acima do limiar de confiança adotado: RXRG (log2FC = 5,28; FDR = 3,26e−149), DIO1 (log2FC = −2,60; FDR = 2,44e−27), MED13 (log2FC = 1,20; FDR = 1,43e−76), TBC1D4 (log2FC = −1,63; FDR = 2,06e−94) e PFKFB2 (log2FC = −1,09; FDR = 4,48e−40). O módulo 1 foi composto por PRKCA (log2FC = −1,02; FDR = 5,97e−38), PRKCG (log2FC = −1,05; FDR = 1,92e−30), PLCG1 (log2FC = −1,43; FDR = 5,77e−141), PLCD3 (log2FC = 2,38; FDR = 1,19e−95), PLCD4 (log2FC = −1,53; FDR = 2,89e−71) e PIK3R2 (log2FC = 1,34; FDR = 1,80e−14), formando uma rede densamente conectada associada a componentes centrais da transdução de sinais intracelulares. E, por sua vez, o módulo 2 foi constituído por ACTG1 (log2FC = 1,41; FDR = 1,72e−119) e ITGAV (log2FC = 1,03; FDR = 3,52e−55), apresentando menor conectividade e ligação indireta com o módulo principal. </w:t>
          </w:r>
        </w:sdtContent>
      </w:sdt>
    </w:p>
    <w:p w:rsidR="00000000" w:rsidDel="00000000" w:rsidP="00000000" w:rsidRDefault="00000000" w:rsidRPr="00000000" w14:paraId="00000014">
      <w:pPr>
        <w:spacing w:after="0" w:before="0"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PRKCA destacou-se como principal gene hub da rede (grau = 5; betweenness = 0,476; closeness = 8,52×10⁻⁴; hub score = 1,000), exibindo o maior número de interações e atuando como elo funcional entre os dois módulos (Figura 2). Os demais hubs identificados foram PLCG1 (grau = 4; betweenness = 0,286), PLCD4 (grau = 4; betweenness = 0,095) e PRKCG (grau = 4). A posição topológica central de PRKCA é compatível com seu papel biológico na regulação de proliferação, diferenciação e sobrevivência celular — processos relevantes tanto para a oncogênese tireoidiana quanto para a fisiologia cardiovascular. A conectividade entre os módulos, estabelecida exclusivamente pela interação PRKCA-ACTG1 (escore STRING = 918), sugere que PRKCA pode coordenar alterações na arquitetura celular e nas interações com a matriz extracelular via sinalização por fosfolipases C e PKC. Dados os papéis conhecidos de PRKCA, PLCG1 e PRKCG na contratilidade miocárdica, no remodelamento cardíaco e na regulação do cálcio intracelular, a convergência desses genes como hubs na rede PPI do carcinoma tireoidiano gera hipóteses sobre possíveis mecanismos moleculares compartilhados que merecem investigação experimental futura. Contudo, ressalta-se que a rede PPI do STRING reflete conhecimento acumulado da literatura e não demonstra causalidade, ativação ou inibição direta. A identificação de hubs constitui observação exploratória.</w:t>
      </w:r>
    </w:p>
    <w:p w:rsidR="00000000" w:rsidDel="00000000" w:rsidP="00000000" w:rsidRDefault="00000000" w:rsidRPr="00000000" w14:paraId="00000015">
      <w:pPr>
        <w:spacing w:after="0" w:line="240" w:lineRule="auto"/>
        <w:ind w:firstLine="283.46456692913387"/>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 enfermagem de precisão pode utilizar informações ômicas para avançar de um modelo focado na doença para uma abordagem baseada no perfil molecular do indivíduo, auxiliando no diagnóstico precoce, na estratificação de risco e na prevenção de comorbidades. Embora os achados deste estudo sejam exploratórios e não possuam aplicabilidade clínica imediata, a identificação de genes com funções reconhecidas na biologia cardiovascular — alterados no microambiente tumoral tireoidiano — fornece subsídios para a formulação de hipóteses que, uma vez validadas experimentalmente, poderão informar protocolos de vigilância clínica individualizados. Nesse contexto, a enfermagem deve desenvolver planos estratégicos que integrem o conhecimento multiômico na pesquisa, no ensino, na prática clínica e nas políticas de saúde, considerando sua posição privilegiada nessa nova era⁴.</w:t>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vertAlign w:val="superscript"/>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tl w:val="0"/>
        </w:rPr>
      </w:r>
    </w:p>
    <w:p w:rsidR="00000000" w:rsidDel="00000000" w:rsidP="00000000" w:rsidRDefault="00000000" w:rsidRPr="00000000" w14:paraId="00000016">
      <w:pPr>
        <w:spacing w:after="0" w:before="200" w:line="24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Conclusões</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3.46456692913387"/>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Este estudo identificou 29 genes da via SHT diferencialmente expressos no carcinoma de tireoide, com PRKCA emergindo como gene hub central na rede PPI, conectando módulos de sinalização intracelular e organização estrutural. Genes com funções cardiovasculares reconhecidas (MYH6, MYH7, PLN, ATP2A1) apresentaram expressão acentuadamente reduzida no tecido tumoral, enquanto reguladores do ciclo celular (CCND1) e da resposta imune (STAT1) mostraram-se superexpressos. Ressalta-se que alterações transcriptômicas locais no microambiente tumoral não implicam necessariamente disfunção sistêmica ou causalidade cardiovascular. O carcinoma de tireoide apresenta alterações transcriptômicas na via de sinalização dos hormônios tireoidianos que envolvem genes com funções reconhecidas na biologia cardiovascular. Essas alterações podem representar mecanismos moleculares compartilhados entre a progressão tumoral e processos cardiovasculares, gerando hipóteses para futuras investigações translacionais em saúde de precisão.</w:t>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Agradecimentos</w:t>
      </w:r>
      <w:r w:rsidDel="00000000" w:rsidR="00000000" w:rsidRPr="00000000">
        <w:rPr>
          <w:rtl w:val="0"/>
        </w:rPr>
      </w:r>
    </w:p>
    <w:p w:rsidR="00000000" w:rsidDel="00000000" w:rsidP="00000000" w:rsidRDefault="00000000" w:rsidRPr="00000000" w14:paraId="00000019">
      <w:pPr>
        <w:spacing w:after="0" w:line="240" w:lineRule="auto"/>
        <w:ind w:firstLine="284"/>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Agradecemos à Escola Técnica Estadual João Barcelos Martins e ao Instituto Federal Fluminense de Educação, Ciência e Tecnologia Campus Campos Guarus pela promoção dessa troca sinérgica.</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Referências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LEE, Kenny; ANASTASOPOULOU, Catherine; CHANDRAN, Chandriya; CASSARO, Sebastiano. </w:t>
      </w:r>
      <w:r w:rsidDel="00000000" w:rsidR="00000000" w:rsidRPr="00000000">
        <w:rPr>
          <w:rFonts w:ascii="Times New Roman" w:cs="Times New Roman" w:eastAsia="Times New Roman" w:hAnsi="Times New Roman"/>
          <w:b w:val="1"/>
          <w:bCs w:val="1"/>
          <w:i w:val="1"/>
          <w:iCs w:val="1"/>
          <w:sz w:val="20"/>
          <w:szCs w:val="20"/>
          <w:rtl w:val="0"/>
        </w:rPr>
        <w:t xml:space="preserve">Thyroid Cancer</w:t>
      </w:r>
      <w:r w:rsidDel="00000000" w:rsidR="00000000" w:rsidRPr="00000000">
        <w:rPr>
          <w:rFonts w:ascii="Times New Roman" w:cs="Times New Roman" w:eastAsia="Times New Roman" w:hAnsi="Times New Roman"/>
          <w:sz w:val="20"/>
          <w:szCs w:val="20"/>
          <w:rtl w:val="0"/>
        </w:rPr>
        <w:t xml:space="preserve">. In: STATPEARLS [Internet]. </w:t>
      </w:r>
      <w:r w:rsidDel="00000000" w:rsidR="00000000" w:rsidRPr="00000000">
        <w:rPr>
          <w:rFonts w:ascii="Times New Roman" w:cs="Times New Roman" w:eastAsia="Times New Roman" w:hAnsi="Times New Roman"/>
          <w:i w:val="1"/>
          <w:iCs w:val="1"/>
          <w:sz w:val="20"/>
          <w:szCs w:val="20"/>
          <w:rtl w:val="0"/>
        </w:rPr>
        <w:t xml:space="preserve">Treasure Island (FL): StatPearls Publishing</w:t>
      </w:r>
      <w:r w:rsidDel="00000000" w:rsidR="00000000" w:rsidRPr="00000000">
        <w:rPr>
          <w:rFonts w:ascii="Times New Roman" w:cs="Times New Roman" w:eastAsia="Times New Roman" w:hAnsi="Times New Roman"/>
          <w:sz w:val="20"/>
          <w:szCs w:val="20"/>
          <w:rtl w:val="0"/>
        </w:rPr>
        <w:t xml:space="preserve">, 2023. Disponível em: </w:t>
      </w:r>
      <w:r w:rsidDel="00000000" w:rsidR="00000000" w:rsidRPr="00000000">
        <w:rPr>
          <w:rFonts w:ascii="Times New Roman" w:cs="Times New Roman" w:eastAsia="Times New Roman" w:hAnsi="Times New Roman"/>
          <w:sz w:val="20"/>
          <w:szCs w:val="20"/>
          <w:rtl w:val="0"/>
        </w:rPr>
        <w:t xml:space="preserve">https://www.ncbi.nlm.nih.gov/books/NBK459299/</w:t>
      </w:r>
      <w:r w:rsidDel="00000000" w:rsidR="00000000" w:rsidRPr="00000000">
        <w:rPr>
          <w:rFonts w:ascii="Times New Roman" w:cs="Times New Roman" w:eastAsia="Times New Roman" w:hAnsi="Times New Roman"/>
          <w:sz w:val="20"/>
          <w:szCs w:val="20"/>
          <w:rtl w:val="0"/>
        </w:rPr>
        <w:t xml:space="preserve">. Acesso em: 23 jun. 2026.</w:t>
      </w:r>
    </w:p>
    <w:p w:rsidR="00000000" w:rsidDel="00000000" w:rsidP="00000000" w:rsidRDefault="00000000" w:rsidRPr="00000000" w14:paraId="0000001C">
      <w:pPr>
        <w:keepLines w:val="1"/>
        <w:spacing w:after="0"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TSAI, W. H.; ZENG, Y. H.; LEE, C. C.; CHIEN, M. N.; LIU, S. C.; CHIEN, K. L.; CHENG, S. P.; TSENG, P. J.; TSAI, M. C. </w:t>
      </w:r>
      <w:r w:rsidDel="00000000" w:rsidR="00000000" w:rsidRPr="00000000">
        <w:rPr>
          <w:rFonts w:ascii="Times New Roman" w:cs="Times New Roman" w:eastAsia="Times New Roman" w:hAnsi="Times New Roman"/>
          <w:i w:val="1"/>
          <w:iCs w:val="1"/>
          <w:sz w:val="20"/>
          <w:szCs w:val="20"/>
          <w:rtl w:val="0"/>
        </w:rPr>
        <w:t xml:space="preserve">Association between thyroid cancer and cardiovascular disease: A meta-analysis.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i w:val="1"/>
          <w:iCs w:val="1"/>
          <w:sz w:val="20"/>
          <w:szCs w:val="20"/>
          <w:rtl w:val="0"/>
        </w:rPr>
        <w:t xml:space="preserve">Frontiers in Cardiovascular Medicine</w:t>
      </w:r>
      <w:r w:rsidDel="00000000" w:rsidR="00000000" w:rsidRPr="00000000">
        <w:rPr>
          <w:rFonts w:ascii="Times New Roman" w:cs="Times New Roman" w:eastAsia="Times New Roman" w:hAnsi="Times New Roman"/>
          <w:i w:val="1"/>
          <w:i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2023. Disponível em: https://pubmed.ncbi.nlm.nih.gov/36937933/. Acesso em: 21 jun. 2026.</w:t>
      </w:r>
    </w:p>
    <w:p w:rsidR="00000000" w:rsidDel="00000000" w:rsidP="00000000" w:rsidRDefault="00000000" w:rsidRPr="00000000" w14:paraId="0000001D">
      <w:pPr>
        <w:keepLines w:val="1"/>
        <w:spacing w:after="0"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[3] ZHANG, B.; CHEN, Z.; WANG, Y.; FAN, G.; HE, X. Integrated bioinformatics analysis for the identification of key genes and signaling pathways in thyroid carcinoma. Experimental and Therapeutic Medicine, v. 21, n. 3, artigo 251, 2021. DOI: https://doi.org/10.3892/etm.2021.9682. Disponível em: https://pmc.ncbi.nlm.nih.gov/articles/PMC7885060/. Acesso em: 22 jun. 2026.</w:t>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b w:val="1"/>
          <w:bCs w:val="1"/>
          <w:i w:val="1"/>
          <w:iCs w:val="1"/>
          <w:sz w:val="20"/>
          <w:szCs w:val="20"/>
          <w:rtl w:val="0"/>
        </w:rPr>
      </w:r>
      <w:r w:rsidDel="00000000" w:rsidR="00000000" w:rsidRPr="00000000">
        <w:rPr>
          <w:rFonts w:ascii="Times New Roman" w:cs="Times New Roman" w:eastAsia="Times New Roman" w:hAnsi="Times New Roman"/>
          <w:sz w:val="20"/>
          <w:szCs w:val="20"/>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 FU, M. R.; KURNAT-THOMA, E.; STARKWEATHER, A.; HENDERSON, W. A.; CASHION, A. K.; WILLIAMS, J. K.; KATAPODI, M. C.; REUTER-RICE, K.; HICKEY, K. T.; BARCELONA DE MENDOZA, V.; CALZONE, K.; CONLEY, Y. P.; ANDERSON, C. M.; LYON, D. E.; WEAVER, M. T.; SHIAO, P. K.; CONSTANTINO, R. E.; WUNG, S.-F.; HAMMER, M. J.; VOSS, J. G.; COLEMAN, B. Precision health: a nursing perspective. International Journal of Nursing Sciences, v. 7, n. 1, p. 5–12, 2020. DOI: https://doi.org/10.1016/j.ijnss.2019.12.008. Disponível em: https://pmc.ncbi.nlm.nih.gov/articles/PMC7031154/. Acesso em: 23 jun. 2026.</w:t>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b w:val="1"/>
          <w:bCs w:val="1"/>
          <w:i w:val="1"/>
          <w:iCs w:val="1"/>
          <w:sz w:val="20"/>
          <w:szCs w:val="20"/>
          <w:rtl w:val="0"/>
        </w:rPr>
      </w:r>
      <w:r w:rsidDel="00000000" w:rsidR="00000000" w:rsidRPr="00000000">
        <w:rPr>
          <w:rFonts w:ascii="Times New Roman" w:cs="Times New Roman" w:eastAsia="Times New Roman" w:hAnsi="Times New Roman"/>
          <w:sz w:val="20"/>
          <w:szCs w:val="20"/>
          <w:rtl w:val="0"/>
        </w:rPr>
      </w:r>
      <w:hyperlink r:id="rId7">
        <w:r w:rsidDel="00000000" w:rsidR="00000000" w:rsidRPr="00000000">
          <w:rPr>
            <w:rFonts w:ascii="Times New Roman" w:cs="Times New Roman" w:eastAsia="Times New Roman" w:hAnsi="Times New Roman"/>
            <w:sz w:val="20"/>
            <w:szCs w:val="20"/>
            <w:rtl w:val="0"/>
          </w:rPr>
          <w:t xml:space="preserve">https://doi.org/10.1016/j.ijnss.2019.12.008</w:t>
        </w:r>
      </w:hyperlink>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tl w:val="0"/>
        </w:rPr>
      </w:r>
    </w:p>
    <w:sectPr>
      <w:headerReference r:id="rId8" w:type="default"/>
      <w:pgSz w:h="16838" w:w="11906" w:orient="portrait"/>
      <w:pgMar w:bottom="1134" w:top="1985" w:left="1701" w:right="1701"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-1069338</wp:posOffset>
          </wp:positionH>
          <wp:positionV relativeFrom="paragraph">
            <wp:posOffset>0</wp:posOffset>
          </wp:positionV>
          <wp:extent cx="7559040" cy="1325880"/>
          <wp:effectExtent b="0" l="0" r="0" t="0"/>
          <wp:wrapNone/>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7559040" cy="1325880"/>
                  </a:xfrm>
                  <a:prstGeom prst="rect"/>
                  <a:ln/>
                </pic:spPr>
              </pic:pic>
            </a:graphicData>
          </a:graphic>
        </wp:anchor>
      </w:drawing>
    </w:r>
  </w:p>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1016/j.ijnss.2019.12.008" TargetMode="Externa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vyQSrEERALGoYKe3d8mbmQa7NA==">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