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Times New Roman" w:hAnsi="Times New Roman" w:eastAsia="Times New Roman" w:cs="Times New Roman"/>
          <w:b/>
          <w:bCs/>
          <w:sz w:val="24"/>
          <w:szCs w:val="24"/>
        </w:rPr>
      </w:pPr>
      <w:r>
        <w:rPr>
          <w:rFonts w:eastAsia="Times New Roman" w:cs="Times New Roman" w:ascii="Times New Roman" w:hAnsi="Times New Roman"/>
          <w:b/>
          <w:bCs/>
          <w:i w:val="false"/>
          <w:sz w:val="24"/>
          <w:szCs w:val="24"/>
        </w:rPr>
        <w:t>Análise Transcriptômica da Via de Sinalização do Hormônio Tireoidiano no Carcinoma de Tireoide e Potenciais Implicações para a Enfermagem de Precisão</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i w:val="false"/>
          <w:iCs w:val="false"/>
          <w:caps w:val="false"/>
          <w:smallCaps w:val="false"/>
          <w:strike w:val="false"/>
          <w:dstrike w:val="false"/>
          <w:color w:val="000000"/>
          <w:sz w:val="24"/>
          <w:szCs w:val="24"/>
          <w:u w:val="none"/>
          <w:shd w:fill="auto" w:val="clear"/>
          <w:vertAlign w:val="superscript"/>
        </w:rPr>
      </w:pPr>
      <w:r>
        <w:rPr>
          <w:rFonts w:eastAsia="Times New Roman" w:cs="Times New Roman" w:ascii="Times New Roman" w:hAnsi="Times New Roman"/>
          <w:sz w:val="20"/>
          <w:szCs w:val="20"/>
          <w:u w:val="single"/>
        </w:rPr>
        <w:t>Freitas, L. M. D</w:t>
      </w:r>
      <w:r>
        <w:rPr>
          <w:rFonts w:eastAsia="Times New Roman" w:cs="Times New Roman" w:ascii="Times New Roman" w:hAnsi="Times New Roman"/>
          <w:sz w:val="20"/>
          <w:szCs w:val="20"/>
          <w:vertAlign w:val="superscript"/>
        </w:rPr>
        <w:t>1</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w:t>
      </w:r>
      <w:r>
        <w:rPr>
          <w:rFonts w:eastAsia="Times New Roman" w:cs="Times New Roman" w:ascii="Times New Roman" w:hAnsi="Times New Roman"/>
          <w:sz w:val="20"/>
          <w:szCs w:val="20"/>
        </w:rPr>
        <w:t xml:space="preserve"> Santos, R. P.</w:t>
      </w:r>
      <w:r>
        <w:rPr>
          <w:rFonts w:eastAsia="Times New Roman" w:cs="Times New Roman" w:ascii="Times New Roman" w:hAnsi="Times New Roman"/>
          <w:sz w:val="20"/>
          <w:szCs w:val="20"/>
          <w:vertAlign w:val="superscript"/>
        </w:rPr>
        <w:t>2</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sz w:val="20"/>
          <w:szCs w:val="20"/>
        </w:rPr>
        <w:t>Pereira, T. F. C. S.</w:t>
      </w:r>
      <w:r>
        <w:rPr>
          <w:rFonts w:eastAsia="Times New Roman" w:cs="Times New Roman" w:ascii="Times New Roman" w:hAnsi="Times New Roman"/>
          <w:sz w:val="20"/>
          <w:szCs w:val="20"/>
          <w:vertAlign w:val="superscript"/>
        </w:rPr>
        <w:t>1</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b w:val="false"/>
          <w:bCs w:val="false"/>
          <w:i/>
          <w:iCs/>
          <w:caps w:val="false"/>
          <w:smallCaps w:val="false"/>
          <w:strike w:val="false"/>
          <w:dstrike w:val="false"/>
          <w:color w:val="000000"/>
          <w:position w:val="0"/>
          <w:sz w:val="20"/>
          <w:szCs w:val="20"/>
          <w:u w:val="none"/>
          <w:shd w:fill="auto" w:val="clear"/>
          <w:vertAlign w:val="baseline"/>
        </w:rPr>
      </w:pPr>
      <w:r>
        <w:rPr>
          <w:rFonts w:eastAsia="Times New Roman" w:cs="Times New Roman" w:ascii="Times New Roman" w:hAnsi="Times New Roman"/>
          <w:i/>
          <w:iCs/>
          <w:sz w:val="20"/>
          <w:szCs w:val="20"/>
          <w:vertAlign w:val="superscript"/>
        </w:rPr>
        <w:t>1</w:t>
      </w:r>
      <w:r>
        <w:rPr>
          <w:rFonts w:eastAsia="Times New Roman" w:cs="Times New Roman" w:ascii="Times New Roman" w:hAnsi="Times New Roman"/>
          <w:i/>
          <w:iCs/>
          <w:sz w:val="20"/>
          <w:szCs w:val="20"/>
        </w:rPr>
        <w:t>Escola Técnica Estadual João Barcelos Martins - ETEJBM/FAETEC</w:t>
      </w:r>
    </w:p>
    <w:p>
      <w:pPr>
        <w:pStyle w:val="normal1"/>
        <w:keepNext w:val="false"/>
        <w:keepLines w:val="false"/>
        <w:pageBreakBefore w:val="false"/>
        <w:widowControl/>
        <w:spacing w:lineRule="auto" w:line="240" w:before="0" w:after="0"/>
        <w:ind w:hanging="0" w:start="0" w:end="0"/>
        <w:jc w:val="center"/>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val="false"/>
          <w:bCs w:val="false"/>
          <w:i/>
          <w:iCs/>
          <w:caps w:val="false"/>
          <w:smallCaps w:val="false"/>
          <w:strike w:val="false"/>
          <w:dstrike w:val="false"/>
          <w:color w:val="000000"/>
          <w:position w:val="0"/>
          <w:sz w:val="20"/>
          <w:szCs w:val="20"/>
          <w:u w:val="none"/>
          <w:shd w:fill="auto" w:val="clear"/>
          <w:vertAlign w:val="baseline"/>
        </w:rPr>
        <w:t xml:space="preserve"> </w:t>
      </w:r>
      <w:r>
        <w:rPr>
          <w:rFonts w:eastAsia="Times New Roman" w:cs="Times New Roman" w:ascii="Times New Roman" w:hAnsi="Times New Roman"/>
          <w:b w:val="false"/>
          <w:bCs w:val="false"/>
          <w:i/>
          <w:iCs/>
          <w:caps w:val="false"/>
          <w:smallCaps w:val="false"/>
          <w:strike w:val="false"/>
          <w:dstrike w:val="false"/>
          <w:color w:val="000000"/>
          <w:sz w:val="12"/>
          <w:szCs w:val="12"/>
          <w:u w:val="none"/>
          <w:shd w:fill="auto" w:val="clear"/>
          <w:vertAlign w:val="superscript"/>
        </w:rPr>
        <w:t> </w:t>
      </w:r>
      <w:r>
        <w:rPr>
          <w:rFonts w:eastAsia="Times New Roman" w:cs="Times New Roman" w:ascii="Times New Roman" w:hAnsi="Times New Roman"/>
          <w:b w:val="false"/>
          <w:bCs w:val="false"/>
          <w:i/>
          <w:iCs/>
          <w:caps w:val="false"/>
          <w:smallCaps w:val="false"/>
          <w:strike w:val="false"/>
          <w:dstrike w:val="false"/>
          <w:color w:val="000000"/>
          <w:sz w:val="20"/>
          <w:szCs w:val="20"/>
          <w:u w:val="none"/>
          <w:shd w:fill="auto" w:val="clear"/>
          <w:vertAlign w:val="superscript"/>
        </w:rPr>
        <w:t>2</w:t>
      </w:r>
      <w:r>
        <w:rPr>
          <w:rFonts w:eastAsia="Times New Roman" w:cs="Times New Roman" w:ascii="Times New Roman" w:hAnsi="Times New Roman"/>
          <w:i/>
          <w:iCs/>
          <w:sz w:val="20"/>
          <w:szCs w:val="20"/>
        </w:rPr>
        <w:t>Instituto Federal de Educação, Ciência e Tecnologia Fluminense - IFF Campus Campos Guarus</w:t>
      </w:r>
    </w:p>
    <w:p>
      <w:pPr>
        <w:pStyle w:val="normal1"/>
        <w:keepNext w:val="false"/>
        <w:keepLines w:val="false"/>
        <w:pageBreakBefore w:val="false"/>
        <w:widowControl/>
        <w:spacing w:lineRule="auto" w:line="240" w:before="0" w:after="0"/>
        <w:ind w:hanging="0" w:start="0" w:end="0"/>
        <w:jc w:val="center"/>
        <w:rPr/>
      </w:pPr>
      <w:r>
        <w:rPr>
          <w:rFonts w:eastAsia="Times New Roman" w:cs="Times New Roman" w:ascii="Times New Roman" w:hAnsi="Times New Roman"/>
          <w:b w:val="false"/>
          <w:bCs w:val="false"/>
          <w:i/>
          <w:iCs/>
          <w:caps w:val="false"/>
          <w:smallCaps w:val="false"/>
          <w:strike w:val="false"/>
          <w:dstrike w:val="false"/>
          <w:color w:val="000000"/>
          <w:position w:val="0"/>
          <w:sz w:val="20"/>
          <w:szCs w:val="20"/>
          <w:u w:val="none"/>
          <w:shd w:fill="auto" w:val="clear"/>
          <w:vertAlign w:val="baseline"/>
        </w:rPr>
        <w:t>*</w:t>
      </w:r>
      <w:r>
        <w:rPr>
          <w:rFonts w:eastAsia="Times New Roman" w:cs="Times New Roman" w:ascii="Times New Roman" w:hAnsi="Times New Roman"/>
          <w:i/>
          <w:iCs/>
          <w:sz w:val="20"/>
          <w:szCs w:val="20"/>
        </w:rPr>
        <w:t>leticiamariadiasfreitas@gmail.com</w:t>
      </w:r>
    </w:p>
    <w:p>
      <w:pPr>
        <w:pStyle w:val="normal1"/>
        <w:keepNext w:val="false"/>
        <w:keepLines w:val="false"/>
        <w:pageBreakBefore w:val="false"/>
        <w:widowControl/>
        <w:spacing w:lineRule="auto" w:line="240" w:before="200" w:after="0"/>
        <w:ind w:hanging="0" w:start="0" w:end="0"/>
        <w:jc w:val="center"/>
        <w:rPr>
          <w:rFonts w:ascii="Times New Roman" w:hAnsi="Times New Roman" w:eastAsia="Times New Roman" w:cs="Times New Roman"/>
          <w:color w:val="FF0000"/>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t>Resumo</w:t>
      </w:r>
    </w:p>
    <w:p>
      <w:pPr>
        <w:pStyle w:val="normal1"/>
        <w:spacing w:lineRule="auto" w:line="240" w:before="0" w:after="0"/>
        <w:jc w:val="both"/>
        <w:rPr>
          <w:rFonts w:ascii="Times New Roman" w:hAnsi="Times New Roman" w:eastAsia="Times New Roman" w:cs="Times New Roman"/>
        </w:rPr>
      </w:pPr>
      <w:r>
        <w:rPr>
          <w:rFonts w:eastAsia="Times New Roman" w:cs="Times New Roman" w:ascii="Times New Roman" w:hAnsi="Times New Roman"/>
          <w:b w:val="0"/>
          <w:i w:val="false"/>
          <w:sz w:val="20"/>
          <w:szCs w:val="20"/>
        </w:rPr>
        <w:t>Objetivou-se analisar a expressão diferencial dos genes da via de sinalização do hormônio tireoidiano (SHT, KEGG hsa04919) no carcinoma de tireoide, identificando alterações transcriptômicas e padrões de interação proteína-proteína capazes de gerar hipóteses biológicas sobre processos moleculares potencialmente associados à biologia tumoral. Trata-se de estudo exploratório em bioinformática, com dados de RNA-seq do conjunto integrado TCGA-GTEx (THCA, n = 783) processados no ambiente R. Foram identificados 29 genes diferencialmente expressos (GDEs) na via SHT (9 superexpressos, 20 subexpressos; |log2FC| &gt; 1; FDR &lt; 0,05) por meio de volcano plot. A rede de interação proteína-proteína (PPI) foi construída com STRING v12.0 (escore ≥ 700) e revelou 8 proteínas interagentes organizadas em dois módulos funcionais, detectados pelo algoritmo walktrap. PRKCA destacou-se como gene de maior centralidade na rede (grau = 5, betweenness = 0,476), atuando como elo entre os módulos. Os demais 21 GDEs não formaram interações de alta confiança na rede. Os achados geram hipóteses biológicas sobre a via de sinalização do hormônio tireoidiano no carcinoma de tireoide, contribuindo para futuras investigações em oncologia molecular e enfermagem de precisão.</w:t>
      </w:r>
    </w:p>
    <w:p>
      <w:pPr>
        <w:pStyle w:val="normal1"/>
        <w:keepNext w:val="false"/>
        <w:keepLines w:val="false"/>
        <w:pageBreakBefore w:val="false"/>
        <w:widowControl/>
        <w:spacing w:lineRule="auto" w:line="240" w:before="0" w:after="0"/>
        <w:ind w:hanging="0" w:start="0" w:end="0"/>
        <w:jc w:val="both"/>
        <w:rPr>
          <w:rFonts w:ascii="Times New Roman" w:hAnsi="Times New Roman" w:eastAsia="Times New Roman" w:cs="Times New Roman"/>
        </w:rPr>
      </w:pPr>
      <w:r>
        <w:rPr>
          <w:rFonts w:eastAsia="Times New Roman" w:cs="Times New Roman" w:ascii="Times New Roman" w:hAnsi="Times New Roman"/>
          <w:b/>
          <w:bCs/>
          <w:i w:val="false"/>
          <w:iCs w:val="false"/>
          <w:caps w:val="false"/>
          <w:smallCaps w:val="false"/>
          <w:strike w:val="false"/>
          <w:dstrike w:val="false"/>
          <w:color w:val="000000"/>
          <w:position w:val="0"/>
          <w:sz w:val="22"/>
          <w:szCs w:val="22"/>
          <w:u w:val="none"/>
          <w:shd w:fill="auto" w:val="clear"/>
          <w:vertAlign w:val="baseline"/>
        </w:rPr>
        <w:t xml:space="preserve">Palavras-chave: </w:t>
      </w:r>
      <w:r>
        <w:rPr>
          <w:rFonts w:eastAsia="Times New Roman" w:cs="Times New Roman" w:ascii="Times New Roman" w:hAnsi="Times New Roman"/>
          <w:b w:val="false"/>
          <w:i w:val="false"/>
          <w:sz w:val="22"/>
        </w:rPr>
        <w:t>Câncer de Tireoide, Doenças Cardiovasculares, Informática em Enfermagem.</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1. Introdução</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O carcinoma de tireoide origina-se nas células parenquimatosas da tireoide e apresenta incidência crescente mundialmente[1]. A meta-análise de Tsai et al. (2023)[2] reportou maior risco de doença cerebrovascular (RR = 1,15; IC95%: 1,10-1,21) e fibrilação atrial (RR = 1,59; IC95%: 1,45-1,73) em indivíduos com câncer de tireoide comparados à população geral, sugerindo associação epidemiológica entre essas condições. Estudos de bioinformática integrativa, como o de Zhang et al. (2021)[3], demonstraram a viabilidade de se identificar genes-chave e vias de sinalização relevantes no carcinoma de tireoide por meio de análise transcriptômica com dados públicos. O carcinoma de tireoide apresenta alterações transcriptômicas em genes da via de sinalização do hormônio tireoidiano (hsa04919), refletindo processos moleculares associados à biologia tumoral. A identificação desses genes e de suas interações proteicas pode contribuir para a geração de hipóteses biológicas relevantes para futuras investigações em oncologia molecular e enfermagem de precisão.</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Diante desse cenário, objetivou-se analisar a expressão diferencial dos genes da via de sinalização do hormônio tireoidiano (hsa04919) no carcinoma de tireoide, identificando alterações transcriptômicas e padrões de interação proteína-proteína capazes de gerar hipóteses biológicas sobre processos moleculares potencialmente associados à biologia tumoral e discutir sua relevância para a enfermagem de precisão. Especificamente, buscou-se identificar genes diferencialmente expressos da via SHT no carcinoma de tireoide em comparação ao tecido tireoidiano normal, construir uma rede de interação proteína-proteína dos GDEs, identificar genes com elevada centralidade e potencial relevância biológica na rede e discutir as contribuições dos achados para a compreensão molecular do carcinoma de tireoide e suas potenciais aplicações futuras na enfermagem de precisão.</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2. Materiais e Métodos</w:t>
      </w:r>
    </w:p>
    <w:p>
      <w:pPr>
        <w:pStyle w:val="normal1"/>
        <w:keepNext w:val="false"/>
        <w:keepLines w:val="false"/>
        <w:pageBreakBefore w:val="false"/>
        <w:widowControl/>
        <w:spacing w:lineRule="auto" w:line="240" w:before="0" w:after="0"/>
        <w:ind w:hanging="0" w:start="0" w:end="0"/>
        <w:jc w:val="start"/>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single"/>
          <w:shd w:fill="auto" w:val="clear"/>
          <w:vertAlign w:val="baseline"/>
        </w:rPr>
        <w:t>2.1. Materiais</w:t>
      </w:r>
    </w:p>
    <w:p>
      <w:pPr>
        <w:pStyle w:val="normal1"/>
        <w:spacing w:lineRule="auto" w:line="24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Trata-se de estudo exploratório, baseado em dados secundários, desenvolvido no campo da bioinformática aplicada à oncologia tireoidiana. Os dados de expressão gênica foram obtidos por meio da plataforma UCSC Xena Browser, utilizando o conjunto integrado TCGA-GTEx (504 amostras tumorais THCA; 279 amostras normais de tecido tireoidiano), disponibilizado em escala log2. A análise de expressão diferencial foi conduzida com o pacote limma (modelo linear com moderação empírica de Bayes), considerando como critérios de significância |log2 Fold Change| &gt; 1 e valor de p ajustado pelo método de Benjamini-Hochberg (FDR) &lt; 0,05. As interações proteína-proteína foram investigadas por meio do banco de dados STRING v12.0 (Homo sapiens, taxon 9606), adotando-se escore combinado mínimo de 700 (alta confiança). Os resultados foram representados por volcano plot e rede PPI.</w:t>
      </w:r>
    </w:p>
    <w:p>
      <w:pPr>
        <w:pStyle w:val="normal1"/>
        <w:spacing w:lineRule="auto" w:line="240" w:before="0" w:after="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singl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single"/>
          <w:shd w:fill="auto" w:val="clear"/>
          <w:vertAlign w:val="baseline"/>
        </w:rPr>
        <w:t>2.2. Metodologia</w:t>
      </w:r>
    </w:p>
    <w:p>
      <w:pPr>
        <w:pStyle w:val="normal1"/>
        <w:spacing w:lineRule="auto" w:line="24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Os dados transcriptômicos foram obtidos na plataforma UCSC Xena Browser a partir do conjunto integrado TCGA-GTEx referente ao carcinoma de tireoide (THCA), disponível em repositório público de livre acesso. A variável TCGA_GTEX_main_category foi utilizada para a estratificação biológica das amostras (GTEX Thyroid vs. TCGA Thyroid Carcinoma). Os genes da via SHT foram identificados via KEGG REST API (hsa04919). Todas as etapas de processamento foram executadas no ambiente R v4.6.0. Empregaram-se os pacotes KEGGREST (consulta à via metabólica), readr (importação de dados), limma (expressão diferencial), dplyr e tibble (manipulação de dados), httr e jsonlite (consulta à STRING REST API), igraph e ggraph (construção e visualização da rede PPI), e ggplot2 e ggrepel (volcano plot). O pipeline completo, os parâmetros de análise e os scripts reprodutíveis estão disponíveis publicamente em repositório GitHub (https://github.com/santosry/thyroid-volcano-ppi). Ressalta-se que a comparação TCGA versus GTEx pode estar sujeita a batch effects inerentes às diferenças de plataforma, processamento e perfil demográfico entre as coortes, constituindo limitação metodológica deste estudo.</w:t>
      </w:r>
    </w:p>
    <w:p>
      <w:pPr>
        <w:pStyle w:val="normal1"/>
        <w:keepNext w:val="false"/>
        <w:keepLines w:val="false"/>
        <w:pageBreakBefore w:val="false"/>
        <w:widowControl/>
        <w:spacing w:lineRule="auto" w:line="240" w:before="0" w:after="0"/>
        <w:ind w:hanging="0" w:start="0" w:end="0"/>
        <w:jc w:val="start"/>
        <w:rPr>
          <w:rFonts w:ascii="Times New Roman" w:hAnsi="Times New Roman" w:eastAsia="Times New Roman" w:cs="Times New Roman"/>
          <w:color w:val="1B1B1B"/>
          <w:sz w:val="24"/>
          <w:szCs w:val="24"/>
          <w:highlight w:val="whit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3. Resultados e Discussão</w:t>
      </w:r>
    </w:p>
    <w:p>
      <w:pPr>
        <w:pStyle w:val="normal1"/>
        <w:spacing w:lineRule="auto" w:line="240" w:before="0" w:after="0"/>
        <w:ind w:firstLine="283"/>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szCs w:val="24"/>
        </w:rPr>
        <w:t>Na análise,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CCND1 (log2FC = 2,65; FDR = 1,03e-214) e RXRG (log2FC = 5,28; FDR = 3,26e-149) estão envolvidos, respectivamente, na regulação do ciclo celular e em mecanismos de regulação transcricional mediados por receptores nucleares.</w:t>
      </w:r>
      <w:sdt>
        <w:sdtPr>
          <w:tag w:val="goog_rdk_0"/>
          <w:id w:val="233339939"/>
        </w:sdtPr>
        <w:sdtContent>
          <w:r>
            <w:rPr>
              <w:rFonts w:eastAsia="Times New Roman" w:cs="Times New Roman" w:ascii="Times New Roman" w:hAnsi="Times New Roman"/>
              <w:b w:val="false"/>
              <w:i w:val="false"/>
              <w:sz w:val="24"/>
              <w:szCs w:val="24"/>
            </w:rPr>
          </w:r>
        </w:sdtContent>
      </w:sdt>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A construção da rede PPI permitiu identificar 24 genes interagentes dentre os 29 DEGs, organizados em dois módulos biológicos distintos. Cinco GDEs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constituindo uma rede densamente conectada e associada a componentes centrais da transdução de sinais intracelulares. O módulo 2, por sua vez, foi constituído por ACTG1 (log2FC = 1,41; FDR = 1,72e-119) e ITGAV (log2FC = 1,03; FDR = 3,52e-55), apresentando menor conectividade e ligação indireta com o módulo principal.</w:t>
      </w:r>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No que se refere à topologia da rede, PRKCA destacou-se como o gene de maior centralidade, apresentando grau 5, betweenness de 0,476, closeness de 8,52×10⁻⁴ e hub score de 1,000. A conexão entre os dois módulos foi estabelecida exclusivamente pela interação PRKCA-ACTG1 (escore STRING = 918), conferindo a PRKCA uma posição topológica singular como único elo entre a sinalização intracelular mediada por fosfolipases C e proteínas quinase C (Módulo 1) e a organização estrutural do citoesqueleto de actina e das interações célula-matriz (Módulo 2). PLCG1, PLCD4 e PRKCG também apresentaram elevada conectividade (grau = 4), embora restrita ao Módulo 1, reforçando a coesão funcional desse agrupamento. Ressalta-se que essas métricas de centralidade são exploratórias e derivadas de uma rede de 8 nós, devendo ser interpretadas como geradoras de hipóteses, e não como evidência de relevância funcional comprovada.</w:t>
      </w:r>
    </w:p>
    <w:p>
      <w:pPr>
        <w:pStyle w:val="normal1"/>
        <w:spacing w:lineRule="auto" w:line="240" w:before="0" w:after="0"/>
        <w:ind w:firstLine="283" w:start="0"/>
        <w:jc w:val="both"/>
        <w:rPr>
          <w:rFonts w:ascii="Times New Roman" w:hAnsi="Times New Roman" w:eastAsia="Times New Roman" w:cs="Times New Roman"/>
          <w:sz w:val="24"/>
          <w:szCs w:val="24"/>
        </w:rPr>
      </w:pPr>
      <w:r>
        <w:rPr>
          <w:rFonts w:eastAsia="Times New Roman" w:cs="Times New Roman" w:ascii="Times New Roman" w:hAnsi="Times New Roman"/>
          <w:b w:val="0"/>
          <w:i w:val="false"/>
          <w:sz w:val="24"/>
          <w:szCs w:val="24"/>
        </w:rPr>
        <w:t>Em contrapartida, 21 dos 29 GDEs não integraram a rede conectada final, incluindo genes de alta significância estatística como MYH7, DIO3, CCND1, RXRG e ATP2A1. Embora esses genes não apresentem interações de alta confiança (escore ≥ 700) entre si na base STRING, possuem relevância biológica individual documentada na literatura. Tal achado sugere que as alterações transcriptômicas na via SHT no carcinoma de tireoide podem envolver tanto mecanismos coordenados de sinalização intracelular, representados pela rede PPI, quanto mecanismos independentes exercidos por genes que atuam por vias distintas ou que interagem por meio de proteínas não capturadas pelos limiares de confiança adotados. A investigação desses genes em estudos futuros, com estratégias complementares de análise de redes e validação experimental, poderá ampliar a compreensão dos processos moleculares associados à biologia tumoral tireoidiana.</w:t>
      </w:r>
    </w:p>
    <w:p>
      <w:pPr>
        <w:pStyle w:val="normal1"/>
        <w:spacing w:lineRule="auto" w:line="240" w:before="0" w:after="0"/>
        <w:ind w:firstLine="283"/>
        <w:jc w:val="both"/>
        <w:rPr>
          <w:rFonts w:ascii="Times New Roman" w:hAnsi="Times New Roman" w:eastAsia="Times New Roman" w:cs="Times New Roman"/>
          <w:sz w:val="24"/>
          <w:szCs w:val="24"/>
          <w:highlight w:val="white"/>
        </w:rPr>
      </w:pPr>
      <w:r>
        <w:rPr>
          <w:rFonts w:eastAsia="Times New Roman" w:cs="Times New Roman" w:ascii="Times New Roman" w:hAnsi="Times New Roman"/>
          <w:b w:val="false"/>
          <w:i w:val="false"/>
          <w:sz w:val="24"/>
          <w:szCs w:val="24"/>
        </w:rPr>
        <w:t>A enfermagem de precisão, conforme o marco conceitual de Fu et al. (2020)[4], propõe a utilização de dados ômicos para personalizar intervenções nos domínios de pesquisa, ensino, prática clínica e políticas de saúde. Embora os achados deste estudo sejam exploratórios e não possuam aplicabilidade clínica imediata, a identificação de genes com elevada centralidade na via de sinalização do hormônio tireoidiano e de padrões de interação proteína-proteína no carcinoma de tireoide fornece subsídios para a formulação de hipóteses biológicas que, uma vez validadas experimentalmente, poderão informar futuras abordagens translacionais. Nesse contexto, o enfermeiro ocupa posição privilegiada para integrar o conhecimento multiômico à prática assistencial, considerando as facetas sociocultural, ambiental e econômica do cotidiano do paciente, conforme preconizado pela saúde de precisão[4].</w:t>
      </w:r>
    </w:p>
    <w:p>
      <w:pPr>
        <w:pStyle w:val="normal1"/>
        <w:spacing w:lineRule="auto" w:line="240" w:before="200" w:after="0"/>
        <w:ind w:hanging="0" w:start="0"/>
        <w:jc w:val="both"/>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4. Conclusões</w:t>
      </w:r>
    </w:p>
    <w:p>
      <w:pPr>
        <w:pStyle w:val="normal1"/>
        <w:keepNext w:val="false"/>
        <w:keepLines w:val="false"/>
        <w:pageBreakBefore w:val="false"/>
        <w:widowControl/>
        <w:spacing w:lineRule="auto" w:line="240" w:before="0" w:after="0"/>
        <w:ind w:firstLine="283" w:start="0" w:end="0"/>
        <w:jc w:val="both"/>
        <w:rPr>
          <w:rFonts w:ascii="Times New Roman" w:hAnsi="Times New Roman" w:eastAsia="Times New Roman" w:cs="Times New Roman"/>
          <w:color w:val="FF0000"/>
          <w:sz w:val="24"/>
          <w:szCs w:val="24"/>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Cs w:val="24"/>
          <w:u w:val="none"/>
          <w:shd w:fill="auto" w:val="clear"/>
          <w:vertAlign w:val="baseline"/>
        </w:rPr>
        <w:t>Este estudo não busca demonstrar mecanismos cardiovasculares, biomarcadores clínicos ou relações causais. Seu propósito é caracterizar alterações transcriptômicas na via de sinalização do hormônio tireoidiano e identificar genes relevantes dentro de uma rede de interação proteína-proteína, gerando hipóteses biológicas para investigações futuras. Foram identificados 29 genes da via SHT diferencialmente expressos no carcinoma de tireoide, com PRKCA apresentando a maior centralidade na rede PPI (grau = 5, betweenness = 0,476), conectando módulos de sinalização intracelular e organização estrutural. Genes com alta significância estatística (MYH6, MYH7, DIO3, CCND1) e genes com elevada centralidade na rede (PRKCA, PLCG1, PLCD4, PRKCG) constituem candidatos prioritários para investigações de validação experimental. A enfermagem de precisão é apresentada como campo potencial de aplicação translacional dos conhecimentos produzidos, e não como desfecho diretamente demonstrado pelos dados.</w:t>
      </w:r>
    </w:p>
    <w:p>
      <w:pPr>
        <w:pStyle w:val="normal1"/>
        <w:keepNext w:val="false"/>
        <w:keepLines w:val="false"/>
        <w:pageBreakBefore w:val="false"/>
        <w:widowControl/>
        <w:spacing w:lineRule="auto" w:line="240" w:before="200" w:after="0"/>
        <w:ind w:hanging="0" w:start="0" w:end="0"/>
        <w:jc w:val="both"/>
        <w:rPr>
          <w:rFonts w:ascii="Times New Roman" w:hAnsi="Times New Roman" w:eastAsia="Times New Roman" w:cs="Times New Roman"/>
          <w:b w:val="false"/>
          <w:bCs w:val="false"/>
          <w:i w:val="false"/>
          <w:iCs w:val="false"/>
          <w:caps w:val="false"/>
          <w:smallCaps w:val="false"/>
          <w:strike w:val="false"/>
          <w:dstrike w:val="false"/>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position w:val="0"/>
          <w:sz w:val="24"/>
          <w:szCs w:val="24"/>
          <w:u w:val="none"/>
          <w:shd w:fill="auto" w:val="clear"/>
          <w:vertAlign w:val="baseline"/>
        </w:rPr>
        <w:t>Agradecimentos</w:t>
      </w:r>
    </w:p>
    <w:p>
      <w:pPr>
        <w:pStyle w:val="normal1"/>
        <w:spacing w:lineRule="auto" w:line="240" w:before="0" w:after="0"/>
        <w:ind w:firstLine="284"/>
        <w:jc w:val="both"/>
        <w:rPr>
          <w:rFonts w:ascii="Times New Roman" w:hAnsi="Times New Roman" w:eastAsia="Times New Roman" w:cs="Times New Roman"/>
          <w:b/>
          <w:bCs/>
          <w:sz w:val="24"/>
          <w:szCs w:val="24"/>
        </w:rPr>
      </w:pPr>
      <w:r>
        <w:rPr>
          <w:rFonts w:eastAsia="Times New Roman" w:cs="Times New Roman" w:ascii="Times New Roman" w:hAnsi="Times New Roman"/>
          <w:b w:val="0"/>
          <w:i w:val="false"/>
          <w:sz w:val="24"/>
          <w:szCs w:val="24"/>
        </w:rPr>
        <w:t>Agradecemos à Escola Técnica Estadual João Barcelos Martins e ao Instituto Federal Fluminense de Educação, Ciência e Tecnologia Campus Campos Guarus pela promoção dessa troca sinérgica.</w:t>
      </w:r>
    </w:p>
    <w:p>
      <w:pPr>
        <w:pStyle w:val="normal1"/>
        <w:keepNext w:val="false"/>
        <w:keepLines w:val="false"/>
        <w:pageBreakBefore w:val="false"/>
        <w:widowControl/>
        <w:spacing w:lineRule="auto" w:line="240" w:before="200" w:after="0"/>
        <w:ind w:hanging="0" w:start="0" w:end="0"/>
        <w:jc w:val="start"/>
        <w:rPr>
          <w:rFonts w:ascii="Times New Roman" w:hAnsi="Times New Roman"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ascii="Times New Roman" w:hAnsi="Times New Roman"/>
          <w:b/>
          <w:bCs/>
          <w:i w:val="false"/>
          <w:iCs w:val="false"/>
          <w:caps w:val="false"/>
          <w:smallCaps w:val="false"/>
          <w:strike w:val="false"/>
          <w:dstrike w:val="false"/>
          <w:color w:val="000000"/>
          <w:position w:val="0"/>
          <w:sz w:val="24"/>
          <w:szCs w:val="24"/>
          <w:u w:val="none"/>
          <w:shd w:fill="auto" w:val="clear"/>
          <w:vertAlign w:val="baseline"/>
        </w:rPr>
        <w:t>Referencias</w:t>
      </w:r>
    </w:p>
    <w:p>
      <w:pPr>
        <w:pStyle w:val="normal1"/>
        <w:keepNext w:val="false"/>
        <w:keepLines w:val="false"/>
        <w:pageBreakBefore w:val="false"/>
        <w:widowControl/>
        <w:spacing w:lineRule="auto" w:line="240" w:before="0" w:after="0"/>
        <w:ind w:hanging="0" w:start="0" w:end="0"/>
        <w:jc w:val="start"/>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[1] LEE, Kenny; ANASTASOPOULOU, Catherine; CHANDRAN, Chandriya; CASSARO, Sebastiano. </w:t>
      </w:r>
      <w:r>
        <w:rPr>
          <w:rFonts w:eastAsia="Times New Roman" w:cs="Times New Roman" w:ascii="Times New Roman" w:hAnsi="Times New Roman"/>
          <w:b/>
          <w:bCs/>
          <w:i/>
          <w:iCs/>
          <w:sz w:val="20"/>
          <w:szCs w:val="20"/>
        </w:rPr>
        <w:t>Thyroid Cancer</w:t>
      </w:r>
      <w:r>
        <w:rPr>
          <w:rFonts w:eastAsia="Times New Roman" w:cs="Times New Roman" w:ascii="Times New Roman" w:hAnsi="Times New Roman"/>
          <w:sz w:val="20"/>
          <w:szCs w:val="20"/>
        </w:rPr>
        <w:t xml:space="preserve">. In: STATPEARLS [Internet]. </w:t>
      </w:r>
      <w:r>
        <w:rPr>
          <w:rFonts w:eastAsia="Times New Roman" w:cs="Times New Roman" w:ascii="Times New Roman" w:hAnsi="Times New Roman"/>
          <w:i/>
          <w:iCs/>
          <w:sz w:val="20"/>
          <w:szCs w:val="20"/>
        </w:rPr>
        <w:t>Treasure Island (FL): StatPearls Publishing</w:t>
      </w:r>
      <w:r>
        <w:rPr>
          <w:rFonts w:eastAsia="Times New Roman" w:cs="Times New Roman" w:ascii="Times New Roman" w:hAnsi="Times New Roman"/>
          <w:sz w:val="20"/>
          <w:szCs w:val="20"/>
        </w:rPr>
        <w:t>, 2023. Disponível em: https://www.ncbi.nlm.nih.gov/books/NBK459299/. Acesso em: 23 jun. 2026.</w:t>
      </w:r>
    </w:p>
    <w:p>
      <w:pPr>
        <w:pStyle w:val="normal1"/>
        <w:keepLines/>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 xml:space="preserve">[2] TSAI, W. H.; ZENG, Y. H.; LEE, C. C.; CHIEN, M. N.; LIU, S. C.; CHIEN, K. L.; CHENG, S. P.; TSENG, P. J.; TSAI, M. C. </w:t>
      </w:r>
      <w:r>
        <w:rPr>
          <w:rFonts w:eastAsia="Times New Roman" w:cs="Times New Roman" w:ascii="Times New Roman" w:hAnsi="Times New Roman"/>
          <w:i/>
          <w:iCs/>
          <w:sz w:val="20"/>
          <w:szCs w:val="20"/>
        </w:rPr>
        <w:t>Association between thyroid cancer and cardiovascular disease: A meta-analysis.</w:t>
      </w:r>
      <w:r>
        <w:rPr>
          <w:rFonts w:eastAsia="Times New Roman" w:cs="Times New Roman" w:ascii="Times New Roman" w:hAnsi="Times New Roman"/>
          <w:sz w:val="20"/>
          <w:szCs w:val="20"/>
        </w:rPr>
        <w:t xml:space="preserve"> </w:t>
      </w:r>
      <w:r>
        <w:rPr>
          <w:rFonts w:eastAsia="Times New Roman" w:cs="Times New Roman" w:ascii="Times New Roman" w:hAnsi="Times New Roman"/>
          <w:b/>
          <w:bCs/>
          <w:i/>
          <w:iCs/>
          <w:sz w:val="20"/>
          <w:szCs w:val="20"/>
        </w:rPr>
        <w:t>Frontiers in Cardiovascular Medicine</w:t>
      </w:r>
      <w:r>
        <w:rPr>
          <w:rFonts w:eastAsia="Times New Roman" w:cs="Times New Roman" w:ascii="Times New Roman" w:hAnsi="Times New Roman"/>
          <w:i/>
          <w:iCs/>
          <w:sz w:val="20"/>
          <w:szCs w:val="20"/>
        </w:rPr>
        <w:t xml:space="preserve">, </w:t>
      </w:r>
      <w:r>
        <w:rPr>
          <w:rFonts w:eastAsia="Times New Roman" w:cs="Times New Roman" w:ascii="Times New Roman" w:hAnsi="Times New Roman"/>
          <w:sz w:val="20"/>
          <w:szCs w:val="20"/>
        </w:rPr>
        <w:t>2023. Disponível em: https://pubmed.ncbi.nlm.nih.gov/36937933/. Acesso em: 21 jun. 2026.</w:t>
      </w:r>
    </w:p>
    <w:p>
      <w:pPr>
        <w:pStyle w:val="normal1"/>
        <w:keepLines/>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t>[3] ZHANG, B.; CHEN, Z.; WANG, Y.; FAN, G.; HE, X. Integrated bioinformatics analysis for the identification of key genes and signaling pathways in thyroid carcinoma. Experimental and Therapeutic Medicine, v. 21, n. 3, artigo 251, 2021. DOI: https://doi.org/10.3892/etm.2021.9682. Disponível em: https://pmc.ncbi.nlm.nih.gov/articles/PMC7885060/. Acesso em: 22 jun. 2026.</w:t>
      </w:r>
    </w:p>
    <w:p>
      <w:pPr>
        <w:pStyle w:val="normal1"/>
        <w:keepNext w:val="false"/>
        <w:keepLines w:val="false"/>
        <w:pageBreakBefore w:val="false"/>
        <w:widowControl/>
        <w:spacing w:lineRule="auto" w:line="240" w:before="0" w:after="0"/>
        <w:ind w:hanging="0" w:start="0" w:end="0"/>
        <w:jc w:val="both"/>
        <w:rPr>
          <w:rFonts w:ascii="Times New Roman" w:hAnsi="Times New Roman" w:eastAsia="Times New Roman" w:cs="Times New Roman"/>
          <w:sz w:val="20"/>
          <w:szCs w:val="20"/>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0"/>
          <w:szCs w:val="20"/>
          <w:u w:val="none"/>
          <w:shd w:fill="auto" w:val="clear"/>
          <w:vertAlign w:val="baseline"/>
        </w:rPr>
        <w:t>[4] FU, M. R.; KURNAT-THOMA, E.; STARKWEATHER, A.; HENDERSON, W. A.; CASHION, A. K.; WILLIAMS, J. K.; KATAPODI, M. C.; REUTER-RICE, K.; HICKEY, K. T.; BARCELONA DE MENDOZA, V.; CALZONE, K.; CONLEY, Y. P.; ANDERSON, C. M.; LYON, D. E.; WEAVER, M. T.; SHIAO, P. K.; CONSTANTINO, R. E.; WUNG, S.-F.; HAMMER, M. J.; VOSS, J. G.; COLEMAN, B. Precision health: a nursing perspective. International Journal of Nursing Sciences, v. 7, n. 1, p. 5–12, 2020. DOI: https://doi.org/10.1016/j.ijnss.2019.12.008. Disponível em: https://pmc.ncbi.nlm.nih.gov/articles/PMC7031154/. Acesso em: 23 jun. 2026.</w:t>
      </w:r>
      <w:hyperlink r:id="rId2">
        <w:r>
          <w:rPr>
            <w:rStyle w:val="Style3"/>
            <w:rFonts w:eastAsia="Times New Roman" w:cs="Times New Roman" w:ascii="Times New Roman" w:hAnsi="Times New Roman"/>
            <w:sz w:val="20"/>
            <w:szCs w:val="20"/>
          </w:rPr>
          <w:t>https://doi.org/10.1016/j.ijnss.2019.12.008</w:t>
        </w:r>
      </w:hyperlink>
    </w:p>
    <w:sectPr>
      <w:headerReference w:type="even" r:id="rId3"/>
      <w:headerReference w:type="default" r:id="rId4"/>
      <w:headerReference w:type="first" r:id="rId5"/>
      <w:type w:val="nextPage"/>
      <w:pgSz w:w="11906" w:h="16838"/>
      <w:pgMar w:left="1701" w:right="1701" w:gutter="0" w:header="0" w:top="1985"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5" behindDoc="1" locked="0" layoutInCell="1" allowOverlap="1">
          <wp:simplePos x="0" y="0"/>
          <wp:positionH relativeFrom="column">
            <wp:posOffset>-1069340</wp:posOffset>
          </wp:positionH>
          <wp:positionV relativeFrom="paragraph">
            <wp:posOffset>635</wp:posOffset>
          </wp:positionV>
          <wp:extent cx="7559040" cy="1325880"/>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7559040" cy="1325880"/>
                  </a:xfrm>
                  <a:prstGeom prst="rect">
                    <a:avLst/>
                  </a:prstGeom>
                  <a:noFill/>
                </pic:spPr>
              </pic:pic>
            </a:graphicData>
          </a:graphic>
        </wp:anchor>
      </w:drawing>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5" behindDoc="1" locked="0" layoutInCell="1" allowOverlap="1">
          <wp:simplePos x="0" y="0"/>
          <wp:positionH relativeFrom="column">
            <wp:posOffset>-1069340</wp:posOffset>
          </wp:positionH>
          <wp:positionV relativeFrom="paragraph">
            <wp:posOffset>635</wp:posOffset>
          </wp:positionV>
          <wp:extent cx="7559040" cy="1325880"/>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7559040" cy="1325880"/>
                  </a:xfrm>
                  <a:prstGeom prst="rect">
                    <a:avLst/>
                  </a:prstGeom>
                  <a:noFill/>
                </pic:spPr>
              </pic:pic>
            </a:graphicData>
          </a:graphic>
        </wp:anchor>
      </w:drawing>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alhoerodap">
    <w:name w:val="Cabeçalho e rodapé"/>
    <w:basedOn w:val="Normal"/>
    <w:qFormat/>
    <w:pPr/>
    <w:rPr/>
  </w:style>
  <w:style w:type="paragraph" w:styleId="Header">
    <w:name w:val="header"/>
    <w:basedOn w:val="Cabealhoerodap"/>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6/j.ijnss.2019.12.008"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pvyQSrEERALGoYKe3d8mbmQa7NA==">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ages>4</Pages>
  <Words>1597</Words>
  <Characters>9877</Characters>
  <CharactersWithSpaces>11446</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2026-06-24T17:54:15Z</dcterms:modified>
  <cp:revision>1</cp:revision>
  <dc:subject/>
  <dc:title/>
</cp:coreProperties>
</file>