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Eixo Tireoide-Coração no Carcinoma de Tireoide e Potenciais Contribuições da Transcriptômica para a Enfermagem de Precisão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sz w:val="20"/>
          <w:szCs w:val="20"/>
          <w:u w:val="single"/>
          <w:rtl w:val="0"/>
        </w:rPr>
        <w:t xml:space="preserve">Freitas, L. M. D</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 Santos, R. P.</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Pereira, T. F. C. 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z w:val="20"/>
          <w:szCs w:val="20"/>
          <w:vertAlign w:val="superscript"/>
          <w:rtl w:val="0"/>
        </w:rPr>
        <w:t xml:space="preserve">1</w:t>
      </w:r>
      <w:r w:rsidDel="00000000" w:rsidR="00000000" w:rsidRPr="00000000">
        <w:rPr>
          <w:rFonts w:ascii="Times New Roman" w:cs="Times New Roman" w:eastAsia="Times New Roman" w:hAnsi="Times New Roman"/>
          <w:i w:val="1"/>
          <w:iCs w:val="1"/>
          <w:sz w:val="20"/>
          <w:szCs w:val="20"/>
          <w:rtl w:val="0"/>
        </w:rPr>
        <w:t xml:space="preserve">Escola Técnica Estadual João Barcelos Martins - ETEJBM/FAETEC</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i w:val="1"/>
          <w:iCs w:val="1"/>
          <w:sz w:val="20"/>
          <w:szCs w:val="20"/>
          <w:rtl w:val="0"/>
        </w:rPr>
        <w:t xml:space="preserve">Instituto Federal de Educação, Ciência e Tecnologia Fluminense - IFF Campus Campos Guarus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i w:val="1"/>
          <w:iCs w:val="1"/>
          <w:sz w:val="20"/>
          <w:szCs w:val="20"/>
          <w:rtl w:val="0"/>
        </w:rPr>
        <w:t xml:space="preserve">leticiamariadiasfreitas@gmail.com</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Este é o modelo de resumo expandido</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(de 2 à 4 páginas) para trabalhos do XIII CONEPE (Congresso de Ensino Pesquisa e Extensão). Este deverá ser escrito num editor de texto à escolha do autor e, após uma criteriosa revisão da língua portuguesa, deve ser submetido na área do usuário no formato pdf. Os arquivos devem ocupar um máximo de 3Mb e devem ser verificados quanto à presença de vírus. Deve-se usar espaçamento simples e formato da letra Times New Roman, tamanho 12. Os títulos devem ser colocados em negrito com a 1ª letra em maiúsculo, conforme modelo, utilizando após cada título ou subtítulo espaçamento simples. Os subtítulos devem utilizar tamanho 12 sublinhado. O trabalho pode ser submetido em português. Este </w:t>
      </w: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shd w:fill="auto" w:val="clear"/>
          <w:vertAlign w:val="baseline"/>
          <w:rtl w:val="0"/>
        </w:rPr>
        <w:t xml:space="preserve">Resumo </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deve ter um único parágrafo, sem recuo de até 150 palavras no tamanho 11, descrevendo de forma sucinta o estudo realizado, enfatizando os resultados obtidos e as conclusões.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Palavras-chave: </w:t>
      </w:r>
      <w:r w:rsidDel="00000000" w:rsidR="00000000" w:rsidRPr="00000000">
        <w:rPr>
          <w:rFonts w:ascii="Times New Roman" w:cs="Times New Roman" w:eastAsia="Times New Roman" w:hAnsi="Times New Roman"/>
          <w:rtl w:val="0"/>
        </w:rPr>
        <w:t xml:space="preserve">Câncer de Tireoide, Doenças </w:t>
      </w:r>
      <w:r w:rsidDel="00000000" w:rsidR="00000000" w:rsidRPr="00000000">
        <w:rPr>
          <w:rFonts w:ascii="Times New Roman" w:cs="Times New Roman" w:eastAsia="Times New Roman" w:hAnsi="Times New Roman"/>
          <w:rtl w:val="0"/>
        </w:rPr>
        <w:t xml:space="preserve">Cardiovasculares, Enfermagem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3.46456692913387"/>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metanálise de Tsai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indica</w:t>
      </w:r>
      <w:r w:rsidDel="00000000" w:rsidR="00000000" w:rsidRPr="00000000">
        <w:rPr>
          <w:rFonts w:ascii="Times New Roman" w:cs="Times New Roman" w:eastAsia="Times New Roman" w:hAnsi="Times New Roman"/>
          <w:sz w:val="24"/>
          <w:szCs w:val="24"/>
          <w:rtl w:val="0"/>
        </w:rPr>
        <w:t xml:space="preserve"> que pacientes com carcinoma de tireoide apresentaram maior risco associado à doenças cerebrovasculares e fibrilação atrial quando comparados à população geral. Foram observados aumentos significativos no risco de doença cerebrovascular (RR = 1,15; IC95%: 1,10–1,21) e fibrilação atrial (RR = 1,59; IC95%: 1,45–1,73), sugerindo uma associação relevante entre o câncer de tireoide e desfechos cardiovasculares adversos. Para tanto, a realização deste estudo baseia-se na premissa de que existe uma interação biológica entre essas afecções e que análises de expressão diferencial podem auxiliar na identificação de biomarcadores e mecanismos moleculares compartilhados, contribuindo para o avanço da saúde de precisão</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(Zhang et al 2020)</w:t>
      </w:r>
      <w:r w:rsidDel="00000000" w:rsidR="00000000" w:rsidRPr="00000000">
        <w:rPr>
          <w:rtl w:val="0"/>
        </w:rPr>
      </w:r>
    </w:p>
    <w:p w:rsidR="00000000" w:rsidDel="00000000" w:rsidP="00000000" w:rsidRDefault="00000000" w:rsidRPr="00000000" w14:paraId="0000000B">
      <w:pPr>
        <w:spacing w:after="0" w:before="0" w:line="240" w:lineRule="auto"/>
        <w:ind w:lef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desse cenário, objetivou-se analisar a expressão diferencial de genes envolvidos na via de sinalização dos hormônios tireoidianos no carcinoma de tireoide, buscando identificar mecanismos moleculares potencialmente compartilhados com a fisiopatologia cardiovascular. Considerando as evidências de maior suscetibilidade a eventos cerebrovasculares e arritmias nesses pacientes, pretende-se investigar se alterações transcriptômicas associadas ao tumor podem contribuir para processos biológicos relacionados ao remodelamento cardiovascular.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Materiais e Métodos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2.1. Materiais</w:t>
      </w:r>
      <w:r w:rsidDel="00000000" w:rsidR="00000000" w:rsidRPr="00000000">
        <w:rPr>
          <w:rtl w:val="0"/>
        </w:rPr>
      </w:r>
    </w:p>
    <w:p w:rsidR="00000000" w:rsidDel="00000000" w:rsidP="00000000" w:rsidRDefault="00000000" w:rsidRPr="00000000" w14:paraId="0000000E">
      <w:pPr>
        <w:spacing w:line="240" w:lineRule="auto"/>
        <w:ind w:lef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Trata-se de um estudo exploratório, baseado em dados secundários, desenvolvido no campo da bioinformática aplicada à oncologia tireoidiana. Os dados de expressão gênica foram obtidos por meio da plataforma UCSC </w:t>
      </w:r>
      <w:r w:rsidDel="00000000" w:rsidR="00000000" w:rsidRPr="00000000">
        <w:rPr>
          <w:rFonts w:ascii="Times New Roman" w:cs="Times New Roman" w:eastAsia="Times New Roman" w:hAnsi="Times New Roman"/>
          <w:i w:val="1"/>
          <w:iCs w:val="1"/>
          <w:sz w:val="24"/>
          <w:szCs w:val="24"/>
          <w:rtl w:val="0"/>
        </w:rPr>
        <w:t xml:space="preserve">Xena Browser</w:t>
      </w:r>
      <w:r w:rsidDel="00000000" w:rsidR="00000000" w:rsidRPr="00000000">
        <w:rPr>
          <w:rFonts w:ascii="Times New Roman" w:cs="Times New Roman" w:eastAsia="Times New Roman" w:hAnsi="Times New Roman"/>
          <w:sz w:val="24"/>
          <w:szCs w:val="24"/>
          <w:rtl w:val="0"/>
        </w:rPr>
        <w:t xml:space="preserve">, utilizando o conjunto integrado TCGA-GTEx, disponibilizado em escala log2. A análise de expressão diferencial foi conduzida com o pacote </w:t>
      </w:r>
      <w:r w:rsidDel="00000000" w:rsidR="00000000" w:rsidRPr="00000000">
        <w:rPr>
          <w:rFonts w:ascii="Times New Roman" w:cs="Times New Roman" w:eastAsia="Times New Roman" w:hAnsi="Times New Roman"/>
          <w:i w:val="1"/>
          <w:iCs w:val="1"/>
          <w:sz w:val="24"/>
          <w:szCs w:val="24"/>
          <w:rtl w:val="0"/>
        </w:rPr>
        <w:t xml:space="preserve">limma</w:t>
      </w:r>
      <w:r w:rsidDel="00000000" w:rsidR="00000000" w:rsidRPr="00000000">
        <w:rPr>
          <w:rFonts w:ascii="Times New Roman" w:cs="Times New Roman" w:eastAsia="Times New Roman" w:hAnsi="Times New Roman"/>
          <w:sz w:val="24"/>
          <w:szCs w:val="24"/>
          <w:rtl w:val="0"/>
        </w:rPr>
        <w:t xml:space="preserve">, considerando como critérios de significância estatística valor de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ajustado pelo método de Benjamini-Hochberg inferior a 0,05 e |log2 Fold Change| &gt; 1. Foram comparadas amostras de carcinoma papilífero da tireoide provenientes do projeto TCGA com amostras de tecido tireoidiano normal oriundas do GTEx. As interações entre as proteínas codificadas pelos genes diferencialmente expressos foram investigadas por meio do banco de dados STRING, adotando-se escore mínimo de confiança de 0,700. Os resultados foram representados graficamente por meio de </w:t>
      </w:r>
      <w:r w:rsidDel="00000000" w:rsidR="00000000" w:rsidRPr="00000000">
        <w:rPr>
          <w:rFonts w:ascii="Times New Roman" w:cs="Times New Roman" w:eastAsia="Times New Roman" w:hAnsi="Times New Roman"/>
          <w:i w:val="1"/>
          <w:iCs w:val="1"/>
          <w:sz w:val="24"/>
          <w:szCs w:val="24"/>
          <w:rtl w:val="0"/>
        </w:rPr>
        <w:t xml:space="preserve">volcano plot</w:t>
      </w:r>
      <w:r w:rsidDel="00000000" w:rsidR="00000000" w:rsidRPr="00000000">
        <w:rPr>
          <w:rFonts w:ascii="Times New Roman" w:cs="Times New Roman" w:eastAsia="Times New Roman" w:hAnsi="Times New Roman"/>
          <w:sz w:val="24"/>
          <w:szCs w:val="24"/>
          <w:rtl w:val="0"/>
        </w:rPr>
        <w:t xml:space="preserve"> e rede de interação proteína-proteína (</w:t>
      </w:r>
      <w:r w:rsidDel="00000000" w:rsidR="00000000" w:rsidRPr="00000000">
        <w:rPr>
          <w:rFonts w:ascii="Times New Roman" w:cs="Times New Roman" w:eastAsia="Times New Roman" w:hAnsi="Times New Roman"/>
          <w:i w:val="1"/>
          <w:iCs w:val="1"/>
          <w:sz w:val="24"/>
          <w:szCs w:val="24"/>
          <w:rtl w:val="0"/>
        </w:rPr>
        <w:t xml:space="preserve">protein-protein interaction network</w:t>
      </w:r>
      <w:r w:rsidDel="00000000" w:rsidR="00000000" w:rsidRPr="00000000">
        <w:rPr>
          <w:rFonts w:ascii="Times New Roman" w:cs="Times New Roman" w:eastAsia="Times New Roman" w:hAnsi="Times New Roman"/>
          <w:sz w:val="24"/>
          <w:szCs w:val="24"/>
          <w:rtl w:val="0"/>
        </w:rPr>
        <w:t xml:space="preserve">, PPI).</w:t>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2.2.  Metodologia</w:t>
      </w:r>
    </w:p>
    <w:p w:rsidR="00000000" w:rsidDel="00000000" w:rsidP="00000000" w:rsidRDefault="00000000" w:rsidRPr="00000000" w14:paraId="00000010">
      <w:pPr>
        <w:spacing w:line="240" w:lineRule="auto"/>
        <w:ind w:lef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transcriptômicos foram obtidos na plataforma UCSC </w:t>
      </w:r>
      <w:r w:rsidDel="00000000" w:rsidR="00000000" w:rsidRPr="00000000">
        <w:rPr>
          <w:rFonts w:ascii="Times New Roman" w:cs="Times New Roman" w:eastAsia="Times New Roman" w:hAnsi="Times New Roman"/>
          <w:i w:val="1"/>
          <w:iCs w:val="1"/>
          <w:sz w:val="24"/>
          <w:szCs w:val="24"/>
          <w:rtl w:val="0"/>
        </w:rPr>
        <w:t xml:space="preserve">Xena Browser</w:t>
      </w:r>
      <w:r w:rsidDel="00000000" w:rsidR="00000000" w:rsidRPr="00000000">
        <w:rPr>
          <w:rFonts w:ascii="Times New Roman" w:cs="Times New Roman" w:eastAsia="Times New Roman" w:hAnsi="Times New Roman"/>
          <w:sz w:val="24"/>
          <w:szCs w:val="24"/>
          <w:rtl w:val="0"/>
        </w:rPr>
        <w:t xml:space="preserve"> a partir do conjunto integrado TCGA-GTEx referente ao carcinoma de tireoide (THCA), disponível em repositório público de livre acesso. A variável </w:t>
      </w:r>
      <w:r w:rsidDel="00000000" w:rsidR="00000000" w:rsidRPr="00000000">
        <w:rPr>
          <w:rFonts w:ascii="Times New Roman" w:cs="Times New Roman" w:eastAsia="Times New Roman" w:hAnsi="Times New Roman"/>
          <w:i w:val="1"/>
          <w:iCs w:val="1"/>
          <w:sz w:val="24"/>
          <w:szCs w:val="24"/>
          <w:rtl w:val="0"/>
        </w:rPr>
        <w:t xml:space="preserve">TCGA_GTEX_main_category</w:t>
      </w:r>
      <w:r w:rsidDel="00000000" w:rsidR="00000000" w:rsidRPr="00000000">
        <w:rPr>
          <w:rFonts w:ascii="Times New Roman" w:cs="Times New Roman" w:eastAsia="Times New Roman" w:hAnsi="Times New Roman"/>
          <w:sz w:val="24"/>
          <w:szCs w:val="24"/>
          <w:rtl w:val="0"/>
        </w:rPr>
        <w:t xml:space="preserve"> foi utilizada para a estratificação biológica das amostras, distinguindo tecido tireoidiano normal proveniente do projeto </w:t>
      </w:r>
      <w:r w:rsidDel="00000000" w:rsidR="00000000" w:rsidRPr="00000000">
        <w:rPr>
          <w:rFonts w:ascii="Times New Roman" w:cs="Times New Roman" w:eastAsia="Times New Roman" w:hAnsi="Times New Roman"/>
          <w:sz w:val="24"/>
          <w:szCs w:val="24"/>
          <w:rtl w:val="0"/>
        </w:rPr>
        <w:t xml:space="preserve">GTEx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GTEX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Thyroid</w:t>
      </w:r>
      <w:r w:rsidDel="00000000" w:rsidR="00000000" w:rsidRPr="00000000">
        <w:rPr>
          <w:rFonts w:ascii="Times New Roman" w:cs="Times New Roman" w:eastAsia="Times New Roman" w:hAnsi="Times New Roman"/>
          <w:sz w:val="24"/>
          <w:szCs w:val="24"/>
          <w:rtl w:val="0"/>
        </w:rPr>
        <w:t xml:space="preserve">) e tecido tumoral oriundo do TCGA (</w:t>
      </w:r>
      <w:r w:rsidDel="00000000" w:rsidR="00000000" w:rsidRPr="00000000">
        <w:rPr>
          <w:rFonts w:ascii="Times New Roman" w:cs="Times New Roman" w:eastAsia="Times New Roman" w:hAnsi="Times New Roman"/>
          <w:i w:val="1"/>
          <w:iCs w:val="1"/>
          <w:sz w:val="24"/>
          <w:szCs w:val="24"/>
          <w:rtl w:val="0"/>
        </w:rPr>
        <w:t xml:space="preserve">TCGA Thyroid Carcinoma</w:t>
      </w:r>
      <w:r w:rsidDel="00000000" w:rsidR="00000000" w:rsidRPr="00000000">
        <w:rPr>
          <w:rFonts w:ascii="Times New Roman" w:cs="Times New Roman" w:eastAsia="Times New Roman" w:hAnsi="Times New Roman"/>
          <w:sz w:val="24"/>
          <w:szCs w:val="24"/>
          <w:rtl w:val="0"/>
        </w:rPr>
        <w:t xml:space="preserve">). Os genes pertencentes à via de sinalização dos hormônios tireoidianos foram identificados a partir da </w:t>
      </w:r>
      <w:r w:rsidDel="00000000" w:rsidR="00000000" w:rsidRPr="00000000">
        <w:rPr>
          <w:rFonts w:ascii="Times New Roman" w:cs="Times New Roman" w:eastAsia="Times New Roman" w:hAnsi="Times New Roman"/>
          <w:i w:val="1"/>
          <w:iCs w:val="1"/>
          <w:sz w:val="24"/>
          <w:szCs w:val="24"/>
          <w:rtl w:val="0"/>
        </w:rPr>
        <w:t xml:space="preserve">Kyoto Encyclopedia of Genes and Genomes </w:t>
      </w:r>
      <w:r w:rsidDel="00000000" w:rsidR="00000000" w:rsidRPr="00000000">
        <w:rPr>
          <w:rFonts w:ascii="Times New Roman" w:cs="Times New Roman" w:eastAsia="Times New Roman" w:hAnsi="Times New Roman"/>
          <w:sz w:val="24"/>
          <w:szCs w:val="24"/>
          <w:rtl w:val="0"/>
        </w:rPr>
        <w:t xml:space="preserve">(KEGG), especificamente da via de sinalização do hormônio tireoidiano (SHT) (hsa04919). A recuperação das informações biológicas da via foi realizada por meio da interface de programação de aplicações (API) da KEGG. Todas as etapas de processamento e análise foram executadas no ambiente R. O pacote </w:t>
      </w:r>
      <w:r w:rsidDel="00000000" w:rsidR="00000000" w:rsidRPr="00000000">
        <w:rPr>
          <w:rFonts w:ascii="Times New Roman" w:cs="Times New Roman" w:eastAsia="Times New Roman" w:hAnsi="Times New Roman"/>
          <w:i w:val="1"/>
          <w:iCs w:val="1"/>
          <w:sz w:val="24"/>
          <w:szCs w:val="24"/>
          <w:rtl w:val="0"/>
        </w:rPr>
        <w:t xml:space="preserve">KEGGREST</w:t>
      </w:r>
      <w:r w:rsidDel="00000000" w:rsidR="00000000" w:rsidRPr="00000000">
        <w:rPr>
          <w:rFonts w:ascii="Times New Roman" w:cs="Times New Roman" w:eastAsia="Times New Roman" w:hAnsi="Times New Roman"/>
          <w:sz w:val="24"/>
          <w:szCs w:val="24"/>
          <w:rtl w:val="0"/>
        </w:rPr>
        <w:t xml:space="preserve"> foi empregado para consulta e extração dos genes associados à via metabólica investigada; </w:t>
      </w:r>
      <w:r w:rsidDel="00000000" w:rsidR="00000000" w:rsidRPr="00000000">
        <w:rPr>
          <w:rFonts w:ascii="Times New Roman" w:cs="Times New Roman" w:eastAsia="Times New Roman" w:hAnsi="Times New Roman"/>
          <w:i w:val="1"/>
          <w:iCs w:val="1"/>
          <w:sz w:val="24"/>
          <w:szCs w:val="24"/>
          <w:rtl w:val="0"/>
        </w:rPr>
        <w:t xml:space="preserve">rio</w:t>
      </w:r>
      <w:r w:rsidDel="00000000" w:rsidR="00000000" w:rsidRPr="00000000">
        <w:rPr>
          <w:rFonts w:ascii="Times New Roman" w:cs="Times New Roman" w:eastAsia="Times New Roman" w:hAnsi="Times New Roman"/>
          <w:sz w:val="24"/>
          <w:szCs w:val="24"/>
          <w:rtl w:val="0"/>
        </w:rPr>
        <w:t xml:space="preserve"> para importação dos arquivos de entrada; </w:t>
      </w:r>
      <w:r w:rsidDel="00000000" w:rsidR="00000000" w:rsidRPr="00000000">
        <w:rPr>
          <w:rFonts w:ascii="Times New Roman" w:cs="Times New Roman" w:eastAsia="Times New Roman" w:hAnsi="Times New Roman"/>
          <w:i w:val="1"/>
          <w:iCs w:val="1"/>
          <w:sz w:val="24"/>
          <w:szCs w:val="24"/>
          <w:rtl w:val="0"/>
        </w:rPr>
        <w:t xml:space="preserve">limma</w:t>
      </w:r>
      <w:r w:rsidDel="00000000" w:rsidR="00000000" w:rsidRPr="00000000">
        <w:rPr>
          <w:rFonts w:ascii="Times New Roman" w:cs="Times New Roman" w:eastAsia="Times New Roman" w:hAnsi="Times New Roman"/>
          <w:sz w:val="24"/>
          <w:szCs w:val="24"/>
          <w:rtl w:val="0"/>
        </w:rPr>
        <w:t xml:space="preserve"> para análise de expressão diferencial; </w:t>
      </w:r>
      <w:r w:rsidDel="00000000" w:rsidR="00000000" w:rsidRPr="00000000">
        <w:rPr>
          <w:rFonts w:ascii="Times New Roman" w:cs="Times New Roman" w:eastAsia="Times New Roman" w:hAnsi="Times New Roman"/>
          <w:i w:val="1"/>
          <w:iCs w:val="1"/>
          <w:sz w:val="24"/>
          <w:szCs w:val="24"/>
          <w:rtl w:val="0"/>
        </w:rPr>
        <w:t xml:space="preserve">dplyr</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tibble</w:t>
      </w:r>
      <w:r w:rsidDel="00000000" w:rsidR="00000000" w:rsidRPr="00000000">
        <w:rPr>
          <w:rFonts w:ascii="Times New Roman" w:cs="Times New Roman" w:eastAsia="Times New Roman" w:hAnsi="Times New Roman"/>
          <w:sz w:val="24"/>
          <w:szCs w:val="24"/>
          <w:rtl w:val="0"/>
        </w:rPr>
        <w:t xml:space="preserve"> para manipulação e organização dos dados; </w:t>
      </w:r>
      <w:r w:rsidDel="00000000" w:rsidR="00000000" w:rsidRPr="00000000">
        <w:rPr>
          <w:rFonts w:ascii="Times New Roman" w:cs="Times New Roman" w:eastAsia="Times New Roman" w:hAnsi="Times New Roman"/>
          <w:i w:val="1"/>
          <w:iCs w:val="1"/>
          <w:sz w:val="24"/>
          <w:szCs w:val="24"/>
          <w:rtl w:val="0"/>
        </w:rPr>
        <w:t xml:space="preserve">stringr</w:t>
      </w:r>
      <w:r w:rsidDel="00000000" w:rsidR="00000000" w:rsidRPr="00000000">
        <w:rPr>
          <w:rFonts w:ascii="Times New Roman" w:cs="Times New Roman" w:eastAsia="Times New Roman" w:hAnsi="Times New Roman"/>
          <w:sz w:val="24"/>
          <w:szCs w:val="24"/>
          <w:rtl w:val="0"/>
        </w:rPr>
        <w:t xml:space="preserve"> para padronização e processamento dos símbolos </w:t>
      </w:r>
      <w:r w:rsidDel="00000000" w:rsidR="00000000" w:rsidRPr="00000000">
        <w:rPr>
          <w:rFonts w:ascii="Times New Roman" w:cs="Times New Roman" w:eastAsia="Times New Roman" w:hAnsi="Times New Roman"/>
          <w:sz w:val="24"/>
          <w:szCs w:val="24"/>
          <w:rtl w:val="0"/>
        </w:rPr>
        <w:t xml:space="preserve">gênicos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STRINGdb</w:t>
      </w:r>
      <w:r w:rsidDel="00000000" w:rsidR="00000000" w:rsidRPr="00000000">
        <w:rPr>
          <w:rFonts w:ascii="Times New Roman" w:cs="Times New Roman" w:eastAsia="Times New Roman" w:hAnsi="Times New Roman"/>
          <w:sz w:val="24"/>
          <w:szCs w:val="24"/>
          <w:rtl w:val="0"/>
        </w:rPr>
        <w:t xml:space="preserve"> para obtenção das interações proteína-proteína; </w:t>
      </w:r>
      <w:r w:rsidDel="00000000" w:rsidR="00000000" w:rsidRPr="00000000">
        <w:rPr>
          <w:rFonts w:ascii="Times New Roman" w:cs="Times New Roman" w:eastAsia="Times New Roman" w:hAnsi="Times New Roman"/>
          <w:i w:val="1"/>
          <w:iCs w:val="1"/>
          <w:sz w:val="24"/>
          <w:szCs w:val="24"/>
          <w:rtl w:val="0"/>
        </w:rPr>
        <w:t xml:space="preserve">igraph</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ggraph</w:t>
      </w:r>
      <w:r w:rsidDel="00000000" w:rsidR="00000000" w:rsidRPr="00000000">
        <w:rPr>
          <w:rFonts w:ascii="Times New Roman" w:cs="Times New Roman" w:eastAsia="Times New Roman" w:hAnsi="Times New Roman"/>
          <w:sz w:val="24"/>
          <w:szCs w:val="24"/>
          <w:rtl w:val="0"/>
        </w:rPr>
        <w:t xml:space="preserve"> para construção e visualização da rede PPI; e </w:t>
      </w:r>
      <w:r w:rsidDel="00000000" w:rsidR="00000000" w:rsidRPr="00000000">
        <w:rPr>
          <w:rFonts w:ascii="Times New Roman" w:cs="Times New Roman" w:eastAsia="Times New Roman" w:hAnsi="Times New Roman"/>
          <w:i w:val="1"/>
          <w:iCs w:val="1"/>
          <w:sz w:val="24"/>
          <w:szCs w:val="24"/>
          <w:rtl w:val="0"/>
        </w:rPr>
        <w:t xml:space="preserve">ggplot2</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ggrepel</w:t>
      </w:r>
      <w:r w:rsidDel="00000000" w:rsidR="00000000" w:rsidRPr="00000000">
        <w:rPr>
          <w:rFonts w:ascii="Times New Roman" w:cs="Times New Roman" w:eastAsia="Times New Roman" w:hAnsi="Times New Roman"/>
          <w:sz w:val="24"/>
          <w:szCs w:val="24"/>
          <w:rtl w:val="0"/>
        </w:rPr>
        <w:t xml:space="preserve"> para elaboração do </w:t>
      </w:r>
      <w:r w:rsidDel="00000000" w:rsidR="00000000" w:rsidRPr="00000000">
        <w:rPr>
          <w:rFonts w:ascii="Times New Roman" w:cs="Times New Roman" w:eastAsia="Times New Roman" w:hAnsi="Times New Roman"/>
          <w:i w:val="1"/>
          <w:iCs w:val="1"/>
          <w:sz w:val="24"/>
          <w:szCs w:val="24"/>
          <w:rtl w:val="0"/>
        </w:rPr>
        <w:t xml:space="preserve">volcano plot</w:t>
      </w:r>
      <w:r w:rsidDel="00000000" w:rsidR="00000000" w:rsidRPr="00000000">
        <w:rPr>
          <w:rFonts w:ascii="Times New Roman" w:cs="Times New Roman" w:eastAsia="Times New Roman" w:hAnsi="Times New Roman"/>
          <w:sz w:val="24"/>
          <w:szCs w:val="24"/>
          <w:rtl w:val="0"/>
        </w:rPr>
        <w:t xml:space="preserve"> e demais representações gráficas. Utilizou-se o apoio de agentes de inteligência artificial especializados em programação, incluindo Codex (OpenAI) e DeepSeek-V4-Pro (DeepSeek AI), para auxiliar no desenvolvimento e revisão dos códigos empregados nas análises, bem como para a execução de ajustes finos.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Resultados e Discussão</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Foram identificados 29 genes diferencialmente expressos (DEGs) da via SHT na comparação entre THCA e GTEx. Após a seleção dos genes com maior significância estatística, suas funções biológicas foram pesquisadas no STRING. Entre os genes subexpressos, destacaram-se MYH7 (log2FC = −5,59; FDR = 7,26e−224), DIO3 (log2FC = −4,97; FDR = 4,44e−168), ATP2A1 (log2FC = −2,83; FDR = 1,27e−169) e MYH6 (log2FC = −4,42; FDR = 1,51e−157). O gene MYH7 codifica a cadeia pesada da miosina-7, associada à contração muscular e à atividade ATPase dependente de actina. DIO3 participa do metabolismo dos hormônios tireoidianos por meio da inativação de iodotironinas. ATP2A1 (SERCA1) está relacionado ao transporte de íons cálcio e à regulação da homeostase intracelular de cálcio no músculo esquelético. MYH6 codifica a cadeia pesada da miosina-6 (alfa), isoforma predominante no átrio cardíaco. Em contrapartida, os genes superexpressos CCND1 (log2FC = +2,65; FDR = 1,03e−214) e RXRG (log2FC = +5,28; FDR = 3,26e−149) estão envolvidos, respectivamente, na regulação do ciclo celular e em mecanismos de regulação transcricional mediados por receptores nucleares.</w:t>
      </w:r>
      <w:r w:rsidDel="00000000" w:rsidR="00000000" w:rsidRPr="00000000">
        <w:rPr>
          <w:rtl w:val="0"/>
        </w:rPr>
      </w:r>
    </w:p>
    <w:p w:rsidR="00000000" w:rsidDel="00000000" w:rsidP="00000000" w:rsidRDefault="00000000" w:rsidRPr="00000000" w14:paraId="00000013">
      <w:pPr>
        <w:spacing w:after="0" w:before="0" w:line="240" w:lineRule="auto"/>
        <w:ind w:left="0" w:firstLine="283.464566929133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Outrossim, a construção da rede PPI permitiu identificar oito genes organizados em dois módulos biológicos distintos. O Módulo 1 foi composto por PRKCA (log2FC = −1,02; FDR = 5,97e−38), PRKCG (log2FC = −1,05; FDR = 1,92e−30), PLCG1 (log2FC = −1,43; FDR = 5,77e−141), PLCD3 (log2FC = +2,38; FDR = 1,19e−95), PLCD4 (log2FC = −1,53; FDR = 2,89e−71) e PIK3R2 (log2FC = +1,34; FDR = 1,80e−14), formando uma rede densamente conectada associada a componentes centrais da transdução de sinais intracelulares. O Módulo 2 foi constituído por ACTG1 (log2FC = +1,41; FDR = 1,72e−119) e ITGAV (log2FC = +1,03; FDR = 3,52e−55), apresentando menor conectividade e ligação indireta com o módulo principal. Entre os genes identificados, PRKCA destacou-se como principal gene hub da rede (grau = 5, betweenness = 0,476), exibindo o maior número de interações e atuando como elo funcional entre os dois módulos. A elevada conectividade observada entre PRKCA, PRKCG, PLCG1, PLCD3 e PLCD4 sugere a participação coordenada desses genes em mecanismos de sinalização celular mediados por fosfolipases e proteínas quinase C, enquanto ACTG1 e ITGAV compõem um módulo secundário relacionado à organização estrutural celular e às interações célula-matriz.</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Conclusões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Os resultados demonstram que o carcinoma de tireoide promove uma desregulação transcricional significativa na via de sinalização do hormônio tireoidiano (hsa04919), com impactos moleculares diretos sobre o sistema cardiovascular. Os genes suprimidos no tumor, particularmente MYH7 (log2FC = −5,59; FDR = 7,26e−224), ATP2A1 (log2FC = −2,83; FDR = 1,27e−169), MYH6 (log2FC = −4,42; FDR = 1,51e−157) e PLN (log2FC = −2,29; FDR = 5,94e−97), evidenciam um comprometimento coordenado da maquinaria contrátil cardíaca, da homeostase do cálcio intracelular e do relaxamento miocárdico. A supressão adicional de DIO3 (log2FC = −4,97; FDR = 4,44e−168) e DIO1 (log2FC = −2,60; FDR = 2,44e−27) sugere uma desregulação do metabolismo periférico dos hormônios tireoidianos, com potencial impacto sistêmico sobre a função cardiovascular. Em contrapartida, os genes superexpressos CCND1 (log2FC = +2,65; FDR = 1,03e−214) e PIK3R2 (log2FC = +1,34; FDR = 1,80e−14) apontam para a ativação de vias de proliferação celular; STAT1 (log2FC = +1,57; FDR = 5,77e−73) sugere um ambiente pró-inflamatório e de escape à vigilância imune; e ITGAV (log2FC = +1,03; FDR = 3,52e−55) indica remodelamento vascular e alterações nas interações célula-matriz extracelular. Em síntese, infere-se que a identificação de genes diferencialmente expressos com relevância cardiovascular poderá orientar a elaboração de diagnósticos de enfermagem mais sensíveis às particularidades moleculares do paciente oncológico, favorecendo o desenvolvimento de protocolos de vigilância clínica individualizados e fortalecendo a atuação do enfermeiro na detecção precoce de complicações cardiovasculares em portadores de câncer de tireoide no Brasil.</w:t>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color w:val="ff0000"/>
          <w:sz w:val="24"/>
          <w:szCs w:val="24"/>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Agradecimentos</w:t>
      </w:r>
      <w:r w:rsidDel="00000000" w:rsidR="00000000" w:rsidRPr="00000000">
        <w:rPr>
          <w:rtl w:val="0"/>
        </w:rPr>
      </w:r>
    </w:p>
    <w:p w:rsidR="00000000" w:rsidDel="00000000" w:rsidP="00000000" w:rsidRDefault="00000000" w:rsidRPr="00000000" w14:paraId="00000017">
      <w:pPr>
        <w:spacing w:after="0" w:line="24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Agradecemos à Escola Técnica Estadual João Barcelos Martins e ao Instituto Federal Fluminense de Educação, Ciência e Tecnologia Campus Campos Guarus pela promoção dessa troca sinérgica.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[1] SOUZA, M. A. M.; PARDINI, L. C. Identificação do Tipo de Carbono Pirolítico por Meio da Técnica do Ângulo de Extinção. In: V SCTI 2016 - </w:t>
      </w: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Simpósio de Ciência e Tecnologia do Instituto de Estudos Avançados</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2016, São José dos Campos. V SCTI 2016, 2016.</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[2] HOKAO, M. et al. Friction and wear properties of graphite/glassy carbon composites. </w:t>
      </w: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Wear</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v. 237, n. 1, p. 54-62, Jan. 2000.</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sz w:val="20"/>
          <w:szCs w:val="20"/>
          <w:rtl w:val="0"/>
        </w:rPr>
        <w:t xml:space="preserve">LOPES JÚNIOR, L. C. Precision Nursing: The Personalized Future of Care and Revolution in Clinical Practice. </w:t>
      </w:r>
      <w:r w:rsidDel="00000000" w:rsidR="00000000" w:rsidRPr="00000000">
        <w:rPr>
          <w:rFonts w:ascii="Times New Roman" w:cs="Times New Roman" w:eastAsia="Times New Roman" w:hAnsi="Times New Roman"/>
          <w:b w:val="1"/>
          <w:bCs w:val="1"/>
          <w:sz w:val="20"/>
          <w:szCs w:val="20"/>
          <w:rtl w:val="0"/>
        </w:rPr>
        <w:t xml:space="preserve">Rev. Bras. Enferm.</w:t>
      </w:r>
      <w:r w:rsidDel="00000000" w:rsidR="00000000" w:rsidRPr="00000000">
        <w:rPr>
          <w:rFonts w:ascii="Times New Roman" w:cs="Times New Roman" w:eastAsia="Times New Roman" w:hAnsi="Times New Roman"/>
          <w:sz w:val="20"/>
          <w:szCs w:val="20"/>
          <w:rtl w:val="0"/>
        </w:rPr>
        <w:t xml:space="preserve">, 2025. Disponível em: </w:t>
      </w:r>
      <w:r w:rsidDel="00000000" w:rsidR="00000000" w:rsidRPr="00000000">
        <w:rPr>
          <w:rFonts w:ascii="Times New Roman" w:cs="Times New Roman" w:eastAsia="Times New Roman" w:hAnsi="Times New Roman"/>
          <w:sz w:val="20"/>
          <w:szCs w:val="20"/>
          <w:rtl w:val="0"/>
        </w:rPr>
        <w:t xml:space="preserve">https://www.scielo.br/j/reben/a/GvGdBBkRkTM9VHbKvgsJYmy/?lang=pt</w:t>
      </w:r>
      <w:r w:rsidDel="00000000" w:rsidR="00000000" w:rsidRPr="00000000">
        <w:rPr>
          <w:rFonts w:ascii="Times New Roman" w:cs="Times New Roman" w:eastAsia="Times New Roman" w:hAnsi="Times New Roman"/>
          <w:sz w:val="20"/>
          <w:szCs w:val="20"/>
          <w:rtl w:val="0"/>
        </w:rPr>
        <w:t xml:space="preserve">. Acesso em: 16 jun. 2026.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KRANIAS, E. G.; HAJJAR, R. J. </w:t>
      </w:r>
      <w:r w:rsidDel="00000000" w:rsidR="00000000" w:rsidRPr="00000000">
        <w:rPr>
          <w:rFonts w:ascii="Times New Roman" w:cs="Times New Roman" w:eastAsia="Times New Roman" w:hAnsi="Times New Roman"/>
          <w:i w:val="1"/>
          <w:iCs w:val="1"/>
          <w:sz w:val="20"/>
          <w:szCs w:val="20"/>
          <w:rtl w:val="0"/>
        </w:rPr>
        <w:t xml:space="preserve">Modulation of cardiac contractility by the phospholamban/SERCA2a regulatome.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Circulation Research</w:t>
      </w:r>
      <w:r w:rsidDel="00000000" w:rsidR="00000000" w:rsidRPr="00000000">
        <w:rPr>
          <w:rFonts w:ascii="Times New Roman" w:cs="Times New Roman" w:eastAsia="Times New Roman" w:hAnsi="Times New Roman"/>
          <w:sz w:val="20"/>
          <w:szCs w:val="20"/>
          <w:rtl w:val="0"/>
        </w:rPr>
        <w:t xml:space="preserve">, Dallas, v. 110, n. 12, p. 1646-1660, 2012. Disponível em: https://doi.org/10.1161/CIRCRESAHA.111.259754. Acesso em: 22 jun. 2026.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color w:val="1b1b1b"/>
          <w:sz w:val="20"/>
          <w:szCs w:val="20"/>
        </w:rPr>
      </w:pPr>
      <w:r w:rsidDel="00000000" w:rsidR="00000000" w:rsidRPr="00000000">
        <w:rPr>
          <w:rFonts w:ascii="Times New Roman" w:cs="Times New Roman" w:eastAsia="Times New Roman" w:hAnsi="Times New Roman"/>
          <w:sz w:val="20"/>
          <w:szCs w:val="20"/>
          <w:rtl w:val="0"/>
        </w:rPr>
        <w:t xml:space="preserve">[5] CARRIER, L.; MEARINI, G.; STATHOPOULOU, K.; CUELLO, F. </w:t>
      </w:r>
      <w:r w:rsidDel="00000000" w:rsidR="00000000" w:rsidRPr="00000000">
        <w:rPr>
          <w:rFonts w:ascii="Times New Roman" w:cs="Times New Roman" w:eastAsia="Times New Roman" w:hAnsi="Times New Roman"/>
          <w:i w:val="1"/>
          <w:iCs w:val="1"/>
          <w:sz w:val="20"/>
          <w:szCs w:val="20"/>
          <w:rtl w:val="0"/>
        </w:rPr>
        <w:t xml:space="preserve">Cardiac myosin-binding protein C (MYBPC3) in cardiac pathophysiology.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Gene, Amsterdam</w:t>
      </w:r>
      <w:r w:rsidDel="00000000" w:rsidR="00000000" w:rsidRPr="00000000">
        <w:rPr>
          <w:rFonts w:ascii="Times New Roman" w:cs="Times New Roman" w:eastAsia="Times New Roman" w:hAnsi="Times New Roman"/>
          <w:sz w:val="20"/>
          <w:szCs w:val="20"/>
          <w:rtl w:val="0"/>
        </w:rPr>
        <w:t xml:space="preserve">, v. 573, n. 2, p. 188-197, 2015.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Disponível em: </w:t>
      </w:r>
      <w:r w:rsidDel="00000000" w:rsidR="00000000" w:rsidRPr="00000000">
        <w:rPr>
          <w:rFonts w:ascii="Times New Roman" w:cs="Times New Roman" w:eastAsia="Times New Roman" w:hAnsi="Times New Roman"/>
          <w:sz w:val="20"/>
          <w:szCs w:val="20"/>
          <w:rtl w:val="0"/>
        </w:rPr>
        <w:t xml:space="preserve">https://pmc.ncbi.nlm.nih.gov/articles/PMC6660134/</w:t>
      </w:r>
      <w:r w:rsidDel="00000000" w:rsidR="00000000" w:rsidRPr="00000000">
        <w:rPr>
          <w:rFonts w:ascii="Times New Roman" w:cs="Times New Roman" w:eastAsia="Times New Roman" w:hAnsi="Times New Roman"/>
          <w:sz w:val="20"/>
          <w:szCs w:val="20"/>
          <w:rtl w:val="0"/>
        </w:rPr>
        <w:t xml:space="preserve">. Acesso em: 16 jun. 2026.</w:t>
      </w:r>
      <w:r w:rsidDel="00000000" w:rsidR="00000000" w:rsidRPr="00000000">
        <w:rPr>
          <w:rtl w:val="0"/>
        </w:rPr>
      </w:r>
    </w:p>
    <w:sectPr>
      <w:headerReference r:id="rId7" w:type="default"/>
      <w:pgSz w:h="16838" w:w="11906" w:orient="portrait"/>
      <w:pgMar w:bottom="1134" w:top="1985"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-1069339</wp:posOffset>
          </wp:positionH>
          <wp:positionV relativeFrom="paragraph">
            <wp:posOffset>0</wp:posOffset>
          </wp:positionV>
          <wp:extent cx="7559040" cy="132588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9040" cy="1325880"/>
                  </a:xfrm>
                  <a:prstGeom prst="rect"/>
                  <a:ln/>
                </pic:spPr>
              </pic:pic>
            </a:graphicData>
          </a:graphic>
        </wp:anchor>
      </w:draw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NuXQ6EVUddkN43yEnG89bm+MQ==">CgMxLjA4AHIhMTlFTDU4RnJTblpHZ2pFUGRQTzJ4N09tR1JLdXFHVWJ3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