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i w:val="0"/>
          <w:sz w:val="24"/>
          <w:szCs w:val="24"/>
          <w:rtl w:val="0"/>
        </w:rPr>
        <w:t>Análise Transcriptômica da Via de Sinalização do Hormônio Tireoidiano no Carcinoma de Tireoide e Potenciais Implicações para a Enfermagem de Precisão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sz w:val="20"/>
          <w:szCs w:val="20"/>
          <w:u w:val="single"/>
          <w:rtl w:val="0"/>
        </w:rPr>
        <w:t xml:space="preserve">Freitas, L. M. D</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sz w:val="20"/>
          <w:szCs w:val="20"/>
          <w:rtl w:val="0"/>
        </w:rPr>
        <w:t xml:space="preserve"> Santos</w:t>
      </w:r>
      <w:r w:rsidDel="00000000" w:rsidR="00000000" w:rsidRPr="00000000">
        <w:rPr>
          <w:rFonts w:ascii="Times New Roman" w:cs="Times New Roman" w:eastAsia="Times New Roman" w:hAnsi="Times New Roman"/>
          <w:sz w:val="20"/>
          <w:szCs w:val="20"/>
          <w:rtl w:val="0"/>
        </w:rPr>
        <w:t xml:space="preserve">, R. P.</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t xml:space="preserve">Pereira, T. F. C. S.</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z w:val="20"/>
          <w:szCs w:val="20"/>
          <w:vertAlign w:val="superscript"/>
          <w:rtl w:val="0"/>
        </w:rPr>
        <w:t xml:space="preserve">1</w:t>
      </w:r>
      <w:r w:rsidDel="00000000" w:rsidR="00000000" w:rsidRPr="00000000">
        <w:rPr>
          <w:rFonts w:ascii="Times New Roman" w:cs="Times New Roman" w:eastAsia="Times New Roman" w:hAnsi="Times New Roman"/>
          <w:i w:val="1"/>
          <w:iCs w:val="1"/>
          <w:sz w:val="20"/>
          <w:szCs w:val="20"/>
          <w:rtl w:val="0"/>
        </w:rPr>
        <w:t xml:space="preserve">Escola Técnica Estadual João Barcelos Martins - ETEJBM/FAETEC</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i w:val="1"/>
          <w:iCs w:val="1"/>
          <w:sz w:val="20"/>
          <w:szCs w:val="20"/>
          <w:rtl w:val="0"/>
        </w:rPr>
        <w:t xml:space="preserve">Instituto Federal de Educação, Ciência e Tecnologia Fluminense - IFF Campus Campos Guarus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i w:val="1"/>
          <w:iCs w:val="1"/>
          <w:sz w:val="20"/>
          <w:szCs w:val="20"/>
          <w:rtl w:val="0"/>
        </w:rPr>
        <w:t xml:space="preserve">leticiamariadiasfreitas@gmail.com</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Resumo</w:t>
      </w: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z w:val="20"/>
          <w:szCs w:val="20"/>
          <w:rtl w:val="0"/>
        </w:rPr>
        <w:t>Objetivou-se analisar a expressão diferencial dos genes da via de sinalização do hormônio tireoidiano (SHT, KEGG hsa04919) no carcinoma de tireoide, identificando alterações transcriptômicas e padrões de interação proteína-proteína capazes de gerar hipóteses biológicas sobre mecanismos moleculares envolvidos na doença. Trata-se de estudo exploratório em bioinformática, com dados de RNA-seq do conjunto integrado TCGA-GTEx (THCA, n = 783) processados no ambiente R. Foram identificados 29 genes diferencialmente expressos (GDEs) na via SHT (9 superexpressos, 20 subexpressos; |log2FC| &gt; 1; FDR &lt; 0,05) por meio de volcano plot. A rede de interação proteína-proteína (PPI) foi construída com STRING v12.0 (escore &gt;= 700), revelando 8 proteínas interagentes organizadas em dois módulos funcionais detectados pelo algoritmo walktrap. PRKCA destacou-se como gene de maior centralidade na rede (grau = 5, betweenness = 0,476), atuando como elo entre os módulos. Os demais 21 GDEs não formaram interações de alta confiança na rede. Os achados geram hipóteses biológicas sobre a via de sinalização do hormônio tireoidiano no carcinoma de tireoide, contribuindo para futuras investigações em oncologia molecular e enfermagem de precisão.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bCs w:val="1"/>
          <w:i w:val="0"/>
          <w:iCs w:val="0"/>
          <w:smallCaps w:val="0"/>
          <w:strike w:val="0"/>
          <w:color w:val="000000"/>
          <w:sz w:val="22"/>
          <w:szCs w:val="22"/>
          <w:u w:val="none"/>
          <w:shd w:fill="auto" w:val="clear"/>
          <w:vertAlign w:val="baseline"/>
          <w:rtl w:val="0"/>
        </w:rPr>
        <w:t xml:space="preserve">Palavras-chave: </w:t>
      </w:r>
      <w:r w:rsidDel="00000000" w:rsidR="00000000" w:rsidRPr="00000000">
        <w:rPr>
          <w:rFonts w:ascii="Times New Roman" w:cs="Times New Roman" w:eastAsia="Times New Roman" w:hAnsi="Times New Roman"/>
          <w:b w:val="0"/>
          <w:i w:val="0"/>
          <w:sz w:val="22"/>
          <w:rtl w:val="0"/>
        </w:rPr>
        <w:t>Câncer de Tireoide, Doenças Cardiovasculares, Informática em Enfermagem.</w:t>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1. Introdução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z w:val="24"/>
          <w:szCs w:val="24"/>
          <w:highlight w:val="white"/>
          <w:rtl w:val="0"/>
        </w:rPr>
        <w:t>O carcinoma de tireoide origina-se nas células parenquimatosas da tireoide e apresenta incidência crescente mundialmente[1]. A meta-análise de Tsai et al. (2023)[2] reportou maior risco de doença cerebrovascular (RR = 1,15; IC95%: 1,10-1,21) e fibrilação atrial (RR = 1,59; IC95%: 1,45-1,73) em indivíduos com câncer de tireoide comparados à população geral, sugerindo associação epidemiológica entre essas condições. Estudos de bioinformática integrativa, como o de Zhang et al. (2021)[3], demonstraram a viabilidade de se identificar genes-chave e vias de sinalização relevantes no carcinoma de tireoide por meio de análise transcriptômica com dados públicos. O carcinoma de tireoide apresenta alterações transcriptômicas em genes da via de sinalização do hormônio tireoidiano (hsa04919), refletindo processos moleculares associados à biologia tumoral. A identificação desses genes e de suas interações proteicas pode contribuir para a geração de hipóteses biológicas relevantes para futuras investigações em oncologia molecular e enfermagem de precisão.</w:t>
      </w:r>
      <w:r w:rsidDel="00000000" w:rsidR="00000000" w:rsidRPr="00000000">
        <w:rPr>
          <w:rFonts w:ascii="Times New Roman" w:cs="Times New Roman" w:eastAsia="Times New Roman" w:hAnsi="Times New Roman"/>
          <w:sz w:val="24"/>
          <w:szCs w:val="24"/>
          <w:highlight w:val="white"/>
          <w:rtl w:val="0"/>
        </w:rPr>
      </w:r>
      <w:r w:rsidDel="00000000" w:rsidR="00000000" w:rsidRPr="00000000">
        <w:rPr>
          <w:rFonts w:ascii="Times New Roman" w:cs="Times New Roman" w:eastAsia="Times New Roman" w:hAnsi="Times New Roman"/>
          <w:sz w:val="24"/>
          <w:szCs w:val="24"/>
          <w:highlight w:val="white"/>
          <w:rtl w:val="0"/>
        </w:rPr>
      </w:r>
      <w:r w:rsidDel="00000000" w:rsidR="00000000" w:rsidRPr="00000000">
        <w:rPr>
          <w:rFonts w:ascii="Times New Roman" w:cs="Times New Roman" w:eastAsia="Times New Roman" w:hAnsi="Times New Roman"/>
          <w:sz w:val="24"/>
          <w:szCs w:val="24"/>
          <w:highlight w:val="white"/>
          <w:vertAlign w:val="superscript"/>
          <w:rtl w:val="0"/>
        </w:rPr>
      </w:r>
      <w:r w:rsidDel="00000000" w:rsidR="00000000" w:rsidRPr="00000000">
        <w:rPr>
          <w:rFonts w:ascii="Times New Roman" w:cs="Times New Roman" w:eastAsia="Times New Roman" w:hAnsi="Times New Roman"/>
          <w:sz w:val="24"/>
          <w:szCs w:val="24"/>
          <w:highlight w:val="white"/>
          <w:rtl w:val="0"/>
        </w:rPr>
      </w:r>
      <w:r w:rsidDel="00000000" w:rsidR="00000000" w:rsidRPr="00000000">
        <w:rPr>
          <w:rFonts w:ascii="Times New Roman" w:cs="Times New Roman" w:eastAsia="Times New Roman" w:hAnsi="Times New Roman"/>
          <w:sz w:val="24"/>
          <w:szCs w:val="24"/>
          <w:highlight w:val="white"/>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vertAlign w:val="superscript"/>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vertAlign w:val="superscript"/>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z w:val="24"/>
          <w:szCs w:val="24"/>
          <w:rtl w:val="0"/>
        </w:rPr>
        <w:t>Diante desse cenário, objetivou-se analisar a expressão diferencial dos genes da via de sinalização do hormônio tireoidiano (hsa04919) no carcinoma de tireoide, identificando alterações transcriptômicas e padrões de interação proteína-proteína capazes de gerar hipóteses biológicas sobre mecanismos moleculares envolvidos na doença e discutir sua relevância para a enfermagem de precisão. Especificamente, buscou-se identificar genes diferencialmente expressos da via SHT no carcinoma de tireoide em comparação ao tecido tireoidiano normal, construir uma rede de interação proteína-proteína dos GDEs, identificar genes com elevada centralidade e potencial relevância biológica na rede e discutir as contribuições dos achados para a compreensão molecular do carcinoma de tireoide e suas potenciais aplicações futuras na enfermagem de precisão.</w:t>
      </w:r>
      <w:r w:rsidDel="00000000" w:rsidR="00000000" w:rsidRPr="00000000">
        <w:rPr>
          <w:rFonts w:ascii="Times New Roman" w:cs="Times New Roman" w:eastAsia="Times New Roman" w:hAnsi="Times New Roman"/>
          <w:sz w:val="24"/>
          <w:szCs w:val="24"/>
          <w:vertAlign w:val="superscript"/>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2. Materiais e Métodos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2.1. Materiais</w:t>
      </w:r>
      <w:r w:rsidDel="00000000" w:rsidR="00000000" w:rsidRPr="00000000">
        <w:rPr>
          <w:rtl w:val="0"/>
        </w:rPr>
      </w:r>
    </w:p>
    <w:p w:rsidR="00000000" w:rsidDel="00000000" w:rsidP="00000000" w:rsidRDefault="00000000" w:rsidRPr="00000000" w14:paraId="0000000E">
      <w:pPr>
        <w:spacing w:line="240" w:lineRule="auto"/>
        <w:ind w:left="0" w:firstLine="283.464566929133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z w:val="24"/>
          <w:szCs w:val="24"/>
          <w:rtl w:val="0"/>
        </w:rPr>
        <w:t>Trata-se de estudo exploratório, baseado em dados secundários, desenvolvido no campo da bioinformática aplicada à oncologia tireoidiana. Os dados de expressão gênica foram obtidos por meio da plataforma UCSC Xena Browser, utilizando o conjunto integrado TCGA-GTEx (504 amostras tumorais THCA; 279 amostras normais de tecido tireoidiano), disponibilizado em escala log2. A análise de expressão diferencial foi conduzida com o pacote limma (modelo linear com moderação empírica de Bayes), considerando como critérios de significância |log2 Fold Change| &gt; 1 e valor de p ajustado pelo método de Benjamini-Hochberg (FDR) &lt; 0,05. As interações proteína-proteína foram investigadas por meio do banco de dados STRING v12.0 (Homo sapiens, taxon 9606), adotando-se escore combinado mínimo de 700 (alta confiança). Os resultados foram representados por volcano plot e rede PPI.</w:t>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2.2. Metodologia</w:t>
      </w:r>
    </w:p>
    <w:p w:rsidR="00000000" w:rsidDel="00000000" w:rsidP="00000000" w:rsidRDefault="00000000" w:rsidRPr="00000000" w14:paraId="00000010">
      <w:pPr>
        <w:spacing w:line="240" w:lineRule="auto"/>
        <w:ind w:left="0" w:firstLine="283.464566929133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z w:val="24"/>
          <w:szCs w:val="24"/>
          <w:rtl w:val="0"/>
        </w:rPr>
        <w:t>Os dados transcriptômicos foram obtidos na plataforma UCSC Xena Browser a partir do conjunto integrado TCGA-GTEx referente ao carcinoma de tireoide (THCA), disponível em repositório público de livre acesso. A variável TCGA_GTEX_main_category foi utilizada para a estratificação biológica das amostras (GTEX Thyroid vs. TCGA Thyroid Carcinoma). Os genes da via SHT foram identificados via KEGG REST API (hsa04919). Todas as etapas de processamento foram executadas no ambiente R v4.6.0. Empregaram-se os pacotes KEGGREST (consulta à via metabólica), readr (importação de dados), limma (expressão diferencial), dplyr e tibble (manipulação de dados), httr e jsonlite (consulta à STRING REST API), igraph e ggraph (construção e visualização da rede PPI), e ggplot2 e ggrepel (volcano plot). O pipeline completo, os parâmetros de análise e os scripts reprodutíveis estão disponíveis publicamente em repositório GitHub (https://github.com/santosry/thyroid-volcano-ppi). Ressalta-se que a comparação TCGA versus GTEx pode estar sujeita a batch effects inerentes às diferenças de plataforma, processamento e perfil demográfico entre as coortes, constituindo limitação metodológica deste estudo.</w:t>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3. Resultados e Discussão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r>
      <w:r w:rsidDel="00000000" w:rsidR="00000000" w:rsidRPr="00000000">
        <w:rPr>
          <w:rtl w:val="0"/>
        </w:rPr>
      </w:r>
    </w:p>
    <w:p w:rsidR="00000000" w:rsidDel="00000000" w:rsidP="00000000" w:rsidRDefault="00000000" w:rsidRPr="00000000" w14:paraId="00000012">
      <w:pPr>
        <w:spacing w:after="0" w:line="240" w:lineRule="auto"/>
        <w:ind w:firstLine="283.464566929133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z w:val="24"/>
          <w:szCs w:val="24"/>
          <w:rtl w:val="0"/>
        </w:rPr>
        <w:t>Foram analisados 119 genes da via SHT (hsa04919), dos quais 29 (24,4%) apresentaram expressão diferencial significativa: 9 superexpressos e 20 subexpressos no tumor em relação ao tecido normal (|log2FC| &gt; 1; FDR &lt; 0,05). A Figura 1 apresenta o volcano plot com a distribuição dos genes, destacando-se MYH7 (log2FC = -5,59; FDR = 7,3x10-224), DIO3 (log2FC = -4,97; FDR = 4,4x10-168), MYH6 (log2FC = -4,42; FDR = 1,5x10-157), RXRG (log2FC = 5,28; FDR = 3,3x10-149) e CCND1 (log2FC = 2,65; FDR = 1,0x10-214) entre os mais significativos. A rede PPI (Figura 2), construída com escore STRING &gt;= 700, resultou em 8 proteínas interagentes das 29 GDEs, organizadas em dois módulos funcionais detectados por walktrap. Os 21 GDEs restantes, incluindo MYH7 e DIO3, não apresentaram interações de alta confiança na rede STRING. O Módulo 1 reuniu genes envolvidos em sinalização intracelular mediada por fosfolipases C e proteínas quinase C (PRKCA, PRKCG, PLCG1, PLCD4), enquanto o Módulo 2 agregou genes relacionados à organização estrutural celular e interações célula-matriz (ACTG1, ITGAV). PLCD3 e PIK3R2 também integraram a rede, porém com menor conectividade.</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sdt>
        <w:sdtPr>
          <w:id w:val="233339939"/>
          <w:tag w:val="goog_rdk_0"/>
        </w:sdtPr>
        <w:sdtContent>
          <w:r w:rsidDel="00000000" w:rsidR="00000000" w:rsidRPr="00000000">
            <w:rPr>
              <w:rFonts w:ascii="Gungsuh" w:cs="Gungsuh" w:eastAsia="Gungsuh" w:hAnsi="Gungsuh"/>
              <w:sz w:val="24"/>
              <w:szCs w:val="24"/>
              <w:rtl w:val="0"/>
            </w:rPr>
            <w:t xml:space="preserve">, destacaram-se MYH7 (log2FC = −5,59; FDR = 7,26e−224), DIO3 (log2FC = −4,97; FDR = 4,44e−168), ATP2A1 (log2FC = −2,83; FDR = 1,27e−169) e MYH6 (log2FC = −4,42; FDR = 1,51e−157). O gene MYH7 codifica a cadeia pesada da miosina-7, associada à contração muscular e à atividade ATPase dependente de actina. DIO3 participa do metabolismo dos hormônios tireoidianos por meio da inativação de iodotironinas. ATP2A1 (SERCA1) está relacionado ao transporte de íons cálcio e à regulação da homeostase intracelular de cálcio no músculo esquelético. MYH6 codifica a cadeia pesada da miosina-6 (alfa), isoforma predominante no átrio cardíaco. Em contrapartida, os genes </w:t>
          </w:r>
        </w:sdtContent>
      </w:sdt>
      <w:r w:rsidDel="00000000" w:rsidR="00000000" w:rsidRPr="00000000">
        <w:rPr>
          <w:rFonts w:ascii="Times New Roman" w:cs="Times New Roman" w:eastAsia="Times New Roman" w:hAnsi="Times New Roman"/>
          <w:sz w:val="24"/>
          <w:szCs w:val="24"/>
          <w:rtl w:val="0"/>
        </w:rPr>
      </w:r>
      <w:sdt>
        <w:sdtPr>
          <w:id w:val="1730444966"/>
          <w:tag w:val="goog_rdk_1"/>
        </w:sdtPr>
        <w:sdtContent>
          <w:r w:rsidDel="00000000" w:rsidR="00000000" w:rsidRPr="00000000">
            <w:rPr>
              <w:rFonts w:ascii="Gungsuh" w:cs="Gungsuh" w:eastAsia="Gungsuh" w:hAnsi="Gungsuh"/>
              <w:sz w:val="24"/>
              <w:szCs w:val="24"/>
              <w:rtl w:val="0"/>
            </w:rPr>
            <w:t xml:space="preserve"> CCND1 (log2FC = 2,65; FDR = 1,03e−214) e RXRG (log2FC = 5,28; FDR = 3,26e−149) estão envolvidos, respectivamente, na regulação do ciclo celular e em mecanismos de regulação transcricional mediados por receptores nucleares.</w:t>
          </w:r>
        </w:sdtContent>
      </w:sdt>
    </w:p>
    <w:p w:rsidR="00000000" w:rsidDel="00000000" w:rsidP="00000000" w:rsidRDefault="00000000" w:rsidRPr="00000000" w14:paraId="00000013">
      <w:pPr>
        <w:spacing w:after="0" w:before="0" w:line="240" w:lineRule="auto"/>
        <w:ind w:left="0" w:firstLine="283.46456692913387"/>
        <w:jc w:val="both"/>
        <w:rPr>
          <w:rFonts w:ascii="Times New Roman" w:cs="Times New Roman" w:eastAsia="Times New Roman" w:hAnsi="Times New Roman"/>
          <w:sz w:val="24"/>
          <w:szCs w:val="24"/>
        </w:rPr>
      </w:pPr>
      <w:sdt>
        <w:sdtPr>
          <w:id w:val="599869035"/>
          <w:tag w:val="goog_rdk_2"/>
        </w:sdtPr>
        <w:sdtContent>
          <w:r w:rsidDel="00000000" w:rsidR="00000000" w:rsidRPr="00000000">
            <w:rPr>
              <w:rFonts w:ascii="Gungsuh" w:cs="Gungsuh" w:eastAsia="Gungsuh" w:hAnsi="Gungsuh"/>
              <w:sz w:val="24"/>
              <w:szCs w:val="24"/>
              <w:rtl w:val="0"/>
            </w:rPr>
            <w:t xml:space="preserve">Outrossim, a construção da rede PPI permitiu identificar 24 genes interagentes dentre os 29 DEGs, organizados em dois módulos biológicos distintos. Cinco GDEs não participaram da rede por ausência de interações proteína-proteína acima do limiar de confiança adotado: RXRG (log2FC = 5,28; FDR = 3,26e−149), DIO1 (log2FC = −2,60; FDR = 2,44e−27), MED13 (log2FC = 1,20; FDR = 1,43e−76), TBC1D4 (log2FC = −1,63; FDR = 2,06e−94) e PFKFB2 (log2FC = −1,09; FDR = 4,48e−40). O módulo 1 foi composto por PRKCA (log2FC = −1,02; FDR = 5,97e−38), PRKCG (log2FC = −1,05; FDR = 1,92e−30), PLCG1 (log2FC = −1,43; FDR = 5,77e−141), PLCD3 (log2FC = 2,38; FDR = 1,19e−95), PLCD4 (log2FC = −1,53; FDR = 2,89e−71) e PIK3R2 (log2FC = 1,34; FDR = 1,80e−14), formando uma rede densamente conectada associada a componentes centrais da transdução de sinais intracelulares. E, por sua vez, o módulo 2 foi constituído por ACTG1 (log2FC = 1,41; FDR = 1,72e−119) e ITGAV (log2FC = 1,03; FDR = 3,52e−55), apresentando menor conectividade e ligação indireta com o módulo principal. </w:t>
          </w:r>
        </w:sdtContent>
      </w:sdt>
    </w:p>
    <w:p w:rsidR="00000000" w:rsidDel="00000000" w:rsidP="00000000" w:rsidRDefault="00000000" w:rsidRPr="00000000" w14:paraId="00000014">
      <w:pPr>
        <w:spacing w:after="0" w:before="0" w:line="240" w:lineRule="auto"/>
        <w:ind w:left="0" w:firstLine="283.464566929133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z w:val="24"/>
          <w:szCs w:val="24"/>
          <w:rtl w:val="0"/>
        </w:rPr>
        <w:t>PRKCA destacou-se como gene de maior centralidade na rede (grau = 5; betweenness = 0,476; closeness = 8,52x10-4; hub score = 1,000), exibindo o maior número de interações e atuando como elo funcional entre os dois módulos (Figura 2). Os demais genes com elevada centralidade foram PLCG1 (grau = 4; betweenness = 0,286), PLCD4 (grau = 4; betweenness = 0,095) e PRKCG (grau = 4). A posição topológica central de PRKCA é compatível com seu papel biológico na regulação de proliferação, diferenciação e sobrevivência celular, processos relevantes para a oncogênese tireoidiana. A conectividade entre os módulos, estabelecida exclusivamente pela interação PRKCA-ACTG1 (escore STRING = 918), sugere que PRKCA pode coordenar alterações na arquitetura celular e nas interações com a matriz extracelular via sinalização por fosfolipases C e PKC. Contudo, ressalta-se que a rede PPI do STRING reflete conhecimento acumulado da literatura e não demonstra causalidade, ativação ou inibição direta. A identificação de genes com elevada centralidade constitui observação exploratória que requer validação experimental futura.</w:t>
      </w:r>
    </w:p>
    <w:p w:rsidR="00000000" w:rsidDel="00000000" w:rsidP="00000000" w:rsidRDefault="00000000" w:rsidRPr="00000000" w14:paraId="00000015">
      <w:pPr>
        <w:spacing w:after="0" w:line="240" w:lineRule="auto"/>
        <w:ind w:firstLine="283.4645669291338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0"/>
          <w:i w:val="0"/>
          <w:sz w:val="24"/>
          <w:szCs w:val="24"/>
          <w:highlight w:val="white"/>
          <w:rtl w:val="0"/>
        </w:rPr>
        <w:t>A enfermagem de precisão, conforme o marco conceitual de Fu et al. (2020)[4], propõe a utilização de dados ômicos para personalizar intervenções nos domínios de pesquisa, ensino, prática clínica e políticas de saúde. Embora os achados deste estudo sejam exploratórios e não possuam aplicabilidade clínica imediata, a identificação de genes com elevada centralidade na via de sinalização do hormônio tireoidiano e de padrões de interação proteína-proteína no carcinoma de tireoide fornece subsídios para a formulação de hipóteses biológicas que, uma vez validadas experimentalmente, poderão informar futuras abordagens translacionais. Nesse contexto, o enfermeiro ocupa posição privilegiada para integrar o conhecimento multiômico à prática assistencial, considerando as facetas sociocultural, ambiental e econômica do cotidiano do paciente, conforme preconizado pela saúde de precisão[4].</w:t>
      </w:r>
      <w:r w:rsidDel="00000000" w:rsidR="00000000" w:rsidRPr="00000000">
        <w:rPr>
          <w:rFonts w:ascii="Times New Roman" w:cs="Times New Roman" w:eastAsia="Times New Roman" w:hAnsi="Times New Roman"/>
          <w:sz w:val="24"/>
          <w:szCs w:val="24"/>
          <w:highlight w:val="white"/>
          <w:rtl w:val="0"/>
        </w:rPr>
      </w:r>
      <w:r w:rsidDel="00000000" w:rsidR="00000000" w:rsidRPr="00000000">
        <w:rPr>
          <w:rFonts w:ascii="Times New Roman" w:cs="Times New Roman" w:eastAsia="Times New Roman" w:hAnsi="Times New Roman"/>
          <w:sz w:val="24"/>
          <w:szCs w:val="24"/>
          <w:highlight w:val="white"/>
          <w:rtl w:val="0"/>
        </w:rPr>
      </w:r>
      <w:r w:rsidDel="00000000" w:rsidR="00000000" w:rsidRPr="00000000">
        <w:rPr>
          <w:rFonts w:ascii="Times New Roman" w:cs="Times New Roman" w:eastAsia="Times New Roman" w:hAnsi="Times New Roman"/>
          <w:sz w:val="24"/>
          <w:szCs w:val="24"/>
          <w:highlight w:val="white"/>
          <w:vertAlign w:val="superscript"/>
          <w:rtl w:val="0"/>
        </w:rPr>
      </w:r>
      <w:r w:rsidDel="00000000" w:rsidR="00000000" w:rsidRPr="00000000">
        <w:rPr>
          <w:rFonts w:ascii="Times New Roman" w:cs="Times New Roman" w:eastAsia="Times New Roman" w:hAnsi="Times New Roman"/>
          <w:sz w:val="24"/>
          <w:szCs w:val="24"/>
          <w:highlight w:val="white"/>
          <w:rtl w:val="0"/>
        </w:rPr>
      </w:r>
      <w:r w:rsidDel="00000000" w:rsidR="00000000" w:rsidRPr="00000000">
        <w:rPr>
          <w:rtl w:val="0"/>
        </w:rPr>
      </w:r>
    </w:p>
    <w:p w:rsidR="00000000" w:rsidDel="00000000" w:rsidP="00000000" w:rsidRDefault="00000000" w:rsidRPr="00000000" w14:paraId="00000016">
      <w:pPr>
        <w:spacing w:after="0" w:before="200" w:line="240" w:lineRule="auto"/>
        <w:ind w:lef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4. Conclusões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Este estudo não busca demonstrar mecanismos cardiovasculares, biomarcadores clínicos ou relações causais. Seu propósito é caracterizar alterações transcriptômicas na via de sinalização do hormônio tireoidiano e identificar genes relevantes dentro de uma rede de interação proteína-proteína, gerando hipóteses biológicas para investigações futuras. Foram identificados 29 genes da via SHT diferencialmente expressos no carcinoma de tireoide, com PRKCA apresentando a maior centralidade na rede PPI (grau = 5, betweenness = 0,476), conectando módulos de sinalização intracelular e organização estrutural. Genes com alta significância estatística (MYH6, MYH7, DIO3, CCND1) e genes com elevada centralidade na rede (PRKCA, PLCG1, PLCD4, PRKCG) constituem candidatos prioritários para investigações de validação experimental. A enfermagem de precisão é apresentada como campo potencial de aplicação translacional dos conhecimentos produzidos, e não como desfecho diretamente demonstrado pelos dados.</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sz w:val="24"/>
          <w:szCs w:val="24"/>
          <w:u w:val="none"/>
          <w:shd w:fill="auto" w:val="clear"/>
          <w:vertAlign w:val="baseline"/>
          <w:rtl w:val="0"/>
        </w:rPr>
        <w:t>Agradecimentos</w:t>
      </w:r>
      <w:r w:rsidDel="00000000" w:rsidR="00000000" w:rsidRPr="00000000">
        <w:rPr>
          <w:rtl w:val="0"/>
        </w:rPr>
      </w:r>
    </w:p>
    <w:p w:rsidR="00000000" w:rsidDel="00000000" w:rsidP="00000000" w:rsidRDefault="00000000" w:rsidRPr="00000000" w14:paraId="00000019">
      <w:pPr>
        <w:spacing w:after="0" w:line="240" w:lineRule="auto"/>
        <w:ind w:firstLine="28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i w:val="0"/>
          <w:sz w:val="24"/>
          <w:szCs w:val="24"/>
          <w:rtl w:val="0"/>
        </w:rPr>
        <w:t>Agradecemos a Escola Tecnica Estadual Joao Barcelos Martins e ao Instituto Federal Fluminense de Educacao, Ciencia e Tecnologia Campus Campos Guarus pela promocao dessa troca sinergica.</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Referencias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LEE, Kenny; ANASTASOPOULOU, Catherine; CHANDRAN, Chandriya; CASSARO, Sebastiano. </w:t>
      </w:r>
      <w:r w:rsidDel="00000000" w:rsidR="00000000" w:rsidRPr="00000000">
        <w:rPr>
          <w:rFonts w:ascii="Times New Roman" w:cs="Times New Roman" w:eastAsia="Times New Roman" w:hAnsi="Times New Roman"/>
          <w:b w:val="1"/>
          <w:bCs w:val="1"/>
          <w:i w:val="1"/>
          <w:iCs w:val="1"/>
          <w:sz w:val="20"/>
          <w:szCs w:val="20"/>
          <w:rtl w:val="0"/>
        </w:rPr>
        <w:t xml:space="preserve">Thyroid Cancer</w:t>
      </w:r>
      <w:r w:rsidDel="00000000" w:rsidR="00000000" w:rsidRPr="00000000">
        <w:rPr>
          <w:rFonts w:ascii="Times New Roman" w:cs="Times New Roman" w:eastAsia="Times New Roman" w:hAnsi="Times New Roman"/>
          <w:sz w:val="20"/>
          <w:szCs w:val="20"/>
          <w:rtl w:val="0"/>
        </w:rPr>
        <w:t xml:space="preserve">. In: STATPEARLS [Internet]. </w:t>
      </w:r>
      <w:r w:rsidDel="00000000" w:rsidR="00000000" w:rsidRPr="00000000">
        <w:rPr>
          <w:rFonts w:ascii="Times New Roman" w:cs="Times New Roman" w:eastAsia="Times New Roman" w:hAnsi="Times New Roman"/>
          <w:i w:val="1"/>
          <w:iCs w:val="1"/>
          <w:sz w:val="20"/>
          <w:szCs w:val="20"/>
          <w:rtl w:val="0"/>
        </w:rPr>
        <w:t xml:space="preserve">Treasure Island (FL): StatPearls Publishing</w:t>
      </w:r>
      <w:r w:rsidDel="00000000" w:rsidR="00000000" w:rsidRPr="00000000">
        <w:rPr>
          <w:rFonts w:ascii="Times New Roman" w:cs="Times New Roman" w:eastAsia="Times New Roman" w:hAnsi="Times New Roman"/>
          <w:sz w:val="20"/>
          <w:szCs w:val="20"/>
          <w:rtl w:val="0"/>
        </w:rPr>
        <w:t xml:space="preserve">, 2023. Disponível em: </w:t>
      </w:r>
      <w:r w:rsidDel="00000000" w:rsidR="00000000" w:rsidRPr="00000000">
        <w:rPr>
          <w:rFonts w:ascii="Times New Roman" w:cs="Times New Roman" w:eastAsia="Times New Roman" w:hAnsi="Times New Roman"/>
          <w:sz w:val="20"/>
          <w:szCs w:val="20"/>
          <w:rtl w:val="0"/>
        </w:rPr>
        <w:t xml:space="preserve">https://www.ncbi.nlm.nih.gov/books/NBK459299/</w:t>
      </w:r>
      <w:r w:rsidDel="00000000" w:rsidR="00000000" w:rsidRPr="00000000">
        <w:rPr>
          <w:rFonts w:ascii="Times New Roman" w:cs="Times New Roman" w:eastAsia="Times New Roman" w:hAnsi="Times New Roman"/>
          <w:sz w:val="20"/>
          <w:szCs w:val="20"/>
          <w:rtl w:val="0"/>
        </w:rPr>
        <w:t xml:space="preserve">. Acesso em: 23 jun. 2026.</w:t>
      </w:r>
    </w:p>
    <w:p w:rsidR="00000000" w:rsidDel="00000000" w:rsidP="00000000" w:rsidRDefault="00000000" w:rsidRPr="00000000" w14:paraId="0000001C">
      <w:pPr>
        <w:keepLines w:val="1"/>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TSAI, W. H.; ZENG, Y. H.; LEE, C. C.; CHIEN, M. N.; LIU, S. C.; CHIEN, K. L.; CHENG, S. P.; TSENG, P. J.; TSAI, M. C. </w:t>
      </w:r>
      <w:r w:rsidDel="00000000" w:rsidR="00000000" w:rsidRPr="00000000">
        <w:rPr>
          <w:rFonts w:ascii="Times New Roman" w:cs="Times New Roman" w:eastAsia="Times New Roman" w:hAnsi="Times New Roman"/>
          <w:i w:val="1"/>
          <w:iCs w:val="1"/>
          <w:sz w:val="20"/>
          <w:szCs w:val="20"/>
          <w:rtl w:val="0"/>
        </w:rPr>
        <w:t xml:space="preserve">Association between thyroid cancer and cardiovascular disease: A meta-analysis.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i w:val="1"/>
          <w:iCs w:val="1"/>
          <w:sz w:val="20"/>
          <w:szCs w:val="20"/>
          <w:rtl w:val="0"/>
        </w:rPr>
        <w:t xml:space="preserve">Frontiers in Cardiovascular Medicine</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2023. Disponível em: https://pubmed.ncbi.nlm.nih.gov/36937933/. Acesso em: 21 jun. 2026.</w:t>
      </w:r>
    </w:p>
    <w:p w:rsidR="00000000" w:rsidDel="00000000" w:rsidP="00000000" w:rsidRDefault="00000000" w:rsidRPr="00000000" w14:paraId="0000001D">
      <w:pPr>
        <w:keepLines w:val="1"/>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[3] ZHANG, B.; CHEN, Z.; WANG, Y.; FAN, G.; HE, X. Integrated bioinformatics analysis for the identification of key genes and signaling pathways in thyroid carcinoma. Experimental and Therapeutic Medicine, v. 21, n. 3, artigo 251, 2021. DOI: https://doi.org/10.3892/etm.2021.9682. Disponível em: https://pmc.ncbi.nlm.nih.gov/articles/PMC7885060/. Acesso em: 22 jun. 2026.</w:t>
      </w:r>
      <w:r w:rsidDel="00000000" w:rsidR="00000000" w:rsidRPr="00000000">
        <w:rPr>
          <w:rFonts w:ascii="Times New Roman" w:cs="Times New Roman" w:eastAsia="Times New Roman" w:hAnsi="Times New Roman"/>
          <w:i w:val="1"/>
          <w:iCs w:val="1"/>
          <w:sz w:val="20"/>
          <w:szCs w:val="20"/>
          <w:rtl w:val="0"/>
        </w:rPr>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b w:val="1"/>
          <w:bCs w:val="1"/>
          <w:i w:val="1"/>
          <w:iCs w:val="1"/>
          <w:sz w:val="20"/>
          <w:szCs w:val="20"/>
          <w:rtl w:val="0"/>
        </w:rPr>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[4] FU, M. R.; KURNAT-THOMA, E.; STARKWEATHER, A.; HENDERSON, W. A.; CASHION, A. K.; WILLIAMS, J. K.; KATAPODI, M. C.; REUTER-RICE, K.; HICKEY, K. T.; BARCELONA DE MENDOZA, V.; CALZONE, K.; CONLEY, Y. P.; ANDERSON, C. M.; LYON, D. E.; WEAVER, M. T.; SHIAO, P. K.; CONSTANTINO, R. E.; WUNG, S.-F.; HAMMER, M. J.; VOSS, J. G.; COLEMAN, B. Precision health: a nursing perspective. International Journal of Nursing Sciences, v. 7, n. 1, p. 5–12, 2020. DOI: https://doi.org/10.1016/j.ijnss.2019.12.008. Disponível em: https://pmc.ncbi.nlm.nih.gov/articles/PMC7031154/. Acesso em: 23 jun. 2026.</w:t>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i w:val="1"/>
          <w:iCs w:val="1"/>
          <w:sz w:val="20"/>
          <w:szCs w:val="20"/>
          <w:rtl w:val="0"/>
        </w:rPr>
      </w:r>
      <w:r w:rsidDel="00000000" w:rsidR="00000000" w:rsidRPr="00000000">
        <w:rPr>
          <w:rFonts w:ascii="Times New Roman" w:cs="Times New Roman" w:eastAsia="Times New Roman" w:hAnsi="Times New Roman"/>
          <w:i w:val="1"/>
          <w:iCs w:val="1"/>
          <w:sz w:val="20"/>
          <w:szCs w:val="20"/>
          <w:rtl w:val="0"/>
        </w:rPr>
      </w:r>
      <w:r w:rsidDel="00000000" w:rsidR="00000000" w:rsidRPr="00000000">
        <w:rPr>
          <w:rFonts w:ascii="Times New Roman" w:cs="Times New Roman" w:eastAsia="Times New Roman" w:hAnsi="Times New Roman"/>
          <w:b w:val="1"/>
          <w:bCs w:val="1"/>
          <w:i w:val="1"/>
          <w:iCs w:val="1"/>
          <w:sz w:val="20"/>
          <w:szCs w:val="20"/>
          <w:rtl w:val="0"/>
        </w:rPr>
      </w:r>
      <w:r w:rsidDel="00000000" w:rsidR="00000000" w:rsidRPr="00000000">
        <w:rPr>
          <w:rFonts w:ascii="Times New Roman" w:cs="Times New Roman" w:eastAsia="Times New Roman" w:hAnsi="Times New Roman"/>
          <w:sz w:val="20"/>
          <w:szCs w:val="20"/>
          <w:rtl w:val="0"/>
        </w:rPr>
      </w:r>
      <w:hyperlink r:id="rId7">
        <w:r w:rsidDel="00000000" w:rsidR="00000000" w:rsidRPr="00000000">
          <w:rPr>
            <w:rFonts w:ascii="Times New Roman" w:cs="Times New Roman" w:eastAsia="Times New Roman" w:hAnsi="Times New Roman"/>
            <w:sz w:val="20"/>
            <w:szCs w:val="20"/>
            <w:rtl w:val="0"/>
          </w:rPr>
          <w:t xml:space="preserve">https://doi.org/10.1016/j.ijnss.2019.12.008</w:t>
        </w:r>
      </w:hyperlink>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sz w:val="20"/>
          <w:szCs w:val="20"/>
          <w:rtl w:val="0"/>
        </w:rPr>
      </w:r>
      <w:r w:rsidDel="00000000" w:rsidR="00000000" w:rsidRPr="00000000">
        <w:rPr>
          <w:rtl w:val="0"/>
        </w:rPr>
      </w:r>
    </w:p>
    <w:sectPr>
      <w:headerReference r:id="rId8" w:type="default"/>
      <w:pgSz w:h="16838" w:w="11906" w:orient="portrait"/>
      <w:pgMar w:bottom="1134" w:top="1985"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-1069338</wp:posOffset>
          </wp:positionH>
          <wp:positionV relativeFrom="paragraph">
            <wp:posOffset>0</wp:posOffset>
          </wp:positionV>
          <wp:extent cx="7559040" cy="132588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59040" cy="1325880"/>
                  </a:xfrm>
                  <a:prstGeom prst="rect"/>
                  <a:ln/>
                </pic:spPr>
              </pic:pic>
            </a:graphicData>
          </a:graphic>
        </wp:anchor>
      </w:drawing>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016/j.ijnss.2019.12.008"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yQSrEERALGoYKe3d8mbmQa7NA==">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