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de instalación y configuración</w:t>
      </w:r>
    </w:p>
    <w:p w:rsidR="00000000" w:rsidDel="00000000" w:rsidP="00000000" w:rsidRDefault="00000000" w:rsidRPr="00000000" w14:paraId="00000002">
      <w:pPr>
        <w:tabs>
          <w:tab w:val="left" w:leader="none" w:pos="8250"/>
        </w:tabs>
        <w:spacing w:after="0" w:line="360" w:lineRule="auto"/>
        <w:ind w:firstLine="56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360" w:lineRule="auto"/>
        <w:ind w:firstLine="56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360" w:lineRule="auto"/>
        <w:ind w:firstLine="56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360" w:lineRule="auto"/>
        <w:ind w:firstLine="56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360" w:lineRule="auto"/>
        <w:ind w:firstLine="56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Romero</w:t>
      </w:r>
    </w:p>
    <w:p w:rsidR="00000000" w:rsidDel="00000000" w:rsidP="00000000" w:rsidRDefault="00000000" w:rsidRPr="00000000" w14:paraId="0000000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Eliel Berrio</w:t>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Jader Monterroza</w:t>
      </w:r>
    </w:p>
    <w:p w:rsidR="00000000" w:rsidDel="00000000" w:rsidP="00000000" w:rsidRDefault="00000000" w:rsidRPr="00000000" w14:paraId="0000000A">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presentado como requisito de Sistemas Distribuidos</w:t>
      </w:r>
    </w:p>
    <w:p w:rsidR="00000000" w:rsidDel="00000000" w:rsidP="00000000" w:rsidRDefault="00000000" w:rsidRPr="00000000" w14:paraId="0000000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Semestre VIII</w:t>
      </w:r>
    </w:p>
    <w:p w:rsidR="00000000" w:rsidDel="00000000" w:rsidP="00000000" w:rsidRDefault="00000000" w:rsidRPr="00000000" w14:paraId="0000001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p w:rsidR="00000000" w:rsidDel="00000000" w:rsidP="00000000" w:rsidRDefault="00000000" w:rsidRPr="00000000" w14:paraId="0000001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Jhon Jaime Méndez Alandete</w:t>
      </w:r>
    </w:p>
    <w:p w:rsidR="00000000" w:rsidDel="00000000" w:rsidP="00000000" w:rsidRDefault="00000000" w:rsidRPr="00000000" w14:paraId="0000001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Corporación Universitaria del Caribe – CECAR</w:t>
      </w:r>
    </w:p>
    <w:p w:rsidR="00000000" w:rsidDel="00000000" w:rsidP="00000000" w:rsidRDefault="00000000" w:rsidRPr="00000000" w14:paraId="0000001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Ciencias Básicas, Ingenierías y Arquitectura</w:t>
      </w:r>
    </w:p>
    <w:p w:rsidR="00000000" w:rsidDel="00000000" w:rsidP="00000000" w:rsidRDefault="00000000" w:rsidRPr="00000000" w14:paraId="0000001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Sistemas</w:t>
      </w:r>
    </w:p>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Distribuidos</w:t>
      </w:r>
    </w:p>
    <w:p w:rsidR="00000000" w:rsidDel="00000000" w:rsidP="00000000" w:rsidRDefault="00000000" w:rsidRPr="00000000" w14:paraId="000000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Sincelejo</w:t>
      </w:r>
    </w:p>
    <w:p w:rsidR="00000000" w:rsidDel="00000000" w:rsidP="00000000" w:rsidRDefault="00000000" w:rsidRPr="00000000" w14:paraId="0000001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F">
      <w:pPr>
        <w:pStyle w:val="Heading1"/>
        <w:numPr>
          <w:ilvl w:val="0"/>
          <w:numId w:val="3"/>
        </w:numPr>
        <w:ind w:left="720" w:hanging="360"/>
        <w:rPr>
          <w:u w:val="none"/>
        </w:rPr>
      </w:pPr>
      <w:bookmarkStart w:colFirst="0" w:colLast="0" w:name="_heading=h.3znysh7" w:id="0"/>
      <w:bookmarkEnd w:id="0"/>
      <w:r w:rsidDel="00000000" w:rsidR="00000000" w:rsidRPr="00000000">
        <w:rPr>
          <w:rtl w:val="0"/>
        </w:rPr>
        <w:t xml:space="preserve">Introducción</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spacing w:after="240" w:line="360" w:lineRule="auto"/>
        <w:ind w:firstLine="708"/>
        <w:jc w:val="both"/>
        <w:rPr>
          <w:rFonts w:ascii="Times New Roman" w:cs="Times New Roman" w:eastAsia="Times New Roman" w:hAnsi="Times New Roman"/>
          <w:sz w:val="24"/>
          <w:szCs w:val="24"/>
        </w:rPr>
      </w:pPr>
      <w:bookmarkStart w:colFirst="0" w:colLast="0" w:name="_heading=h.tyjcwt" w:id="1"/>
      <w:bookmarkEnd w:id="1"/>
      <w:r w:rsidDel="00000000" w:rsidR="00000000" w:rsidRPr="00000000">
        <w:rPr>
          <w:rFonts w:ascii="Times New Roman" w:cs="Times New Roman" w:eastAsia="Times New Roman" w:hAnsi="Times New Roman"/>
          <w:sz w:val="24"/>
          <w:szCs w:val="24"/>
          <w:rtl w:val="0"/>
        </w:rPr>
        <w:t xml:space="preserve">El presente documento detalla los pasos exactos para inicializar, configurar y administrar la plataforma distribuida de pedidos. El sistema está compuesto por 9 contenedores: 4 microservicios (API REST), 4 bases de datos independientes (PostgreSQL) y 1 broker de mensajería (RabbitMQ).</w:t>
      </w:r>
    </w:p>
    <w:p w:rsidR="00000000" w:rsidDel="00000000" w:rsidP="00000000" w:rsidRDefault="00000000" w:rsidRPr="00000000" w14:paraId="00000022">
      <w:pPr>
        <w:pStyle w:val="Heading2"/>
        <w:numPr>
          <w:ilvl w:val="1"/>
          <w:numId w:val="8"/>
        </w:numPr>
        <w:ind w:left="360" w:hanging="360"/>
        <w:jc w:val="both"/>
        <w:rPr/>
      </w:pPr>
      <w:r w:rsidDel="00000000" w:rsidR="00000000" w:rsidRPr="00000000">
        <w:rPr>
          <w:rtl w:val="0"/>
        </w:rPr>
        <w:t xml:space="preserve">Requisitos de Software</w:t>
      </w:r>
    </w:p>
    <w:p w:rsidR="00000000" w:rsidDel="00000000" w:rsidP="00000000" w:rsidRDefault="00000000" w:rsidRPr="00000000" w14:paraId="00000023">
      <w:pPr>
        <w:spacing w:after="0" w:line="360" w:lineRule="auto"/>
        <w:ind w:left="360" w:firstLine="0"/>
        <w:jc w:val="both"/>
        <w:rPr/>
      </w:pPr>
      <w:r w:rsidDel="00000000" w:rsidR="00000000" w:rsidRPr="00000000">
        <w:rPr>
          <w:rtl w:val="0"/>
        </w:rPr>
      </w:r>
    </w:p>
    <w:p w:rsidR="00000000" w:rsidDel="00000000" w:rsidP="00000000" w:rsidRDefault="00000000" w:rsidRPr="00000000" w14:paraId="00000024">
      <w:pPr>
        <w:spacing w:after="120"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levantar esta infraestructura en cualquier entorno (desarrollo, pruebas o producción), el único requisito es tener instalado el motor de contenedores:</w:t>
      </w:r>
    </w:p>
    <w:p w:rsidR="00000000" w:rsidDel="00000000" w:rsidP="00000000" w:rsidRDefault="00000000" w:rsidRPr="00000000" w14:paraId="00000025">
      <w:pPr>
        <w:widowControl w:val="0"/>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Desktop (para entornos Windows o macOS) o Docker Engine (para Linux).</w:t>
      </w:r>
    </w:p>
    <w:p w:rsidR="00000000" w:rsidDel="00000000" w:rsidP="00000000" w:rsidRDefault="00000000" w:rsidRPr="00000000" w14:paraId="00000026">
      <w:pPr>
        <w:widowControl w:val="0"/>
        <w:numPr>
          <w:ilvl w:val="0"/>
          <w:numId w:val="9"/>
        </w:numPr>
        <w:spacing w:after="3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servicio (demonio) de Docker debe estar activo y en ejecución.</w:t>
      </w:r>
    </w:p>
    <w:p w:rsidR="00000000" w:rsidDel="00000000" w:rsidP="00000000" w:rsidRDefault="00000000" w:rsidRPr="00000000" w14:paraId="00000027">
      <w:pPr>
        <w:pStyle w:val="Heading2"/>
        <w:ind w:left="0" w:firstLine="0"/>
        <w:jc w:val="both"/>
        <w:rPr/>
      </w:pPr>
      <w:r w:rsidDel="00000000" w:rsidR="00000000" w:rsidRPr="00000000">
        <w:rPr>
          <w:rtl w:val="0"/>
        </w:rPr>
        <w:t xml:space="preserve">1.2 Nota Técnica: docker compose vs docker-compose</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spacing w:after="240"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aclarar la sintaxis que se utilizará en esta guía. En versiones antiguas de Docker (V1), la herramienta de orquestación era un programa externo escrito en Python que se invoca con un guión medio: docker-compose.</w:t>
      </w:r>
    </w:p>
    <w:p w:rsidR="00000000" w:rsidDel="00000000" w:rsidP="00000000" w:rsidRDefault="00000000" w:rsidRPr="00000000" w14:paraId="0000002A">
      <w:pPr>
        <w:widowControl w:val="0"/>
        <w:spacing w:after="360"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Docker ha integrado esta herramienta nativamente en su núcleo (V2). Por lo tanto, el estándar moderno y recomendado en la industria es utilizar un espacio: docker compose. Esta guía utilizará la sintaxis moderna, garantizando mayor velocidad y eficiencia en el despliegue.</w:t>
      </w:r>
    </w:p>
    <w:p w:rsidR="00000000" w:rsidDel="00000000" w:rsidP="00000000" w:rsidRDefault="00000000" w:rsidRPr="00000000" w14:paraId="0000002B">
      <w:pPr>
        <w:pStyle w:val="Heading2"/>
        <w:numPr>
          <w:ilvl w:val="0"/>
          <w:numId w:val="11"/>
        </w:numPr>
        <w:ind w:left="720" w:hanging="360"/>
        <w:jc w:val="center"/>
        <w:rPr/>
      </w:pPr>
      <w:r w:rsidDel="00000000" w:rsidR="00000000" w:rsidRPr="00000000">
        <w:rPr>
          <w:rtl w:val="0"/>
        </w:rPr>
        <w:t xml:space="preserve">Archivos de Configuración </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spacing w:after="120"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despliegue no requiere configuración manual de servidores. Todo está automatizado mediante dos componentes clave presentes en el código fuente:</w:t>
      </w:r>
    </w:p>
    <w:p w:rsidR="00000000" w:rsidDel="00000000" w:rsidP="00000000" w:rsidRDefault="00000000" w:rsidRPr="00000000" w14:paraId="0000002E">
      <w:pPr>
        <w:widowControl w:val="0"/>
        <w:numPr>
          <w:ilvl w:val="0"/>
          <w:numId w:val="18"/>
        </w:numPr>
        <w:spacing w:after="0" w:line="360" w:lineRule="auto"/>
        <w:ind w:left="720" w:hanging="360"/>
        <w:jc w:val="both"/>
        <w:rPr>
          <w:u w:val="none"/>
        </w:rPr>
      </w:pPr>
      <w:r w:rsidDel="00000000" w:rsidR="00000000" w:rsidRPr="00000000">
        <w:rPr>
          <w:rFonts w:ascii="Times New Roman" w:cs="Times New Roman" w:eastAsia="Times New Roman" w:hAnsi="Times New Roman"/>
          <w:b w:val="1"/>
          <w:bCs w:val="1"/>
          <w:sz w:val="24"/>
          <w:szCs w:val="24"/>
          <w:rtl w:val="0"/>
        </w:rPr>
        <w:t xml:space="preserve">Dockerfile:</w:t>
      </w:r>
      <w:r w:rsidDel="00000000" w:rsidR="00000000" w:rsidRPr="00000000">
        <w:rPr>
          <w:color w:val="1f1f1f"/>
          <w:shd w:fill="f0f4f9" w:val="clear"/>
          <w:rtl w:val="0"/>
        </w:rPr>
        <w:t xml:space="preserve"> </w:t>
      </w:r>
      <w:r w:rsidDel="00000000" w:rsidR="00000000" w:rsidRPr="00000000">
        <w:rPr>
          <w:rFonts w:ascii="Times New Roman" w:cs="Times New Roman" w:eastAsia="Times New Roman" w:hAnsi="Times New Roman"/>
          <w:sz w:val="24"/>
          <w:szCs w:val="24"/>
          <w:rtl w:val="0"/>
        </w:rPr>
        <w:t xml:space="preserve">Ubicado dentro de la carpeta de cada microservicio. Contiene la "receta" exacta para instalar las dependencias de Python y preparar el entorno de la API.</w:t>
      </w:r>
      <w:r w:rsidDel="00000000" w:rsidR="00000000" w:rsidRPr="00000000">
        <w:rPr>
          <w:rtl w:val="0"/>
        </w:rPr>
      </w:r>
    </w:p>
    <w:p w:rsidR="00000000" w:rsidDel="00000000" w:rsidP="00000000" w:rsidRDefault="00000000" w:rsidRPr="00000000" w14:paraId="0000002F">
      <w:pPr>
        <w:widowControl w:val="0"/>
        <w:numPr>
          <w:ilvl w:val="0"/>
          <w:numId w:val="18"/>
        </w:numPr>
        <w:spacing w:after="0" w:line="360" w:lineRule="auto"/>
        <w:ind w:left="720" w:hanging="360"/>
        <w:jc w:val="both"/>
        <w:rPr>
          <w:u w:val="none"/>
        </w:rPr>
      </w:pPr>
      <w:r w:rsidDel="00000000" w:rsidR="00000000" w:rsidRPr="00000000">
        <w:rPr>
          <w:rFonts w:ascii="Times New Roman" w:cs="Times New Roman" w:eastAsia="Times New Roman" w:hAnsi="Times New Roman"/>
          <w:b w:val="1"/>
          <w:bCs w:val="1"/>
          <w:sz w:val="24"/>
          <w:szCs w:val="24"/>
          <w:rtl w:val="0"/>
        </w:rPr>
        <w:t xml:space="preserve">docker-compose.yml:</w:t>
      </w:r>
      <w:r w:rsidDel="00000000" w:rsidR="00000000" w:rsidRPr="00000000">
        <w:rPr>
          <w:color w:val="1f1f1f"/>
          <w:shd w:fill="f0f4f9" w:val="clear"/>
          <w:rtl w:val="0"/>
        </w:rPr>
        <w:t xml:space="preserve"> </w:t>
      </w:r>
      <w:r w:rsidDel="00000000" w:rsidR="00000000" w:rsidRPr="00000000">
        <w:rPr>
          <w:rFonts w:ascii="Times New Roman" w:cs="Times New Roman" w:eastAsia="Times New Roman" w:hAnsi="Times New Roman"/>
          <w:sz w:val="24"/>
          <w:szCs w:val="24"/>
          <w:rtl w:val="0"/>
        </w:rPr>
        <w:t xml:space="preserve">Archivo maestro ubicado en la raíz del proyecto. Su función es orquestar todo el ecosistema: descarga las imágenes oficiales de PostgreSQL y RabbitMQ, manda a construir las imágenes de nuestros microservicios y agrupa los 9 contenedores dentro de una misma red virtual (Bridge) para que se comuniquen entre sí.</w:t>
      </w:r>
    </w:p>
    <w:p w:rsidR="00000000" w:rsidDel="00000000" w:rsidP="00000000" w:rsidRDefault="00000000" w:rsidRPr="00000000" w14:paraId="00000030">
      <w:pPr>
        <w:widowControl w:val="0"/>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numPr>
          <w:ilvl w:val="1"/>
          <w:numId w:val="11"/>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Imágenes Oficiales (Docker Hub)</w:t>
      </w:r>
    </w:p>
    <w:p w:rsidR="00000000" w:rsidDel="00000000" w:rsidP="00000000" w:rsidRDefault="00000000" w:rsidRPr="00000000" w14:paraId="00000032">
      <w:pPr>
        <w:widowControl w:val="0"/>
        <w:numPr>
          <w:ilvl w:val="0"/>
          <w:numId w:val="1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python:3.11-slim: Utilizada como base para nuestros 4 microservicios. La versión slim es una variante reducida de Linux (Debian) que solo contiene lo estrictamente necesario para ejecutar Python, reduciendo drásticamente el peso del contenedor y la superficie de vulnerabilidades.</w:t>
      </w:r>
    </w:p>
    <w:p w:rsidR="00000000" w:rsidDel="00000000" w:rsidP="00000000" w:rsidRDefault="00000000" w:rsidRPr="00000000" w14:paraId="00000033">
      <w:pPr>
        <w:widowControl w:val="0"/>
        <w:numPr>
          <w:ilvl w:val="0"/>
          <w:numId w:val="13"/>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postgres:15-alpine: Utilizada para las 4 bases de datos independientes. La variante alpine se basa en Alpine Linux, un sistema operativo ultraligero (pesa alrededor de 5MB), lo que permite que las bases de datos arranquen en milisegundos.</w:t>
      </w:r>
    </w:p>
    <w:p w:rsidR="00000000" w:rsidDel="00000000" w:rsidP="00000000" w:rsidRDefault="00000000" w:rsidRPr="00000000" w14:paraId="00000034">
      <w:pPr>
        <w:widowControl w:val="0"/>
        <w:numPr>
          <w:ilvl w:val="0"/>
          <w:numId w:val="13"/>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rabbitmq:3-management: Utilizada para el broker central. El repositorio en Docker Hub se llama rabbitmq. El sufijo 3-management es una etiqueta (tag) específica que indica que, además del motor de mensajería, el contenedor debe incluir el plugin de interfaz gráfica de usuario preinstalado.</w:t>
      </w:r>
    </w:p>
    <w:p w:rsidR="00000000" w:rsidDel="00000000" w:rsidP="00000000" w:rsidRDefault="00000000" w:rsidRPr="00000000" w14:paraId="00000035">
      <w:pPr>
        <w:widowControl w:val="0"/>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numPr>
          <w:ilvl w:val="1"/>
          <w:numId w:val="11"/>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Dockerfile (Microservicios)</w:t>
      </w:r>
    </w:p>
    <w:p w:rsidR="00000000" w:rsidDel="00000000" w:rsidP="00000000" w:rsidRDefault="00000000" w:rsidRPr="00000000" w14:paraId="00000037">
      <w:pPr>
        <w:widowControl w:val="0"/>
        <w:numPr>
          <w:ilvl w:val="0"/>
          <w:numId w:val="4"/>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python:3.11-slim: Define la imagen base.</w:t>
      </w:r>
    </w:p>
    <w:p w:rsidR="00000000" w:rsidDel="00000000" w:rsidP="00000000" w:rsidRDefault="00000000" w:rsidRPr="00000000" w14:paraId="00000038">
      <w:pPr>
        <w:widowControl w:val="0"/>
        <w:numPr>
          <w:ilvl w:val="0"/>
          <w:numId w:val="4"/>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WORKDIR /app: Crea un directorio virtual dentro del contenedor donde vivirá el código.</w:t>
      </w:r>
    </w:p>
    <w:p w:rsidR="00000000" w:rsidDel="00000000" w:rsidP="00000000" w:rsidRDefault="00000000" w:rsidRPr="00000000" w14:paraId="00000039">
      <w:pPr>
        <w:widowControl w:val="0"/>
        <w:numPr>
          <w:ilvl w:val="0"/>
          <w:numId w:val="4"/>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COPY requirements.txt . y RUN pip install...: Copia el listado de dependencias e instruye al contenedor a instalar librerías clave como FastAPI, SQLAlchemy, Psycopg2 (para PostgreSQL) y Pika (para RabbitMQ).</w:t>
      </w:r>
    </w:p>
    <w:p w:rsidR="00000000" w:rsidDel="00000000" w:rsidP="00000000" w:rsidRDefault="00000000" w:rsidRPr="00000000" w14:paraId="0000003A">
      <w:pPr>
        <w:widowControl w:val="0"/>
        <w:numPr>
          <w:ilvl w:val="0"/>
          <w:numId w:val="4"/>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EXPOSE 8000: Documenta el puerto interno por el que escuchará la API.</w:t>
      </w:r>
    </w:p>
    <w:p w:rsidR="00000000" w:rsidDel="00000000" w:rsidP="00000000" w:rsidRDefault="00000000" w:rsidRPr="00000000" w14:paraId="0000003B">
      <w:pPr>
        <w:widowControl w:val="0"/>
        <w:numPr>
          <w:ilvl w:val="0"/>
          <w:numId w:val="4"/>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CMD ["uvicorn", "app.main:app", ...]: El comando de arranque que levanta el servidor web asíncrono Uvicorn en cuanto el contenedor se enciende.</w:t>
      </w:r>
    </w:p>
    <w:p w:rsidR="00000000" w:rsidDel="00000000" w:rsidP="00000000" w:rsidRDefault="00000000" w:rsidRPr="00000000" w14:paraId="0000003C">
      <w:pPr>
        <w:widowControl w:val="0"/>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numPr>
          <w:ilvl w:val="1"/>
          <w:numId w:val="11"/>
        </w:numPr>
        <w:spacing w:after="0" w:afterAutospacing="0" w:line="360" w:lineRule="auto"/>
        <w:ind w:left="720" w:hanging="360"/>
        <w:jc w:val="both"/>
        <w:rPr/>
      </w:pPr>
      <w:r w:rsidDel="00000000" w:rsidR="00000000" w:rsidRPr="00000000">
        <w:rPr>
          <w:rFonts w:ascii="Times New Roman" w:cs="Times New Roman" w:eastAsia="Times New Roman" w:hAnsi="Times New Roman"/>
          <w:b w:val="1"/>
          <w:bCs w:val="1"/>
          <w:sz w:val="24"/>
          <w:szCs w:val="24"/>
          <w:rtl w:val="0"/>
        </w:rPr>
        <w:t xml:space="preserve">Orquestación con docker-compose.yml</w:t>
      </w:r>
    </w:p>
    <w:p w:rsidR="00000000" w:rsidDel="00000000" w:rsidP="00000000" w:rsidRDefault="00000000" w:rsidRPr="00000000" w14:paraId="0000003E">
      <w:pPr>
        <w:widowControl w:val="0"/>
        <w:numPr>
          <w:ilvl w:val="0"/>
          <w:numId w:val="6"/>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./ruta: Le indica a Docker que, en lugar de descargar una imagen, debe entrar a la carpeta del microservicio y ejecutar su Dockerfile.</w:t>
      </w:r>
    </w:p>
    <w:p w:rsidR="00000000" w:rsidDel="00000000" w:rsidP="00000000" w:rsidRDefault="00000000" w:rsidRPr="00000000" w14:paraId="0000003F">
      <w:pPr>
        <w:widowControl w:val="0"/>
        <w:numPr>
          <w:ilvl w:val="0"/>
          <w:numId w:val="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ports: Realiza el mapeo de puertos (ej. "8001:8000"). Conecta un puerto físico de su computadora (8001) hacia el puerto interno del contenedor (8000).</w:t>
      </w:r>
    </w:p>
    <w:p w:rsidR="00000000" w:rsidDel="00000000" w:rsidP="00000000" w:rsidRDefault="00000000" w:rsidRPr="00000000" w14:paraId="00000040">
      <w:pPr>
        <w:widowControl w:val="0"/>
        <w:numPr>
          <w:ilvl w:val="0"/>
          <w:numId w:val="5"/>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environment: Inyecta variables de entorno dinámicas, como las credenciales y las URLs de las bases de datos (DATABASE_URL).</w:t>
      </w:r>
    </w:p>
    <w:p w:rsidR="00000000" w:rsidDel="00000000" w:rsidP="00000000" w:rsidRDefault="00000000" w:rsidRPr="00000000" w14:paraId="00000041">
      <w:pPr>
        <w:widowControl w:val="0"/>
        <w:numPr>
          <w:ilvl w:val="0"/>
          <w:numId w:val="5"/>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depends_on: Establece un orden de arranque estricto utilizando healthchecks. Garantiza que las APIs de Python no intenten arrancar hasta que sus respectivas bases de datos PostgreSQL y el broker RabbitMQ reporten estar 100% listos para recibir conexiones.</w:t>
      </w:r>
    </w:p>
    <w:p w:rsidR="00000000" w:rsidDel="00000000" w:rsidP="00000000" w:rsidRDefault="00000000" w:rsidRPr="00000000" w14:paraId="00000042">
      <w:pPr>
        <w:widowControl w:val="0"/>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2"/>
        <w:numPr>
          <w:ilvl w:val="0"/>
          <w:numId w:val="11"/>
        </w:numPr>
        <w:ind w:left="720" w:hanging="360"/>
        <w:jc w:val="center"/>
        <w:rPr/>
      </w:pPr>
      <w:bookmarkStart w:colFirst="0" w:colLast="0" w:name="_heading=h.myj33kgynwap" w:id="2"/>
      <w:bookmarkEnd w:id="2"/>
      <w:r w:rsidDel="00000000" w:rsidR="00000000" w:rsidRPr="00000000">
        <w:rPr>
          <w:rtl w:val="0"/>
        </w:rPr>
        <w:t xml:space="preserve">Pasos para el Despliegue General</w:t>
      </w:r>
    </w:p>
    <w:p w:rsidR="00000000" w:rsidDel="00000000" w:rsidP="00000000" w:rsidRDefault="00000000" w:rsidRPr="00000000" w14:paraId="00000044">
      <w:pPr>
        <w:spacing w:after="0" w:lineRule="auto"/>
        <w:ind w:left="720" w:firstLine="0"/>
        <w:rPr/>
      </w:pPr>
      <w:r w:rsidDel="00000000" w:rsidR="00000000" w:rsidRPr="00000000">
        <w:rPr>
          <w:rtl w:val="0"/>
        </w:rPr>
      </w:r>
    </w:p>
    <w:p w:rsidR="00000000" w:rsidDel="00000000" w:rsidP="00000000" w:rsidRDefault="00000000" w:rsidRPr="00000000" w14:paraId="00000045">
      <w:pPr>
        <w:pStyle w:val="Heading2"/>
        <w:ind w:left="0" w:firstLine="0"/>
        <w:rPr>
          <w:rFonts w:ascii="Times New Roman" w:cs="Times New Roman" w:eastAsia="Times New Roman" w:hAnsi="Times New Roman"/>
          <w:b w:val="1"/>
          <w:bCs w:val="1"/>
          <w:sz w:val="24"/>
          <w:szCs w:val="24"/>
        </w:rPr>
      </w:pPr>
      <w:bookmarkStart w:colFirst="0" w:colLast="0" w:name="_heading=h.tjx6c897zo7e" w:id="3"/>
      <w:bookmarkEnd w:id="3"/>
      <w:r w:rsidDel="00000000" w:rsidR="00000000" w:rsidRPr="00000000">
        <w:rPr>
          <w:rtl w:val="0"/>
        </w:rPr>
        <w:t xml:space="preserve">3.1</w:t>
        <w:tab/>
      </w:r>
      <w:r w:rsidDel="00000000" w:rsidR="00000000" w:rsidRPr="00000000">
        <w:rPr>
          <w:rFonts w:ascii="Times New Roman" w:cs="Times New Roman" w:eastAsia="Times New Roman" w:hAnsi="Times New Roman"/>
          <w:b w:val="1"/>
          <w:bCs w:val="1"/>
          <w:sz w:val="24"/>
          <w:szCs w:val="24"/>
          <w:rtl w:val="0"/>
        </w:rPr>
        <w:t xml:space="preserve">Ubicación en el entorno</w:t>
      </w:r>
    </w:p>
    <w:p w:rsidR="00000000" w:rsidDel="00000000" w:rsidP="00000000" w:rsidRDefault="00000000" w:rsidRPr="00000000" w14:paraId="00000046">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 una terminal de comandos (Símbolo del sistema, PowerShell o Bash) y navegue hasta la carpeta raíz del proyecto, exactamente donde se encuentra el archivo docker-compose.yml.</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cd ruta/hacia/sistema pedidos</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9">
      <w:p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tab/>
      </w:r>
      <w:r w:rsidDel="00000000" w:rsidR="00000000" w:rsidRPr="00000000">
        <w:rPr>
          <w:rFonts w:ascii="Times New Roman" w:cs="Times New Roman" w:eastAsia="Times New Roman" w:hAnsi="Times New Roman"/>
          <w:b w:val="1"/>
          <w:bCs w:val="1"/>
          <w:sz w:val="24"/>
          <w:szCs w:val="24"/>
          <w:rtl w:val="0"/>
        </w:rPr>
        <w:t xml:space="preserve">Paso 2: Construcción y ejecución</w:t>
      </w:r>
    </w:p>
    <w:p w:rsidR="00000000" w:rsidDel="00000000" w:rsidP="00000000" w:rsidRDefault="00000000" w:rsidRPr="00000000" w14:paraId="0000004A">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Ejecute el siguiente comando para iniciar el proceso. Docker leerá el archivo de configuración, descargará las dependencias y levantará todos los servicios. El parámetro --build fuerza la compilación de cualquier cambio reciente en el código, y la bandera -d (detached) permite que los contenedores se ejecuten en segundo plano, liberando la terminal.</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docker compose up --build -d</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tab/>
        <w:t xml:space="preserve">Paso 3: Verificación de estado</w:t>
      </w:r>
    </w:p>
    <w:p w:rsidR="00000000" w:rsidDel="00000000" w:rsidP="00000000" w:rsidRDefault="00000000" w:rsidRPr="00000000" w14:paraId="0000004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comprobar que los 9 contenedores se construyeron e inicializaron correctamente, ejecute:</w:t>
      </w:r>
    </w:p>
    <w:p w:rsidR="00000000" w:rsidDel="00000000" w:rsidP="00000000" w:rsidRDefault="00000000" w:rsidRPr="00000000" w14:paraId="0000004F">
      <w:pPr>
        <w:numPr>
          <w:ilvl w:val="0"/>
          <w:numId w:val="15"/>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docker ps</w:t>
      </w:r>
    </w:p>
    <w:p w:rsidR="00000000" w:rsidDel="00000000" w:rsidP="00000000" w:rsidRDefault="00000000" w:rsidRPr="00000000" w14:paraId="00000050">
      <w:pPr>
        <w:spacing w:after="0"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comando desplegará una lista indicando el ID, los puertos expuestos y el estado (Up / Saludable) de cada contenedor.</w:t>
      </w:r>
    </w:p>
    <w:p w:rsidR="00000000" w:rsidDel="00000000" w:rsidP="00000000" w:rsidRDefault="00000000" w:rsidRPr="00000000" w14:paraId="00000051">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numPr>
          <w:ilvl w:val="0"/>
          <w:numId w:val="11"/>
        </w:numPr>
        <w:ind w:left="720" w:hanging="360"/>
        <w:jc w:val="center"/>
        <w:rPr/>
      </w:pPr>
      <w:bookmarkStart w:colFirst="0" w:colLast="0" w:name="_heading=h.ft6004homgio" w:id="4"/>
      <w:bookmarkEnd w:id="4"/>
      <w:r w:rsidDel="00000000" w:rsidR="00000000" w:rsidRPr="00000000">
        <w:rPr>
          <w:rtl w:val="0"/>
        </w:rPr>
        <w:t xml:space="preserve">Acceso y Verificación de los Servicios</w:t>
      </w:r>
    </w:p>
    <w:p w:rsidR="00000000" w:rsidDel="00000000" w:rsidP="00000000" w:rsidRDefault="00000000" w:rsidRPr="00000000" w14:paraId="00000053">
      <w:pPr>
        <w:spacing w:after="0" w:lineRule="auto"/>
        <w:ind w:left="720" w:firstLine="0"/>
        <w:jc w:val="both"/>
        <w:rPr/>
      </w:pPr>
      <w:r w:rsidDel="00000000" w:rsidR="00000000" w:rsidRPr="00000000">
        <w:rPr>
          <w:rtl w:val="0"/>
        </w:rPr>
      </w:r>
    </w:p>
    <w:p w:rsidR="00000000" w:rsidDel="00000000" w:rsidP="00000000" w:rsidRDefault="00000000" w:rsidRPr="00000000" w14:paraId="00000054">
      <w:pPr>
        <w:spacing w:after="0"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la infraestructura está en estado Up, las interfaces están listas para ser utilizadas a través del navegador web local (localhost):</w:t>
      </w:r>
    </w:p>
    <w:p w:rsidR="00000000" w:rsidDel="00000000" w:rsidP="00000000" w:rsidRDefault="00000000" w:rsidRPr="00000000" w14:paraId="00000055">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numPr>
          <w:ilvl w:val="0"/>
          <w:numId w:val="1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Broker Central (RabbitMQ):</w:t>
      </w:r>
      <w:r w:rsidDel="00000000" w:rsidR="00000000" w:rsidRPr="00000000">
        <w:rPr>
          <w:rFonts w:ascii="Times New Roman" w:cs="Times New Roman" w:eastAsia="Times New Roman" w:hAnsi="Times New Roman"/>
          <w:sz w:val="24"/>
          <w:szCs w:val="24"/>
          <w:rtl w:val="0"/>
        </w:rPr>
        <w:t xml:space="preserve"> Ingrese a http://localhost:15672.</w:t>
      </w:r>
    </w:p>
    <w:p w:rsidR="00000000" w:rsidDel="00000000" w:rsidP="00000000" w:rsidRDefault="00000000" w:rsidRPr="00000000" w14:paraId="00000057">
      <w:pPr>
        <w:widowControl w:val="0"/>
        <w:numPr>
          <w:ilvl w:val="1"/>
          <w:numId w:val="10"/>
        </w:numPr>
        <w:spacing w:after="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Credenciales: Usuario: guest y Contraseña: guest.</w:t>
      </w:r>
    </w:p>
    <w:p w:rsidR="00000000" w:rsidDel="00000000" w:rsidP="00000000" w:rsidRDefault="00000000" w:rsidRPr="00000000" w14:paraId="00000058">
      <w:pPr>
        <w:widowControl w:val="0"/>
        <w:numPr>
          <w:ilvl w:val="1"/>
          <w:numId w:val="10"/>
        </w:numPr>
        <w:spacing w:after="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Permite monitorear el flujo de eventos, ver las conexiones activas y gestionar las colas (cola_pedidos, cola_facturacion, etc.).</w:t>
      </w:r>
    </w:p>
    <w:p w:rsidR="00000000" w:rsidDel="00000000" w:rsidP="00000000" w:rsidRDefault="00000000" w:rsidRPr="00000000" w14:paraId="00000059">
      <w:pPr>
        <w:widowControl w:val="0"/>
        <w:numPr>
          <w:ilvl w:val="0"/>
          <w:numId w:val="1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M1 - API de Pedidos:</w:t>
      </w:r>
      <w:r w:rsidDel="00000000" w:rsidR="00000000" w:rsidRPr="00000000">
        <w:rPr>
          <w:rFonts w:ascii="Times New Roman" w:cs="Times New Roman" w:eastAsia="Times New Roman" w:hAnsi="Times New Roman"/>
          <w:sz w:val="24"/>
          <w:szCs w:val="24"/>
          <w:rtl w:val="0"/>
        </w:rPr>
        <w:t xml:space="preserve"> http://localhost:8000/docs (Interfaz Swagger UI para enviar solicitudes POST).</w:t>
      </w:r>
    </w:p>
    <w:p w:rsidR="00000000" w:rsidDel="00000000" w:rsidP="00000000" w:rsidRDefault="00000000" w:rsidRPr="00000000" w14:paraId="0000005A">
      <w:pPr>
        <w:widowControl w:val="0"/>
        <w:numPr>
          <w:ilvl w:val="0"/>
          <w:numId w:val="1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M2 - API de Facturación:</w:t>
      </w:r>
      <w:r w:rsidDel="00000000" w:rsidR="00000000" w:rsidRPr="00000000">
        <w:rPr>
          <w:rFonts w:ascii="Times New Roman" w:cs="Times New Roman" w:eastAsia="Times New Roman" w:hAnsi="Times New Roman"/>
          <w:sz w:val="24"/>
          <w:szCs w:val="24"/>
          <w:rtl w:val="0"/>
        </w:rPr>
        <w:t xml:space="preserve"> http://localhost:8001/docs</w:t>
      </w:r>
    </w:p>
    <w:p w:rsidR="00000000" w:rsidDel="00000000" w:rsidP="00000000" w:rsidRDefault="00000000" w:rsidRPr="00000000" w14:paraId="0000005B">
      <w:pPr>
        <w:widowControl w:val="0"/>
        <w:numPr>
          <w:ilvl w:val="0"/>
          <w:numId w:val="1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M3 - API de Inventario:</w:t>
      </w:r>
      <w:r w:rsidDel="00000000" w:rsidR="00000000" w:rsidRPr="00000000">
        <w:rPr>
          <w:rFonts w:ascii="Times New Roman" w:cs="Times New Roman" w:eastAsia="Times New Roman" w:hAnsi="Times New Roman"/>
          <w:sz w:val="24"/>
          <w:szCs w:val="24"/>
          <w:rtl w:val="0"/>
        </w:rPr>
        <w:t xml:space="preserve"> http://localhost:8002/docs (Para inyectar inventario de prueba).</w:t>
      </w:r>
    </w:p>
    <w:p w:rsidR="00000000" w:rsidDel="00000000" w:rsidP="00000000" w:rsidRDefault="00000000" w:rsidRPr="00000000" w14:paraId="0000005C">
      <w:pPr>
        <w:widowControl w:val="0"/>
        <w:numPr>
          <w:ilvl w:val="0"/>
          <w:numId w:val="10"/>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M4 - API de Notificaciones:</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sz w:val="24"/>
            <w:szCs w:val="24"/>
            <w:rtl w:val="0"/>
          </w:rPr>
          <w:t xml:space="preserve">http://localhost:8003/docs</w:t>
        </w:r>
      </w:hyperlink>
      <w:r w:rsidDel="00000000" w:rsidR="00000000" w:rsidRPr="00000000">
        <w:rPr>
          <w:rtl w:val="0"/>
        </w:rPr>
      </w:r>
    </w:p>
    <w:p w:rsidR="00000000" w:rsidDel="00000000" w:rsidP="00000000" w:rsidRDefault="00000000" w:rsidRPr="00000000" w14:paraId="0000005D">
      <w:pPr>
        <w:widowControl w:val="0"/>
        <w:spacing w:after="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after="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after="0"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numPr>
          <w:ilvl w:val="0"/>
          <w:numId w:val="11"/>
        </w:numPr>
        <w:spacing w:after="0" w:lineRule="auto"/>
        <w:ind w:left="720" w:hanging="360"/>
        <w:jc w:val="center"/>
        <w:rPr/>
      </w:pPr>
      <w:bookmarkStart w:colFirst="0" w:colLast="0" w:name="_heading=h.mijp6dugxsz" w:id="5"/>
      <w:bookmarkEnd w:id="5"/>
      <w:r w:rsidDel="00000000" w:rsidR="00000000" w:rsidRPr="00000000">
        <w:rPr>
          <w:rtl w:val="0"/>
        </w:rPr>
        <w:t xml:space="preserve">Acceso y Administración de las Bases de Datos Internas</w:t>
      </w:r>
    </w:p>
    <w:p w:rsidR="00000000" w:rsidDel="00000000" w:rsidP="00000000" w:rsidRDefault="00000000" w:rsidRPr="00000000" w14:paraId="00000062">
      <w:pPr>
        <w:spacing w:after="0" w:lineRule="auto"/>
        <w:ind w:left="0" w:firstLine="0"/>
        <w:rPr/>
      </w:pPr>
      <w:r w:rsidDel="00000000" w:rsidR="00000000" w:rsidRPr="00000000">
        <w:rPr>
          <w:rtl w:val="0"/>
        </w:rPr>
      </w:r>
    </w:p>
    <w:p w:rsidR="00000000" w:rsidDel="00000000" w:rsidP="00000000" w:rsidRDefault="00000000" w:rsidRPr="00000000" w14:paraId="00000063">
      <w:pPr>
        <w:spacing w:after="0"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aplicamos el patrón Database per Service, cada microservicio tiene su propia instancia de PostgreSQL aislada. Para auditar los datos o realizar consultas manuales (SQL), Docker nos permite ejecutar comandos interactivamente dentro de los contenedores en ejecución utilizando docker compose exec.</w:t>
      </w:r>
    </w:p>
    <w:p w:rsidR="00000000" w:rsidDel="00000000" w:rsidP="00000000" w:rsidRDefault="00000000" w:rsidRPr="00000000" w14:paraId="00000064">
      <w:pPr>
        <w:spacing w:after="0" w:line="360" w:lineRule="auto"/>
        <w:ind w:left="0"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 sintaxis general es:</w:t>
      </w:r>
      <w:r w:rsidDel="00000000" w:rsidR="00000000" w:rsidRPr="00000000">
        <w:rPr>
          <w:rFonts w:ascii="Times New Roman" w:cs="Times New Roman" w:eastAsia="Times New Roman" w:hAnsi="Times New Roman"/>
          <w:sz w:val="24"/>
          <w:szCs w:val="24"/>
          <w:rtl w:val="0"/>
        </w:rPr>
        <w:t xml:space="preserve"> docker compose exec [nombre_contenedor] psql -U [usuario] -d [nombre_database]</w:t>
      </w:r>
    </w:p>
    <w:p w:rsidR="00000000" w:rsidDel="00000000" w:rsidP="00000000" w:rsidRDefault="00000000" w:rsidRPr="00000000" w14:paraId="0000006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w:t>
        <w:tab/>
        <w:t xml:space="preserve">Ejemplo 1: Ver los pedidos registrados</w:t>
      </w:r>
    </w:p>
    <w:p w:rsidR="00000000" w:rsidDel="00000000" w:rsidP="00000000" w:rsidRDefault="00000000" w:rsidRPr="00000000" w14:paraId="00000068">
      <w:pPr>
        <w:spacing w:after="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acceder a la consola SQL de la base de datos de pedidos, ejecute</w:t>
      </w:r>
    </w:p>
    <w:p w:rsidR="00000000" w:rsidDel="00000000" w:rsidP="00000000" w:rsidRDefault="00000000" w:rsidRPr="00000000" w14:paraId="00000069">
      <w:pPr>
        <w:numPr>
          <w:ilvl w:val="0"/>
          <w:numId w:val="16"/>
        </w:numPr>
        <w:spacing w:after="240"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docker compose exec db_pedidos psql -U user -d pedidos_db</w:t>
      </w:r>
    </w:p>
    <w:p w:rsidR="00000000" w:rsidDel="00000000" w:rsidP="00000000" w:rsidRDefault="00000000" w:rsidRPr="00000000" w14:paraId="0000006A">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dentro, puede ejecutar comandos SQL estándar como: SELECT * FROM pedidos; y luego escribir \q para salir.</w:t>
      </w:r>
    </w:p>
    <w:p w:rsidR="00000000" w:rsidDel="00000000" w:rsidP="00000000" w:rsidRDefault="00000000" w:rsidRPr="00000000" w14:paraId="0000006B">
      <w:pPr>
        <w:spacing w:after="0" w:line="360" w:lineRule="auto"/>
        <w:ind w:firstLine="70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tab/>
        <w:t xml:space="preserve">Ejemplo 2: Ver el inventario disponible</w:t>
      </w:r>
    </w:p>
    <w:p w:rsidR="00000000" w:rsidDel="00000000" w:rsidP="00000000" w:rsidRDefault="00000000" w:rsidRPr="00000000" w14:paraId="0000006D">
      <w:pPr>
        <w:spacing w:after="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auditar el stock en el servicio de Inventario:</w:t>
      </w:r>
    </w:p>
    <w:p w:rsidR="00000000" w:rsidDel="00000000" w:rsidP="00000000" w:rsidRDefault="00000000" w:rsidRPr="00000000" w14:paraId="0000006E">
      <w:pPr>
        <w:numPr>
          <w:ilvl w:val="0"/>
          <w:numId w:val="12"/>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docker compose exec db_inventario psql -U user -d inventario_db</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numPr>
          <w:ilvl w:val="0"/>
          <w:numId w:val="11"/>
        </w:numPr>
        <w:ind w:left="720" w:hanging="360"/>
        <w:jc w:val="center"/>
        <w:rPr/>
      </w:pPr>
      <w:bookmarkStart w:colFirst="0" w:colLast="0" w:name="_heading=h.2ufqz1m5r1p2" w:id="6"/>
      <w:bookmarkEnd w:id="6"/>
      <w:r w:rsidDel="00000000" w:rsidR="00000000" w:rsidRPr="00000000">
        <w:rPr>
          <w:rtl w:val="0"/>
        </w:rPr>
        <w:t xml:space="preserve">Gestión y Apagado de la Infraestructura</w:t>
      </w:r>
    </w:p>
    <w:p w:rsidR="00000000" w:rsidDel="00000000" w:rsidP="00000000" w:rsidRDefault="00000000" w:rsidRPr="00000000" w14:paraId="00000077">
      <w:pPr>
        <w:spacing w:after="0" w:line="360" w:lineRule="auto"/>
        <w:ind w:left="720" w:firstLine="0"/>
        <w:rPr/>
      </w:pPr>
      <w:r w:rsidDel="00000000" w:rsidR="00000000" w:rsidRPr="00000000">
        <w:rPr>
          <w:rtl w:val="0"/>
        </w:rPr>
      </w:r>
    </w:p>
    <w:p w:rsidR="00000000" w:rsidDel="00000000" w:rsidP="00000000" w:rsidRDefault="00000000" w:rsidRPr="00000000" w14:paraId="00000078">
      <w:pPr>
        <w:spacing w:after="120"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administrar el ciclo de vida del ecosistema, utilice los siguientes comandos en la raíz del proyecto:</w:t>
      </w:r>
    </w:p>
    <w:p w:rsidR="00000000" w:rsidDel="00000000" w:rsidP="00000000" w:rsidRDefault="00000000" w:rsidRPr="00000000" w14:paraId="00000079">
      <w:pPr>
        <w:spacing w:after="0" w:line="36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w:t>
        <w:tab/>
        <w:t xml:space="preserve">Ver los registros (logs) en tiempo real</w:t>
      </w:r>
    </w:p>
    <w:p w:rsidR="00000000" w:rsidDel="00000000" w:rsidP="00000000" w:rsidRDefault="00000000" w:rsidRPr="00000000" w14:paraId="0000007B">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Útil para ver cómo viajan los eventos entre los contenedores.</w:t>
      </w:r>
    </w:p>
    <w:p w:rsidR="00000000" w:rsidDel="00000000" w:rsidP="00000000" w:rsidRDefault="00000000" w:rsidRPr="00000000" w14:paraId="0000007C">
      <w:pPr>
        <w:numPr>
          <w:ilvl w:val="0"/>
          <w:numId w:val="2"/>
        </w:numPr>
        <w:spacing w:after="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docker compose logs -f</w:t>
      </w:r>
    </w:p>
    <w:p w:rsidR="00000000" w:rsidDel="00000000" w:rsidP="00000000" w:rsidRDefault="00000000" w:rsidRPr="00000000" w14:paraId="0000007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w:t>
        <w:tab/>
        <w:t xml:space="preserve">Detener los servicios temporalmente</w:t>
      </w:r>
    </w:p>
    <w:p w:rsidR="00000000" w:rsidDel="00000000" w:rsidP="00000000" w:rsidRDefault="00000000" w:rsidRPr="00000000" w14:paraId="0000007F">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Apaga los contenedores pero mantiene intactos los datos y las bases de datos.</w:t>
      </w:r>
    </w:p>
    <w:p w:rsidR="00000000" w:rsidDel="00000000" w:rsidP="00000000" w:rsidRDefault="00000000" w:rsidRPr="00000000" w14:paraId="00000080">
      <w:pPr>
        <w:numPr>
          <w:ilvl w:val="0"/>
          <w:numId w:val="17"/>
        </w:numPr>
        <w:spacing w:after="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docker compose stop</w:t>
      </w:r>
    </w:p>
    <w:p w:rsidR="00000000" w:rsidDel="00000000" w:rsidP="00000000" w:rsidRDefault="00000000" w:rsidRPr="00000000" w14:paraId="00000081">
      <w:pPr>
        <w:spacing w:after="0" w:line="36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2">
      <w:pPr>
        <w:spacing w:after="2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w:t>
        <w:tab/>
      </w:r>
      <w:r w:rsidDel="00000000" w:rsidR="00000000" w:rsidRPr="00000000">
        <w:rPr>
          <w:rFonts w:ascii="Times New Roman" w:cs="Times New Roman" w:eastAsia="Times New Roman" w:hAnsi="Times New Roman"/>
          <w:b w:val="1"/>
          <w:bCs w:val="1"/>
          <w:sz w:val="24"/>
          <w:szCs w:val="24"/>
          <w:rtl w:val="0"/>
        </w:rPr>
        <w:t xml:space="preserve">Destruir la infraestructura</w:t>
      </w:r>
    </w:p>
    <w:p w:rsidR="00000000" w:rsidDel="00000000" w:rsidP="00000000" w:rsidRDefault="00000000" w:rsidRPr="00000000" w14:paraId="00000083">
      <w:pPr>
        <w:spacing w:after="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Detiene y elimina los contenedores y la red virtual, liberando los recursos de la máquina.</w:t>
      </w:r>
    </w:p>
    <w:p w:rsidR="00000000" w:rsidDel="00000000" w:rsidP="00000000" w:rsidRDefault="00000000" w:rsidRPr="00000000" w14:paraId="00000084">
      <w:pPr>
        <w:numPr>
          <w:ilvl w:val="0"/>
          <w:numId w:val="1"/>
        </w:numPr>
        <w:spacing w:after="200"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docker compose down</w:t>
      </w:r>
    </w:p>
    <w:p w:rsidR="00000000" w:rsidDel="00000000" w:rsidP="00000000" w:rsidRDefault="00000000" w:rsidRPr="00000000" w14:paraId="00000085">
      <w:pPr>
        <w:spacing w:after="6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6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6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6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1"/>
        <w:rPr/>
      </w:pPr>
      <w:bookmarkStart w:colFirst="0" w:colLast="0" w:name="_heading=h.2s8eyo1" w:id="7"/>
      <w:bookmarkEnd w:id="7"/>
      <w:r w:rsidDel="00000000" w:rsidR="00000000" w:rsidRPr="00000000">
        <w:rPr>
          <w:rtl w:val="0"/>
        </w:rPr>
        <w:t xml:space="preserve">Referencias Bibliográficas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Inc. (2026). Docker Compose overview (1a. ed.). Docker Documentation. </w:t>
      </w:r>
      <w:hyperlink r:id="rId8">
        <w:r w:rsidDel="00000000" w:rsidR="00000000" w:rsidRPr="00000000">
          <w:rPr>
            <w:rFonts w:ascii="Times New Roman" w:cs="Times New Roman" w:eastAsia="Times New Roman" w:hAnsi="Times New Roman"/>
            <w:sz w:val="24"/>
            <w:szCs w:val="24"/>
            <w:rtl w:val="0"/>
          </w:rPr>
          <w:t xml:space="preserve">https://docs.docker.com/compose/</w:t>
        </w:r>
      </w:hyperlink>
      <w:r w:rsidDel="00000000" w:rsidR="00000000" w:rsidRPr="00000000">
        <w:rPr>
          <w:rtl w:val="0"/>
        </w:rPr>
      </w:r>
    </w:p>
    <w:p w:rsidR="00000000" w:rsidDel="00000000" w:rsidP="00000000" w:rsidRDefault="00000000" w:rsidRPr="00000000" w14:paraId="0000008C">
      <w:pPr>
        <w:spacing w:after="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RabbitMQ. (2023). AMQP 0-9-1 Model Explained (1a. ed.). VMware. </w:t>
      </w:r>
      <w:hyperlink r:id="rId9">
        <w:r w:rsidDel="00000000" w:rsidR="00000000" w:rsidRPr="00000000">
          <w:rPr>
            <w:rFonts w:ascii="Times New Roman" w:cs="Times New Roman" w:eastAsia="Times New Roman" w:hAnsi="Times New Roman"/>
            <w:sz w:val="24"/>
            <w:szCs w:val="24"/>
            <w:rtl w:val="0"/>
          </w:rPr>
          <w:t xml:space="preserve">https://www.rabbitmq.com/tutorials/amqp-concepts.html</w:t>
        </w:r>
      </w:hyperlink>
      <w:r w:rsidDel="00000000" w:rsidR="00000000" w:rsidRPr="00000000">
        <w:rPr>
          <w:rtl w:val="0"/>
        </w:rPr>
      </w:r>
    </w:p>
    <w:p w:rsidR="00000000" w:rsidDel="00000000" w:rsidP="00000000" w:rsidRDefault="00000000" w:rsidRPr="00000000" w14:paraId="0000008E">
      <w:pPr>
        <w:spacing w:after="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Ramírez, S. (2023). FastAPI Documentation (1a. ed.). Tiangolo Press. </w:t>
      </w:r>
      <w:hyperlink r:id="rId10">
        <w:r w:rsidDel="00000000" w:rsidR="00000000" w:rsidRPr="00000000">
          <w:rPr>
            <w:rFonts w:ascii="Times New Roman" w:cs="Times New Roman" w:eastAsia="Times New Roman" w:hAnsi="Times New Roman"/>
            <w:sz w:val="24"/>
            <w:szCs w:val="24"/>
            <w:rtl w:val="0"/>
          </w:rPr>
          <w:t xml:space="preserve">https://fastapi.tiangolo.com/</w:t>
        </w:r>
      </w:hyperlink>
      <w:r w:rsidDel="00000000" w:rsidR="00000000" w:rsidRPr="00000000">
        <w:rPr>
          <w:rtl w:val="0"/>
        </w:rPr>
      </w:r>
    </w:p>
    <w:p w:rsidR="00000000" w:rsidDel="00000000" w:rsidP="00000000" w:rsidRDefault="00000000" w:rsidRPr="00000000" w14:paraId="00000090">
      <w:pPr>
        <w:spacing w:after="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Global Development Group. (2023). PostgreSQL 15 Documentation (15a. ed.). PostgreSQL. </w:t>
      </w:r>
      <w:hyperlink r:id="rId11">
        <w:r w:rsidDel="00000000" w:rsidR="00000000" w:rsidRPr="00000000">
          <w:rPr>
            <w:rFonts w:ascii="Times New Roman" w:cs="Times New Roman" w:eastAsia="Times New Roman" w:hAnsi="Times New Roman"/>
            <w:sz w:val="24"/>
            <w:szCs w:val="24"/>
            <w:rtl w:val="0"/>
          </w:rPr>
          <w:t xml:space="preserve">https://www.postgresql.org/docs/15/</w:t>
        </w:r>
      </w:hyperlink>
      <w:r w:rsidDel="00000000" w:rsidR="00000000" w:rsidRPr="00000000">
        <w:rPr>
          <w:rtl w:val="0"/>
        </w:rPr>
      </w:r>
    </w:p>
    <w:p w:rsidR="00000000" w:rsidDel="00000000" w:rsidP="00000000" w:rsidRDefault="00000000" w:rsidRPr="00000000" w14:paraId="00000092">
      <w:pPr>
        <w:spacing w:after="0"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(2024). Diseño de una aplicación orientada a microservicios. Microsoft Learn. </w:t>
      </w:r>
      <w:hyperlink r:id="rId12">
        <w:r w:rsidDel="00000000" w:rsidR="00000000" w:rsidRPr="00000000">
          <w:rPr>
            <w:rFonts w:ascii="Times New Roman" w:cs="Times New Roman" w:eastAsia="Times New Roman" w:hAnsi="Times New Roman"/>
            <w:sz w:val="24"/>
            <w:szCs w:val="24"/>
            <w:rtl w:val="0"/>
          </w:rPr>
          <w:t xml:space="preserve">https://learn.microsoft.com/es-es/dotnet/architecture/microservices/multi-container-microservice-net-applications/microservice-application-design</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headerReference r:id="rId13" w:type="default"/>
      <w:pgSz w:h="15840" w:w="12240" w:orient="portrait"/>
      <w:pgMar w:bottom="1440" w:top="1440" w:left="1440" w:right="1440" w:header="68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88"/>
        <w:tab w:val="right" w:leader="none" w:pos="935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4149090</wp:posOffset>
          </wp:positionH>
          <wp:positionV relativeFrom="paragraph">
            <wp:posOffset>71755</wp:posOffset>
          </wp:positionV>
          <wp:extent cx="1559560" cy="477520"/>
          <wp:effectExtent b="0" l="0" r="0" t="0"/>
          <wp:wrapNone/>
          <wp:docPr id="6" name="image1.png"/>
          <a:graphic>
            <a:graphicData uri="http://schemas.openxmlformats.org/drawingml/2006/picture">
              <pic:pic>
                <pic:nvPicPr>
                  <pic:cNvPr id="0" name="image1.png"/>
                  <pic:cNvPicPr preferRelativeResize="0"/>
                </pic:nvPicPr>
                <pic:blipFill>
                  <a:blip r:embed="rId1"/>
                  <a:srcRect b="13597" l="61939" r="4155" t="12795"/>
                  <a:stretch>
                    <a:fillRect/>
                  </a:stretch>
                </pic:blipFill>
                <pic:spPr>
                  <a:xfrm>
                    <a:off x="0" y="0"/>
                    <a:ext cx="1559560" cy="477520"/>
                  </a:xfrm>
                  <a:prstGeom prst="rect"/>
                  <a:ln/>
                </pic:spPr>
              </pic:pic>
            </a:graphicData>
          </a:graphic>
        </wp:anchor>
      </w:drawing>
    </w:r>
  </w:p>
  <w:tbl>
    <w:tblPr>
      <w:tblStyle w:val="Table1"/>
      <w:tblW w:w="9803.0" w:type="dxa"/>
      <w:jc w:val="left"/>
      <w:tblInd w:w="-284.0" w:type="dxa"/>
      <w:tblBorders>
        <w:top w:color="000000" w:space="0" w:sz="0" w:val="nil"/>
        <w:left w:color="000000" w:space="0" w:sz="0" w:val="nil"/>
        <w:bottom w:color="595959" w:space="0" w:sz="4" w:val="single"/>
        <w:right w:color="000000" w:space="0" w:sz="0" w:val="nil"/>
        <w:insideH w:color="595959" w:space="0" w:sz="4" w:val="single"/>
        <w:insideV w:color="595959" w:space="0" w:sz="4" w:val="single"/>
      </w:tblBorders>
      <w:tblLayout w:type="fixed"/>
      <w:tblLook w:val="0400"/>
    </w:tblPr>
    <w:tblGrid>
      <w:gridCol w:w="6629"/>
      <w:gridCol w:w="3174"/>
      <w:tblGridChange w:id="0">
        <w:tblGrid>
          <w:gridCol w:w="6629"/>
          <w:gridCol w:w="3174"/>
        </w:tblGrid>
      </w:tblGridChange>
    </w:tblGrid>
    <w:tr>
      <w:trPr>
        <w:cantSplit w:val="0"/>
        <w:trHeight w:val="709" w:hRule="atLeast"/>
        <w:tblHeader w:val="0"/>
      </w:trPr>
      <w:tc>
        <w:tcPr/>
        <w:p w:rsidR="00000000" w:rsidDel="00000000" w:rsidP="00000000" w:rsidRDefault="00000000" w:rsidRPr="00000000" w14:paraId="00000096">
          <w:pPr>
            <w:rPr>
              <w:rFonts w:ascii="Times New Roman" w:cs="Times New Roman" w:eastAsia="Times New Roman" w:hAnsi="Times New Roman"/>
              <w:color w:val="404040"/>
            </w:rPr>
          </w:pPr>
          <w:r w:rsidDel="00000000" w:rsidR="00000000" w:rsidRPr="00000000">
            <w:rPr>
              <w:rFonts w:ascii="Times New Roman" w:cs="Times New Roman" w:eastAsia="Times New Roman" w:hAnsi="Times New Roman"/>
              <w:color w:val="404040"/>
              <w:rtl w:val="0"/>
            </w:rPr>
            <w:t xml:space="preserve">DOCUMENTO DE INSTALACION Y CONFIGURACION</w:t>
          </w:r>
        </w:p>
        <w:p w:rsidR="00000000" w:rsidDel="00000000" w:rsidP="00000000" w:rsidRDefault="00000000" w:rsidRPr="00000000" w14:paraId="00000097">
          <w:pPr>
            <w:rPr>
              <w:rFonts w:ascii="Times New Roman" w:cs="Times New Roman" w:eastAsia="Times New Roman" w:hAnsi="Times New Roman"/>
              <w:color w:val="404040"/>
            </w:rPr>
          </w:pPr>
          <w:r w:rsidDel="00000000" w:rsidR="00000000" w:rsidRPr="00000000">
            <w:rPr>
              <w:rtl w:val="0"/>
            </w:rPr>
          </w:r>
        </w:p>
      </w:tc>
      <w:tc>
        <w:tcPr/>
        <w:p w:rsidR="00000000" w:rsidDel="00000000" w:rsidP="00000000" w:rsidRDefault="00000000" w:rsidRPr="00000000" w14:paraId="00000098">
          <w:pPr>
            <w:jc w:val="right"/>
            <w:rPr>
              <w:rFonts w:ascii="Times New Roman" w:cs="Times New Roman" w:eastAsia="Times New Roman" w:hAnsi="Times New Roman"/>
              <w:i w:val="1"/>
              <w:iCs w:val="1"/>
              <w:color w:val="404040"/>
            </w:rPr>
          </w:pP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right"/>
      <w:pPr>
        <w:ind w:left="720" w:hanging="360"/>
      </w:pPr>
      <w:rPr/>
    </w:lvl>
    <w:lvl w:ilvl="1">
      <w:start w:val="1"/>
      <w:numFmt w:val="decimal"/>
      <w:lvlText w:val="%1.%2."/>
      <w:lvlJc w:val="right"/>
      <w:pPr>
        <w:ind w:left="1440" w:hanging="360"/>
      </w:pPr>
      <w:rPr>
        <w:rFonts w:ascii="Times New Roman" w:cs="Times New Roman" w:eastAsia="Times New Roman" w:hAnsi="Times New Roman"/>
        <w:b w:val="1"/>
        <w:bCs w:val="1"/>
        <w:u w:val="none"/>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ind w:left="0" w:firstLine="0"/>
      <w:jc w:val="center"/>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keepNext w:val="1"/>
      <w:keepLines w:val="1"/>
      <w:spacing w:after="0" w:before="40" w:line="36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spacing w:after="0" w:line="360" w:lineRule="auto"/>
    </w:pPr>
    <w:rPr>
      <w:rFonts w:ascii="Times New Roman" w:cs="Times New Roman" w:eastAsia="Times New Roman" w:hAnsi="Times New Roman"/>
      <w:b w:val="1"/>
      <w:bCs w:val="1"/>
      <w:i w:val="1"/>
      <w:iCs w:val="1"/>
      <w:sz w:val="27"/>
      <w:szCs w:val="27"/>
    </w:rPr>
  </w:style>
  <w:style w:type="paragraph" w:styleId="Heading4">
    <w:name w:val="heading 4"/>
    <w:basedOn w:val="Normal"/>
    <w:next w:val="Normal"/>
    <w:pPr>
      <w:keepNext w:val="1"/>
      <w:keepLines w:val="1"/>
      <w:spacing w:after="0" w:line="360" w:lineRule="auto"/>
      <w:ind w:left="709"/>
    </w:pPr>
    <w:rPr>
      <w:rFonts w:ascii="Times New Roman" w:cs="Times New Roman" w:eastAsia="Times New Roman" w:hAnsi="Times New Roman"/>
      <w:b w:val="1"/>
      <w:bCs w:val="1"/>
      <w:color w:val="000000"/>
      <w:sz w:val="24"/>
      <w:szCs w:val="24"/>
    </w:rPr>
  </w:style>
  <w:style w:type="paragraph" w:styleId="Heading5">
    <w:name w:val="heading 5"/>
    <w:basedOn w:val="Normal"/>
    <w:next w:val="Normal"/>
    <w:pPr>
      <w:keepNext w:val="1"/>
      <w:keepLines w:val="1"/>
      <w:spacing w:after="0" w:before="40" w:line="360" w:lineRule="auto"/>
      <w:ind w:left="709"/>
    </w:pPr>
    <w:rPr>
      <w:rFonts w:ascii="Times New Roman" w:cs="Times New Roman" w:eastAsia="Times New Roman" w:hAnsi="Times New Roman"/>
      <w:b w:val="1"/>
      <w:bCs w:val="1"/>
      <w:i w:val="1"/>
      <w:iCs w:val="1"/>
      <w:color w:val="000000"/>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C45B7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45B7F"/>
  </w:style>
  <w:style w:type="table" w:styleId="Tablaconcuadrcula">
    <w:name w:val="Table Grid"/>
    <w:basedOn w:val="Tablanormal"/>
    <w:uiPriority w:val="59"/>
    <w:rsid w:val="00C45B7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2B7A0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B7A0E"/>
  </w:style>
  <w:style w:type="paragraph" w:styleId="NormalWeb">
    <w:name w:val="Normal (Web)"/>
    <w:basedOn w:val="Normal"/>
    <w:uiPriority w:val="99"/>
    <w:semiHidden w:val="1"/>
    <w:unhideWhenUsed w:val="1"/>
    <w:rsid w:val="00284220"/>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Prrafodelista">
    <w:name w:val="List Paragraph"/>
    <w:basedOn w:val="Normal"/>
    <w:uiPriority w:val="99"/>
    <w:qFormat w:val="1"/>
    <w:rsid w:val="00284220"/>
    <w:pPr>
      <w:ind w:left="720"/>
      <w:contextualSpacing w:val="1"/>
    </w:pPr>
  </w:style>
  <w:style w:type="paragraph" w:styleId="Default" w:customStyle="1">
    <w:name w:val="Default"/>
    <w:rsid w:val="00284220"/>
    <w:pPr>
      <w:autoSpaceDE w:val="0"/>
      <w:autoSpaceDN w:val="0"/>
      <w:adjustRightInd w:val="0"/>
      <w:spacing w:after="0" w:line="240" w:lineRule="auto"/>
    </w:pPr>
    <w:rPr>
      <w:rFonts w:ascii="Arial" w:cs="Arial" w:eastAsia="Calibri" w:hAnsi="Arial"/>
      <w:color w:val="000000"/>
      <w:sz w:val="24"/>
      <w:szCs w:val="24"/>
      <w:lang w:eastAsia="es-ES"/>
    </w:rPr>
  </w:style>
  <w:style w:type="character" w:styleId="apple-converted-space" w:customStyle="1">
    <w:name w:val="apple-converted-space"/>
    <w:basedOn w:val="Fuentedeprrafopredeter"/>
    <w:rsid w:val="00284220"/>
  </w:style>
  <w:style w:type="character" w:styleId="Fuerte">
    <w:name w:val="Strong"/>
    <w:basedOn w:val="Fuentedeprrafopredeter"/>
    <w:uiPriority w:val="22"/>
    <w:qFormat w:val="1"/>
    <w:rsid w:val="00284220"/>
    <w:rPr>
      <w:b w:val="1"/>
      <w:bCs w:val="1"/>
    </w:rPr>
  </w:style>
  <w:style w:type="character" w:styleId="Ttulo3Car" w:customStyle="1">
    <w:name w:val="Título 3 Car"/>
    <w:basedOn w:val="Fuentedeprrafopredeter"/>
    <w:link w:val="Ttulo3"/>
    <w:uiPriority w:val="9"/>
    <w:rsid w:val="00A82571"/>
    <w:rPr>
      <w:rFonts w:ascii="Times New Roman" w:cs="Times New Roman" w:eastAsia="Times New Roman" w:hAnsi="Times New Roman"/>
      <w:b w:val="1"/>
      <w:bCs w:val="1"/>
      <w:i w:val="1"/>
      <w:sz w:val="27"/>
      <w:szCs w:val="27"/>
      <w:lang w:eastAsia="es-ES" w:val="es-ES"/>
    </w:rPr>
  </w:style>
  <w:style w:type="numbering" w:styleId="Sinlista1" w:customStyle="1">
    <w:name w:val="Sin lista1"/>
    <w:next w:val="Sinlista"/>
    <w:uiPriority w:val="99"/>
    <w:semiHidden w:val="1"/>
    <w:unhideWhenUsed w:val="1"/>
    <w:rsid w:val="00DE7141"/>
  </w:style>
  <w:style w:type="character" w:styleId="Hipervnculo">
    <w:name w:val="Hyperlink"/>
    <w:uiPriority w:val="99"/>
    <w:rsid w:val="00DE7141"/>
    <w:rPr>
      <w:rFonts w:cs="Times New Roman"/>
      <w:color w:val="0000ff"/>
      <w:u w:val="single"/>
    </w:rPr>
  </w:style>
  <w:style w:type="character" w:styleId="Smbolodenotaalpie" w:customStyle="1">
    <w:name w:val="Símbolo de nota al pie"/>
    <w:uiPriority w:val="99"/>
    <w:rsid w:val="00DE7141"/>
    <w:rPr>
      <w:rFonts w:cs="Times New Roman"/>
      <w:vertAlign w:val="superscript"/>
    </w:rPr>
  </w:style>
  <w:style w:type="character" w:styleId="Smbolodenotafinal" w:customStyle="1">
    <w:name w:val="Símbolo de nota final"/>
    <w:uiPriority w:val="99"/>
    <w:rsid w:val="00DE7141"/>
    <w:rPr>
      <w:rFonts w:cs="Times New Roman"/>
      <w:vertAlign w:val="superscript"/>
    </w:rPr>
  </w:style>
  <w:style w:type="paragraph" w:styleId="Textonotapie">
    <w:name w:val="footnote text"/>
    <w:basedOn w:val="Normal"/>
    <w:link w:val="TextonotapieCar"/>
    <w:uiPriority w:val="99"/>
    <w:semiHidden w:val="1"/>
    <w:rsid w:val="00DE7141"/>
    <w:pPr>
      <w:suppressAutoHyphens w:val="1"/>
      <w:spacing w:after="0" w:line="360" w:lineRule="auto"/>
      <w:jc w:val="both"/>
    </w:pPr>
    <w:rPr>
      <w:rFonts w:ascii="Arial" w:cs="Arial" w:eastAsia="Times New Roman" w:hAnsi="Arial"/>
      <w:sz w:val="20"/>
      <w:szCs w:val="20"/>
      <w:lang w:eastAsia="ar-SA"/>
    </w:rPr>
  </w:style>
  <w:style w:type="character" w:styleId="TextonotapieCar" w:customStyle="1">
    <w:name w:val="Texto nota pie Car"/>
    <w:basedOn w:val="Fuentedeprrafopredeter"/>
    <w:link w:val="Textonotapie"/>
    <w:uiPriority w:val="99"/>
    <w:semiHidden w:val="1"/>
    <w:rsid w:val="00DE7141"/>
    <w:rPr>
      <w:rFonts w:ascii="Arial" w:cs="Arial" w:eastAsia="Times New Roman" w:hAnsi="Arial"/>
      <w:sz w:val="20"/>
      <w:szCs w:val="20"/>
      <w:lang w:eastAsia="ar-SA"/>
    </w:rPr>
  </w:style>
  <w:style w:type="paragraph" w:styleId="Textonotaalfinal">
    <w:name w:val="endnote text"/>
    <w:basedOn w:val="Normal"/>
    <w:link w:val="TextonotaalfinalCar"/>
    <w:uiPriority w:val="99"/>
    <w:semiHidden w:val="1"/>
    <w:rsid w:val="00DE7141"/>
    <w:pPr>
      <w:suppressAutoHyphens w:val="1"/>
      <w:spacing w:after="0" w:line="360" w:lineRule="auto"/>
      <w:jc w:val="both"/>
    </w:pPr>
    <w:rPr>
      <w:rFonts w:ascii="Arial" w:cs="Arial" w:eastAsia="Times New Roman" w:hAnsi="Arial"/>
      <w:sz w:val="20"/>
      <w:szCs w:val="20"/>
      <w:lang w:eastAsia="ar-SA"/>
    </w:rPr>
  </w:style>
  <w:style w:type="character" w:styleId="TextonotaalfinalCar" w:customStyle="1">
    <w:name w:val="Texto nota al final Car"/>
    <w:basedOn w:val="Fuentedeprrafopredeter"/>
    <w:link w:val="Textonotaalfinal"/>
    <w:uiPriority w:val="99"/>
    <w:semiHidden w:val="1"/>
    <w:rsid w:val="00DE7141"/>
    <w:rPr>
      <w:rFonts w:ascii="Arial" w:cs="Arial" w:eastAsia="Times New Roman" w:hAnsi="Arial"/>
      <w:sz w:val="20"/>
      <w:szCs w:val="20"/>
      <w:lang w:eastAsia="ar-SA"/>
    </w:rPr>
  </w:style>
  <w:style w:type="table" w:styleId="Tablaconcuadrcula1" w:customStyle="1">
    <w:name w:val="Tabla con cuadrícula1"/>
    <w:basedOn w:val="Tablanormal"/>
    <w:next w:val="Tablaconcuadrcula"/>
    <w:uiPriority w:val="59"/>
    <w:rsid w:val="00DE7141"/>
    <w:pPr>
      <w:spacing w:after="0" w:line="240" w:lineRule="auto"/>
    </w:pPr>
    <w:rPr>
      <w:rFonts w:ascii="Calibri" w:cs="Times New Roman" w:eastAsia="Times New Roman" w:hAnsi="Calibri"/>
      <w:sz w:val="20"/>
      <w:szCs w:val="20"/>
      <w:lang w:eastAsia="es-CO"/>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sinformato">
    <w:name w:val="Plain Text"/>
    <w:basedOn w:val="Normal"/>
    <w:link w:val="TextosinformatoCar"/>
    <w:rsid w:val="00DE7141"/>
    <w:pPr>
      <w:spacing w:after="0" w:line="240" w:lineRule="auto"/>
    </w:pPr>
    <w:rPr>
      <w:rFonts w:ascii="Courier New" w:cs="Times New Roman" w:eastAsia="Times New Roman" w:hAnsi="Courier New"/>
      <w:sz w:val="20"/>
      <w:szCs w:val="20"/>
      <w:lang w:eastAsia="es-ES" w:val="es-ES"/>
    </w:rPr>
  </w:style>
  <w:style w:type="character" w:styleId="TextosinformatoCar" w:customStyle="1">
    <w:name w:val="Texto sin formato Car"/>
    <w:basedOn w:val="Fuentedeprrafopredeter"/>
    <w:link w:val="Textosinformato"/>
    <w:rsid w:val="00DE7141"/>
    <w:rPr>
      <w:rFonts w:ascii="Courier New" w:cs="Times New Roman" w:eastAsia="Times New Roman" w:hAnsi="Courier New"/>
      <w:sz w:val="20"/>
      <w:szCs w:val="20"/>
      <w:lang w:eastAsia="es-ES" w:val="es-ES"/>
    </w:rPr>
  </w:style>
  <w:style w:type="character" w:styleId="Refdecomentario">
    <w:name w:val="annotation reference"/>
    <w:uiPriority w:val="99"/>
    <w:semiHidden w:val="1"/>
    <w:unhideWhenUsed w:val="1"/>
    <w:rsid w:val="00DE7141"/>
    <w:rPr>
      <w:sz w:val="16"/>
      <w:szCs w:val="16"/>
    </w:rPr>
  </w:style>
  <w:style w:type="paragraph" w:styleId="Textocomentario">
    <w:name w:val="annotation text"/>
    <w:basedOn w:val="Normal"/>
    <w:link w:val="TextocomentarioCar"/>
    <w:uiPriority w:val="99"/>
    <w:semiHidden w:val="1"/>
    <w:unhideWhenUsed w:val="1"/>
    <w:rsid w:val="00DE7141"/>
    <w:rPr>
      <w:rFonts w:ascii="Calibri" w:cs="Times New Roman" w:eastAsia="Times New Roman" w:hAnsi="Calibri"/>
      <w:sz w:val="20"/>
      <w:szCs w:val="20"/>
      <w:lang w:eastAsia="es-ES_tradnl" w:val="es-ES_tradnl"/>
    </w:rPr>
  </w:style>
  <w:style w:type="character" w:styleId="TextocomentarioCar" w:customStyle="1">
    <w:name w:val="Texto comentario Car"/>
    <w:basedOn w:val="Fuentedeprrafopredeter"/>
    <w:link w:val="Textocomentario"/>
    <w:uiPriority w:val="99"/>
    <w:semiHidden w:val="1"/>
    <w:rsid w:val="00DE7141"/>
    <w:rPr>
      <w:rFonts w:ascii="Calibri" w:cs="Times New Roman" w:eastAsia="Times New Roman" w:hAnsi="Calibri"/>
      <w:sz w:val="20"/>
      <w:szCs w:val="20"/>
      <w:lang w:eastAsia="es-ES_tradnl" w:val="es-ES_tradnl"/>
    </w:rPr>
  </w:style>
  <w:style w:type="paragraph" w:styleId="Asuntodelcomentario">
    <w:name w:val="annotation subject"/>
    <w:basedOn w:val="Textocomentario"/>
    <w:next w:val="Textocomentario"/>
    <w:link w:val="AsuntodelcomentarioCar"/>
    <w:uiPriority w:val="99"/>
    <w:semiHidden w:val="1"/>
    <w:unhideWhenUsed w:val="1"/>
    <w:rsid w:val="00DE7141"/>
    <w:rPr>
      <w:b w:val="1"/>
      <w:bCs w:val="1"/>
    </w:rPr>
  </w:style>
  <w:style w:type="character" w:styleId="AsuntodelcomentarioCar" w:customStyle="1">
    <w:name w:val="Asunto del comentario Car"/>
    <w:basedOn w:val="TextocomentarioCar"/>
    <w:link w:val="Asuntodelcomentario"/>
    <w:uiPriority w:val="99"/>
    <w:semiHidden w:val="1"/>
    <w:rsid w:val="00DE7141"/>
    <w:rPr>
      <w:rFonts w:ascii="Calibri" w:cs="Times New Roman" w:eastAsia="Times New Roman" w:hAnsi="Calibri"/>
      <w:b w:val="1"/>
      <w:bCs w:val="1"/>
      <w:sz w:val="20"/>
      <w:szCs w:val="20"/>
      <w:lang w:eastAsia="es-ES_tradnl" w:val="es-ES_tradnl"/>
    </w:rPr>
  </w:style>
  <w:style w:type="paragraph" w:styleId="Textodeglobo">
    <w:name w:val="Balloon Text"/>
    <w:basedOn w:val="Normal"/>
    <w:link w:val="TextodegloboCar"/>
    <w:uiPriority w:val="99"/>
    <w:semiHidden w:val="1"/>
    <w:unhideWhenUsed w:val="1"/>
    <w:rsid w:val="00DE7141"/>
    <w:pPr>
      <w:spacing w:after="0" w:line="240" w:lineRule="auto"/>
    </w:pPr>
    <w:rPr>
      <w:rFonts w:ascii="Tahoma" w:cs="Tahoma" w:eastAsia="Times New Roman" w:hAnsi="Tahoma"/>
      <w:sz w:val="16"/>
      <w:szCs w:val="16"/>
      <w:lang w:eastAsia="es-ES_tradnl" w:val="es-ES_tradnl"/>
    </w:rPr>
  </w:style>
  <w:style w:type="character" w:styleId="TextodegloboCar" w:customStyle="1">
    <w:name w:val="Texto de globo Car"/>
    <w:basedOn w:val="Fuentedeprrafopredeter"/>
    <w:link w:val="Textodeglobo"/>
    <w:uiPriority w:val="99"/>
    <w:semiHidden w:val="1"/>
    <w:rsid w:val="00DE7141"/>
    <w:rPr>
      <w:rFonts w:ascii="Tahoma" w:cs="Tahoma" w:eastAsia="Times New Roman" w:hAnsi="Tahoma"/>
      <w:sz w:val="16"/>
      <w:szCs w:val="16"/>
      <w:lang w:eastAsia="es-ES_tradnl" w:val="es-ES_tradnl"/>
    </w:rPr>
  </w:style>
  <w:style w:type="character" w:styleId="Nmerodepgina">
    <w:name w:val="page number"/>
    <w:basedOn w:val="Fuentedeprrafopredeter"/>
    <w:rsid w:val="00DE7141"/>
  </w:style>
  <w:style w:type="character" w:styleId="resdate" w:customStyle="1">
    <w:name w:val="resdate"/>
    <w:basedOn w:val="Fuentedeprrafopredeter"/>
    <w:rsid w:val="00DE7141"/>
  </w:style>
  <w:style w:type="paragraph" w:styleId="Author" w:customStyle="1">
    <w:name w:val="Author"/>
    <w:basedOn w:val="Default"/>
    <w:next w:val="Default"/>
    <w:uiPriority w:val="99"/>
    <w:rsid w:val="00DE7141"/>
    <w:rPr>
      <w:rFonts w:ascii="HIKNAF+TimesNewRoman,Bold" w:cs="Times New Roman" w:eastAsia="Times New Roman" w:hAnsi="HIKNAF+TimesNewRoman,Bold"/>
      <w:color w:val="auto"/>
      <w:lang w:val="es-ES"/>
    </w:rPr>
  </w:style>
  <w:style w:type="paragraph" w:styleId="Textoindependiente3">
    <w:name w:val="Body Text 3"/>
    <w:basedOn w:val="Normal"/>
    <w:link w:val="Textoindependiente3Car"/>
    <w:unhideWhenUsed w:val="1"/>
    <w:rsid w:val="00DE7141"/>
    <w:pPr>
      <w:suppressAutoHyphens w:val="1"/>
      <w:spacing w:after="120" w:line="240" w:lineRule="auto"/>
    </w:pPr>
    <w:rPr>
      <w:rFonts w:ascii="Times New Roman" w:cs="Calibri" w:eastAsia="Times New Roman" w:hAnsi="Times New Roman"/>
      <w:sz w:val="16"/>
      <w:szCs w:val="16"/>
      <w:lang w:eastAsia="ar-SA"/>
    </w:rPr>
  </w:style>
  <w:style w:type="character" w:styleId="Textoindependiente3Car" w:customStyle="1">
    <w:name w:val="Texto independiente 3 Car"/>
    <w:basedOn w:val="Fuentedeprrafopredeter"/>
    <w:link w:val="Textoindependiente3"/>
    <w:rsid w:val="00DE7141"/>
    <w:rPr>
      <w:rFonts w:ascii="Times New Roman" w:cs="Calibri" w:eastAsia="Times New Roman" w:hAnsi="Times New Roman"/>
      <w:sz w:val="16"/>
      <w:szCs w:val="16"/>
      <w:lang w:eastAsia="ar-SA"/>
    </w:rPr>
  </w:style>
  <w:style w:type="character" w:styleId="Refdenotaalpie">
    <w:name w:val="footnote reference"/>
    <w:basedOn w:val="Fuentedeprrafopredeter"/>
    <w:uiPriority w:val="99"/>
    <w:semiHidden w:val="1"/>
    <w:unhideWhenUsed w:val="1"/>
    <w:rsid w:val="000E4EB5"/>
    <w:rPr>
      <w:vertAlign w:val="superscript"/>
    </w:rPr>
  </w:style>
  <w:style w:type="character" w:styleId="Ttulo1Car" w:customStyle="1">
    <w:name w:val="Título 1 Car"/>
    <w:basedOn w:val="Fuentedeprrafopredeter"/>
    <w:link w:val="Ttulo1"/>
    <w:uiPriority w:val="9"/>
    <w:rsid w:val="00FB59BD"/>
    <w:rPr>
      <w:rFonts w:ascii="Times New Roman" w:cs="Times New Roman" w:eastAsia="Times New Roman" w:hAnsi="Times New Roman"/>
      <w:b w:val="1"/>
      <w:color w:val="000000"/>
      <w:sz w:val="24"/>
      <w:szCs w:val="24"/>
      <w:lang w:eastAsia="es-CO" w:val="es-ES"/>
    </w:rPr>
  </w:style>
  <w:style w:type="paragraph" w:styleId="TtuloTDC">
    <w:name w:val="TOC Heading"/>
    <w:basedOn w:val="Ttulo1"/>
    <w:next w:val="Normal"/>
    <w:uiPriority w:val="39"/>
    <w:unhideWhenUsed w:val="1"/>
    <w:qFormat w:val="1"/>
    <w:rsid w:val="00F16E32"/>
    <w:pPr>
      <w:spacing w:line="259" w:lineRule="auto"/>
      <w:outlineLvl w:val="9"/>
    </w:pPr>
    <w:rPr>
      <w:lang w:eastAsia="es-ES"/>
    </w:rPr>
  </w:style>
  <w:style w:type="character" w:styleId="Ttulo2Car" w:customStyle="1">
    <w:name w:val="Título 2 Car"/>
    <w:basedOn w:val="Fuentedeprrafopredeter"/>
    <w:link w:val="Ttulo2"/>
    <w:uiPriority w:val="9"/>
    <w:rsid w:val="00A82571"/>
    <w:rPr>
      <w:rFonts w:ascii="Times New Roman" w:cs="Times New Roman" w:eastAsia="Times New Roman" w:hAnsi="Times New Roman"/>
      <w:b w:val="1"/>
      <w:color w:val="000000"/>
      <w:sz w:val="24"/>
      <w:szCs w:val="24"/>
      <w:lang w:eastAsia="es-CO" w:val="es-ES"/>
    </w:rPr>
  </w:style>
  <w:style w:type="character" w:styleId="Ttulo4Car" w:customStyle="1">
    <w:name w:val="Título 4 Car"/>
    <w:basedOn w:val="Fuentedeprrafopredeter"/>
    <w:link w:val="Ttulo4"/>
    <w:uiPriority w:val="9"/>
    <w:rsid w:val="00A82571"/>
    <w:rPr>
      <w:rFonts w:ascii="Times New Roman" w:cs="Times New Roman" w:eastAsia="Times New Roman" w:hAnsi="Times New Roman"/>
      <w:b w:val="1"/>
      <w:iCs w:val="1"/>
      <w:color w:val="000000"/>
      <w:sz w:val="24"/>
      <w:szCs w:val="24"/>
      <w:lang w:eastAsia="es-CO" w:val="es-ES"/>
    </w:rPr>
  </w:style>
  <w:style w:type="character" w:styleId="Ttulo5Car" w:customStyle="1">
    <w:name w:val="Título 5 Car"/>
    <w:basedOn w:val="Fuentedeprrafopredeter"/>
    <w:link w:val="Ttulo5"/>
    <w:uiPriority w:val="9"/>
    <w:rsid w:val="00A82571"/>
    <w:rPr>
      <w:rFonts w:ascii="Times New Roman" w:cs="Times New Roman" w:eastAsia="Times New Roman" w:hAnsi="Times New Roman"/>
      <w:b w:val="1"/>
      <w:i w:val="1"/>
      <w:color w:val="000000"/>
      <w:sz w:val="24"/>
      <w:szCs w:val="24"/>
      <w:lang w:eastAsia="es-CO" w:val="es-ES"/>
    </w:rPr>
  </w:style>
  <w:style w:type="paragraph" w:styleId="TDC1">
    <w:name w:val="toc 1"/>
    <w:basedOn w:val="Normal"/>
    <w:next w:val="Normal"/>
    <w:autoRedefine w:val="1"/>
    <w:uiPriority w:val="39"/>
    <w:unhideWhenUsed w:val="1"/>
    <w:rsid w:val="00F16E32"/>
    <w:pPr>
      <w:spacing w:after="100"/>
    </w:pPr>
  </w:style>
  <w:style w:type="paragraph" w:styleId="TDC2">
    <w:name w:val="toc 2"/>
    <w:basedOn w:val="Normal"/>
    <w:next w:val="Normal"/>
    <w:autoRedefine w:val="1"/>
    <w:uiPriority w:val="39"/>
    <w:unhideWhenUsed w:val="1"/>
    <w:rsid w:val="00F16E32"/>
    <w:pPr>
      <w:spacing w:after="100"/>
      <w:ind w:left="220"/>
    </w:pPr>
  </w:style>
  <w:style w:type="paragraph" w:styleId="TDC3">
    <w:name w:val="toc 3"/>
    <w:basedOn w:val="Normal"/>
    <w:next w:val="Normal"/>
    <w:autoRedefine w:val="1"/>
    <w:uiPriority w:val="39"/>
    <w:unhideWhenUsed w:val="1"/>
    <w:rsid w:val="00F16E32"/>
    <w:pPr>
      <w:spacing w:after="100"/>
      <w:ind w:left="440"/>
    </w:pPr>
  </w:style>
  <w:style w:type="paragraph" w:styleId="TDC4">
    <w:name w:val="toc 4"/>
    <w:basedOn w:val="Normal"/>
    <w:next w:val="Normal"/>
    <w:autoRedefine w:val="1"/>
    <w:uiPriority w:val="39"/>
    <w:unhideWhenUsed w:val="1"/>
    <w:rsid w:val="00C438B3"/>
    <w:pPr>
      <w:spacing w:after="100"/>
      <w:ind w:left="660"/>
    </w:pPr>
  </w:style>
  <w:style w:type="paragraph" w:styleId="TDC5">
    <w:name w:val="toc 5"/>
    <w:basedOn w:val="Normal"/>
    <w:next w:val="Normal"/>
    <w:autoRedefine w:val="1"/>
    <w:uiPriority w:val="39"/>
    <w:unhideWhenUsed w:val="1"/>
    <w:rsid w:val="00C438B3"/>
    <w:pPr>
      <w:spacing w:after="100"/>
      <w:ind w:left="880"/>
    </w:pPr>
  </w:style>
  <w:style w:type="character" w:styleId="Mencinsinresolver">
    <w:name w:val="Unresolved Mention"/>
    <w:basedOn w:val="Fuentedeprrafopredeter"/>
    <w:uiPriority w:val="99"/>
    <w:semiHidden w:val="1"/>
    <w:unhideWhenUsed w:val="1"/>
    <w:rsid w:val="00D95D6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https://www.postgresql.org/docs/15/" TargetMode="External"/><Relationship Id="rId10" Type="http://schemas.openxmlformats.org/officeDocument/2006/relationships/hyperlink" Target="https://fastapi.tiangolo.com/" TargetMode="External"/><Relationship Id="rId13" Type="http://schemas.openxmlformats.org/officeDocument/2006/relationships/header" Target="header1.xml"/><Relationship Id="rId12" Type="http://schemas.openxmlformats.org/officeDocument/2006/relationships/hyperlink" Target="https://learn.microsoft.com/es-es/dotnet/architecture/microservices/multi-container-microservice-net-applications/microservice-application-desig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bbitmq.com/tutorials/amqp-concept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ocalhost:8003/docs" TargetMode="External"/><Relationship Id="rId8" Type="http://schemas.openxmlformats.org/officeDocument/2006/relationships/hyperlink" Target="https://docs.docker.com/compo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BkusJqPr+xLt/NnsD7C0DRs2w==">CgMxLjAyCWguM3pueXNoNzIIaC50eWpjd3QyDmgubXlqMzNrZ3lud2FwMg5oLnRqeDZjODk3em83ZTIOaC5mdDYwMDRob21naW8yDWgubWlqcDZkdWd4c3oyDmguMnVmcXoxbTVyMXAyMgloLjJzOGV5bzE4AHIhMWhWd25sb1ZWNmdxU01hNWQ2TGVoT2U2cEhUM1pzVjNT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2026-02-02T20:42:00Z</dcterms:created>
  <dc:creator>Nora Visbal</dc:creator>
</cp:coreProperties>
</file>