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1143000"/>
                    </a:xfrm>
                    <a:prstGeom prst="rect">
                      <a:avLst/>
                    </a:prstGeom>
                  </pic:spPr>
                </pic:pic>
              </a:graphicData>
            </a:graphic>
          </wp:inline>
        </w:drawing>
      </w:r>
    </w:p>
    <w:p>
      <w:pPr>
        <w:spacing w:after="0" w:line="360"/>
        <w:jc w:val="center"/>
      </w:pPr>
      <w:r>
        <w:rPr>
          <w:rFonts w:ascii="Arial" w:cs="Arial" w:eastAsia="Arial" w:hAnsi="Arial"/>
          <w:b w:val="false"/>
          <w:bCs w:val="false"/>
          <w:sz w:val="24"/>
          <w:szCs w:val="24"/>
        </w:rPr>
        <w:t xml:space="preserve">Facultad de Ingeniería</w:t>
      </w:r>
    </w:p>
    <w:p>
      <w:pPr>
        <w:spacing w:after="0" w:line="360"/>
        <w:jc w:val="center"/>
      </w:pPr>
      <w:r>
        <w:rPr>
          <w:rFonts w:ascii="Arial" w:cs="Arial" w:eastAsia="Arial" w:hAnsi="Arial"/>
          <w:b w:val="false"/>
          <w:bCs w:val="false"/>
          <w:sz w:val="24"/>
          <w:szCs w:val="24"/>
        </w:rPr>
        <w:t xml:space="preserve">Magíster en Ciencia de Datos e Inteligencia Artificial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bCs/>
          <w:sz w:val="24"/>
          <w:szCs w:val="24"/>
        </w:rPr>
        <w:t xml:space="preserve">ANÁLISIS DE LA DESERCIÓN EN LA EDUCACIÓN SUPERIOR CHILENA</w:t>
      </w:r>
    </w:p>
    <w:p>
      <w:pPr>
        <w:spacing w:after="0" w:line="360"/>
        <w:jc w:val="center"/>
      </w:pPr>
      <w:r>
        <w:rPr>
          <w:rFonts w:ascii="Arial" w:cs="Arial" w:eastAsia="Arial" w:hAnsi="Arial"/>
          <w:b w:val="false"/>
          <w:bCs w:val="false"/>
          <w:sz w:val="24"/>
          <w:szCs w:val="24"/>
        </w:rPr>
        <w:t xml:space="preserve">Informe técnico de avance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Evaluación Sumativa 1</w:t>
      </w:r>
    </w:p>
    <w:p>
      <w:pPr>
        <w:spacing w:after="0" w:line="360"/>
        <w:jc w:val="center"/>
      </w:pPr>
      <w:r>
        <w:rPr>
          <w:rFonts w:ascii="Arial" w:cs="Arial" w:eastAsia="Arial" w:hAnsi="Arial"/>
          <w:b w:val="false"/>
          <w:bCs w:val="false"/>
          <w:sz w:val="24"/>
          <w:szCs w:val="24"/>
        </w:rPr>
        <w:t xml:space="preserve">Estadística Computacional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Autor:</w:t>
      </w:r>
    </w:p>
    <w:p>
      <w:pPr>
        <w:spacing w:after="0" w:line="360"/>
        <w:jc w:val="center"/>
      </w:pPr>
      <w:r>
        <w:rPr>
          <w:rFonts w:ascii="Arial" w:cs="Arial" w:eastAsia="Arial" w:hAnsi="Arial"/>
          <w:b w:val="false"/>
          <w:bCs w:val="false"/>
          <w:sz w:val="24"/>
          <w:szCs w:val="24"/>
        </w:rPr>
        <w:t xml:space="preserve">Sebastian Antunez Noguera</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Profesor/a:</w:t>
      </w:r>
    </w:p>
    <w:p>
      <w:pPr>
        <w:spacing w:after="0" w:line="360"/>
        <w:jc w:val="center"/>
      </w:pPr>
      <w:r>
        <w:rPr>
          <w:rFonts w:ascii="Arial" w:cs="Arial" w:eastAsia="Arial" w:hAnsi="Arial"/>
          <w:b w:val="false"/>
          <w:bCs w:val="false"/>
          <w:sz w:val="24"/>
          <w:szCs w:val="24"/>
        </w:rPr>
        <w:t xml:space="preserve">[indicar nombre del docente]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Santiago, Chile</w:t>
      </w:r>
    </w:p>
    <w:p>
      <w:pPr>
        <w:spacing w:after="0" w:line="360"/>
        <w:jc w:val="center"/>
        <w:sectPr>
          <w:pgSz w:w="12240" w:h="15840" w:orient="portrait"/>
          <w:pgMar w:top="1417" w:right="1417" w:bottom="1417" w:left="1417" w:header="708" w:footer="708" w:gutter="0"/>
          <w:pgNumType/>
          <w:docGrid w:linePitch="360"/>
        </w:sectPr>
      </w:pPr>
      <w:r>
        <w:rPr>
          <w:rFonts w:ascii="Arial" w:cs="Arial" w:eastAsia="Arial" w:hAnsi="Arial"/>
          <w:b w:val="false"/>
          <w:bCs w:val="false"/>
          <w:sz w:val="24"/>
          <w:szCs w:val="24"/>
        </w:rPr>
        <w:t xml:space="preserve">2026</w:t>
      </w:r>
    </w:p>
    <w:p>
      <w:pPr>
        <w:pStyle w:val="Heading1"/>
        <w:spacing w:after="130" w:before="260"/>
      </w:pPr>
      <w:r>
        <w:rPr>
          <w:b/>
          <w:bCs/>
          <w:color w:val="1F3864"/>
          <w:sz w:val="26"/>
          <w:szCs w:val="26"/>
        </w:rPr>
        <w:t xml:space="preserve">1. Problema de decisión y objetivo</w:t>
      </w:r>
    </w:p>
    <w:p>
      <w:pPr>
        <w:spacing w:after="120" w:line="264"/>
        <w:jc w:val="both"/>
      </w:pPr>
      <w:r>
        <w:t xml:space="preserve">Más de la mitad de quienes ingresan a un programa de pregrado en Chile no llega a titularse de él. El hecho tiene consecuencias para el estudiante, que pierde tiempo y dinero; para la institución, que sostiene vacantes que no rinden; y para el Estado, que subsidia matrículas sin contrapartida.</w:t>
      </w:r>
    </w:p>
    <w:p>
      <w:pPr>
        <w:spacing w:after="120" w:line="264"/>
        <w:jc w:val="both"/>
      </w:pPr>
      <w:r>
        <w:t xml:space="preserve">Este informe aborda una situación concreta de decisión bajo incertidumbre: </w:t>
      </w:r>
      <w:r>
        <w:rPr>
          <w:b/>
          <w:bCs/>
        </w:rPr>
        <w:t xml:space="preserve">una autoridad dispone de presupuesto para un programa de retención que solo alcanza a cubrir una fracción de los programas del sistema, y debe decidir dónde concentrarlo.</w:t>
      </w:r>
      <w:r>
        <w:t xml:space="preserve"> La incertidumbre es doble. Por un lado, el abandono de cada programa no se observa directamente, sino que se estima a partir de registros agregados. Por otro, no se sabe de antemano qué criterio de focalización separa mejor a los programas problemáticos de los demás.</w:t>
      </w:r>
    </w:p>
    <w:p>
      <w:pPr>
        <w:spacing w:after="120" w:line="264"/>
        <w:jc w:val="both"/>
      </w:pPr>
      <w:r>
        <w:t xml:space="preserve">De ahí las tres preguntas que estructuran el trabajo, cada una asociada a un procedimiento estadístico: (i) cuál es la magnitud del abandono y cuánto varía entre programas, que responde la estadística descriptiva; (ii) con qué precisión puede estimarse el abandono del sistema, que responden los intervalos de confianza; y (iii) qué características distinguen a los programas con más abandono y cuáles de esas diferencias son lo bastante grandes como para orientar la decisión, que responden los contrastes de hipótesis junto al tamaño del efecto.</w:t>
      </w:r>
    </w:p>
    <w:p>
      <w:pPr>
        <w:pStyle w:val="Heading1"/>
        <w:spacing w:after="130" w:before="260"/>
      </w:pPr>
      <w:r>
        <w:rPr>
          <w:b/>
          <w:bCs/>
          <w:color w:val="1F3864"/>
          <w:sz w:val="26"/>
          <w:szCs w:val="26"/>
        </w:rPr>
        <w:t xml:space="preserve">2. Datos y metodología</w:t>
      </w:r>
    </w:p>
    <w:p>
      <w:pPr>
        <w:pStyle w:val="Heading2"/>
        <w:spacing w:after="90" w:before="180"/>
      </w:pPr>
      <w:r>
        <w:rPr>
          <w:b/>
          <w:bCs/>
          <w:color w:val="2E5496"/>
          <w:sz w:val="22"/>
          <w:szCs w:val="22"/>
        </w:rPr>
        <w:t xml:space="preserve">2.1 Origen y construcción de la variable respuesta</w:t>
      </w:r>
    </w:p>
    <w:p>
      <w:pPr>
        <w:spacing w:after="120" w:line="264"/>
        <w:jc w:val="both"/>
      </w:pPr>
      <w:r>
        <w:t xml:space="preserve">El conjunto proviene de dos bases abiertas del Servicio de Información de Educación Superior (SIES) del Ministerio de Educación: matrícula 2007–2026 y titulados 2007–2025. Ambas se publican agregadas por programa y año, sin registros individuales.</w:t>
      </w:r>
    </w:p>
    <w:p>
      <w:pPr>
        <w:spacing w:after="120" w:line="264"/>
        <w:jc w:val="both"/>
      </w:pPr>
      <w:r>
        <w:t xml:space="preserve">Para cada programa se compara el número de titulados del año </w:t>
      </w:r>
      <w:r>
        <w:rPr>
          <w:i/>
          <w:iCs/>
        </w:rPr>
        <w:t xml:space="preserve">y</w:t>
      </w:r>
      <w:r>
        <w:t xml:space="preserve"> con el ingreso a primer año de la cohorte que debió entrar en </w:t>
      </w:r>
      <w:r>
        <w:rPr>
          <w:i/>
          <w:iCs/>
        </w:rPr>
        <w:t xml:space="preserve">y − L</w:t>
      </w:r>
      <w:r>
        <w:t xml:space="preserve">, donde </w:t>
      </w:r>
      <w:r>
        <w:rPr>
          <w:i/>
          <w:iCs/>
        </w:rPr>
        <w:t xml:space="preserve">L</w:t>
      </w:r>
      <w:r>
        <w:t xml:space="preserve"> es la duración formal de la carrera en años. La titulación aparente es el cociente entre ambas sumas acumuladas entre 2010 y 2025, y el </w:t>
      </w:r>
      <w:r>
        <w:rPr>
          <w:b/>
          <w:bCs/>
        </w:rPr>
        <w:t xml:space="preserve">abandono</w:t>
      </w:r>
      <w:r>
        <w:t xml:space="preserve"> es su complemento. Se conservan solo los programas con al menos 100 estudiantes de ingreso acumulado, para que el cociente no dependa de unas pocas personas.</w:t>
      </w:r>
    </w:p>
    <w:p>
      <w:pPr>
        <w:spacing w:after="140" w:before="60" w:line="240"/>
        <w:jc w:val="both"/>
      </w:pPr>
      <w:r>
        <w:rPr>
          <w:i/>
          <w:iCs/>
          <w:color w:val="444444"/>
          <w:sz w:val="17"/>
          <w:szCs w:val="17"/>
        </w:rPr>
        <w:t xml:space="preserve">El adjetivo «aparente» no es un adorno. Con datos agregados, quien se cambia de carrera o de institución y se titula en otra parte cuenta aquí como abandono, y quien se titula muy tarde puede quedar fuera de la ventana observada. La cifra estimada es, por tanto, una cota superior del abandono real.</w:t>
      </w:r>
    </w:p>
    <w:p>
      <w:pPr>
        <w:pStyle w:val="Heading2"/>
        <w:spacing w:after="90" w:before="180"/>
      </w:pPr>
      <w:r>
        <w:rPr>
          <w:b/>
          <w:bCs/>
          <w:color w:val="2E5496"/>
          <w:sz w:val="22"/>
          <w:szCs w:val="22"/>
        </w:rPr>
        <w:t xml:space="preserve">2.2 Unidad de análisis y variables</w:t>
      </w:r>
    </w:p>
    <w:p>
      <w:pPr>
        <w:spacing w:after="120" w:line="264"/>
        <w:jc w:val="both"/>
      </w:pPr>
      <w:r>
        <w:t xml:space="preserve">Cada observación es un </w:t>
      </w:r>
      <w:r>
        <w:rPr>
          <w:b/>
          <w:bCs/>
        </w:rPr>
        <w:t xml:space="preserve">programa</w:t>
      </w:r>
      <w:r>
        <w:t xml:space="preserve"> —la combinación de carrera, institución, sede, jornada y modalidad—, no un estudiante. El conjunto reúne </w:t>
      </w:r>
      <w:r>
        <w:rPr>
          <w:b/>
          <w:bCs/>
        </w:rPr>
        <w:t xml:space="preserve">9.678 programas</w:t>
      </w:r>
      <w:r>
        <w:t xml:space="preserve">, que representan 3.925.426 estudiantes de ingreso acumulado, y no presenta valores faltantes. Las 25 variables se clasifican así:</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400"/>
        <w:gridCol w:w="800"/>
        <w:gridCol w:w="6600"/>
      </w:tblGrid>
      <w:tr>
        <w:trPr>
          <w:tblHeader/>
        </w:trPr>
        <w:tc>
          <w:tcPr>
            <w:tcW w:type="dxa" w:w="2443"/>
            <w:shd w:fill="F2F5F7" w:val="clear"/>
            <w:tcMar>
              <w:top w:type="dxa" w:w="60"/>
              <w:left w:type="dxa" w:w="90"/>
              <w:bottom w:type="dxa" w:w="60"/>
              <w:right w:type="dxa" w:w="90"/>
            </w:tcMar>
          </w:tcPr>
          <w:p>
            <w:pPr>
              <w:spacing w:after="0" w:line="240"/>
              <w:jc w:val="left"/>
            </w:pPr>
            <w:r>
              <w:rPr>
                <w:b/>
                <w:bCs/>
                <w:sz w:val="17"/>
                <w:szCs w:val="17"/>
              </w:rPr>
              <w:t xml:space="preserve">Tipo</w:t>
            </w:r>
          </w:p>
        </w:tc>
        <w:tc>
          <w:tcPr>
            <w:tcW w:type="dxa" w:w="814"/>
            <w:shd w:fill="F2F5F7" w:val="clear"/>
            <w:tcMar>
              <w:top w:type="dxa" w:w="60"/>
              <w:left w:type="dxa" w:w="90"/>
              <w:bottom w:type="dxa" w:w="60"/>
              <w:right w:type="dxa" w:w="90"/>
            </w:tcMar>
          </w:tcPr>
          <w:p>
            <w:pPr>
              <w:spacing w:after="0" w:line="240"/>
              <w:jc w:val="center"/>
            </w:pPr>
            <w:r>
              <w:rPr>
                <w:b/>
                <w:bCs/>
                <w:sz w:val="17"/>
                <w:szCs w:val="17"/>
              </w:rPr>
              <w:t xml:space="preserve">N.º</w:t>
            </w:r>
          </w:p>
        </w:tc>
        <w:tc>
          <w:tcPr>
            <w:tcW w:type="dxa" w:w="6717"/>
            <w:shd w:fill="F2F5F7" w:val="clear"/>
            <w:tcMar>
              <w:top w:type="dxa" w:w="60"/>
              <w:left w:type="dxa" w:w="90"/>
              <w:bottom w:type="dxa" w:w="60"/>
              <w:right w:type="dxa" w:w="90"/>
            </w:tcMar>
          </w:tcPr>
          <w:p>
            <w:pPr>
              <w:spacing w:after="0" w:line="240"/>
              <w:jc w:val="left"/>
            </w:pPr>
            <w:r>
              <w:rPr>
                <w:b/>
                <w:bCs/>
                <w:sz w:val="17"/>
                <w:szCs w:val="17"/>
              </w:rPr>
              <w:t xml:space="preserve">Ejemplos</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continua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10</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abandono (respuesta), inst_acreditada, pct_mujeres, edad_promedio</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discreta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4</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ingreso, titulados, duracion_estudio_carrera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nominal</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7</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tipo de institución, área del conocimiento, región, jornada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dicotómica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metropolitana, inst_cerrada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Identificador</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codigo_carrera, codigo_de_institucion</w:t>
            </w:r>
          </w:p>
        </w:tc>
      </w:tr>
    </w:tbl>
    <w:p>
      <w:pPr>
        <w:spacing w:after="110"/>
      </w:pPr>
      <w:r>
        <w:rPr>
          <w:sz w:val="8"/>
          <w:szCs w:val="8"/>
        </w:rPr>
        <w:t xml:space="preserve"/>
      </w:r>
    </w:p>
    <w:p>
      <w:pPr>
        <w:spacing w:after="140" w:before="60" w:line="240"/>
        <w:jc w:val="both"/>
      </w:pPr>
      <w:r>
        <w:rPr>
          <w:i/>
          <w:iCs/>
          <w:color w:val="444444"/>
          <w:sz w:val="17"/>
          <w:szCs w:val="17"/>
        </w:rPr>
        <w:t xml:space="preserve">Conviene advertir que inst_acreditada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pPr>
        <w:pStyle w:val="Heading1"/>
        <w:spacing w:after="130" w:before="260"/>
      </w:pPr>
      <w:r>
        <w:rPr>
          <w:b/>
          <w:bCs/>
          <w:color w:val="1F3864"/>
          <w:sz w:val="26"/>
          <w:szCs w:val="26"/>
        </w:rPr>
        <w:t xml:space="preserve">3. Estadística descriptiva</w:t>
      </w:r>
    </w:p>
    <w:p>
      <w:pPr>
        <w:spacing w:after="120" w:line="264"/>
        <w:jc w:val="both"/>
      </w:pPr>
      <w:r>
        <w:t xml:space="preserve">La descripción de la variable respuesta combina medidas de tendencia central, de dispersión y de forma. Las tres familias son necesarias: la primera sitúa el centro, la segunda indica cuánto se alejan de él los programas —que es justamente lo que interesa a quien debe focalizar— y la tercera dice si las medidas centrales son representativas.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100"/>
        <w:gridCol w:w="1100"/>
        <w:gridCol w:w="2400"/>
        <w:gridCol w:w="1100"/>
        <w:gridCol w:w="2100"/>
        <w:gridCol w:w="1100"/>
      </w:tblGrid>
      <w:tr>
        <w:trPr>
          <w:tblHeader/>
        </w:trPr>
        <w:tc>
          <w:tcPr>
            <w:tcW w:type="dxa" w:w="2116"/>
            <w:shd w:fill="F2F5F7" w:val="clear"/>
            <w:tcMar>
              <w:top w:type="dxa" w:w="60"/>
              <w:left w:type="dxa" w:w="90"/>
              <w:bottom w:type="dxa" w:w="60"/>
              <w:right w:type="dxa" w:w="90"/>
            </w:tcMar>
          </w:tcPr>
          <w:p>
            <w:pPr>
              <w:spacing w:after="0" w:line="240"/>
              <w:jc w:val="left"/>
            </w:pPr>
            <w:r>
              <w:rPr>
                <w:b/>
                <w:bCs/>
                <w:sz w:val="17"/>
                <w:szCs w:val="17"/>
              </w:rPr>
              <w:t xml:space="preserve">Tendencia central</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418"/>
            <w:shd w:fill="F2F5F7" w:val="clear"/>
            <w:tcMar>
              <w:top w:type="dxa" w:w="60"/>
              <w:left w:type="dxa" w:w="90"/>
              <w:bottom w:type="dxa" w:w="60"/>
              <w:right w:type="dxa" w:w="90"/>
            </w:tcMar>
          </w:tcPr>
          <w:p>
            <w:pPr>
              <w:spacing w:after="0" w:line="240"/>
              <w:jc w:val="left"/>
            </w:pPr>
            <w:r>
              <w:rPr>
                <w:b/>
                <w:bCs/>
                <w:sz w:val="17"/>
                <w:szCs w:val="17"/>
              </w:rPr>
              <w:t xml:space="preserve">Dispersión</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116"/>
            <w:shd w:fill="F2F5F7" w:val="clear"/>
            <w:tcMar>
              <w:top w:type="dxa" w:w="60"/>
              <w:left w:type="dxa" w:w="90"/>
              <w:bottom w:type="dxa" w:w="60"/>
              <w:right w:type="dxa" w:w="90"/>
            </w:tcMar>
          </w:tcPr>
          <w:p>
            <w:pPr>
              <w:spacing w:after="0" w:line="240"/>
              <w:jc w:val="left"/>
            </w:pPr>
            <w:r>
              <w:rPr>
                <w:b/>
                <w:bCs/>
                <w:sz w:val="17"/>
                <w:szCs w:val="17"/>
              </w:rPr>
              <w:t xml:space="preserve">Forma</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Desviación estándar</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0,2239</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Asimetría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−0,182</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Mediana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0,5250</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Rango intercuartílico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0,2927</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Curtosis (exceso)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−0,184</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Primer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0,3764</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Coef. de variación</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0,4320</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Mínimo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0,000</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Tercer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0,6692</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Varianza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0,0501</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Máximo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1,000</w:t>
            </w:r>
          </w:p>
        </w:tc>
      </w:tr>
    </w:tbl>
    <w:p>
      <w:pPr>
        <w:spacing w:after="110"/>
      </w:pPr>
      <w:r>
        <w:rPr>
          <w:sz w:val="8"/>
          <w:szCs w:val="8"/>
        </w:rPr>
        <w:t xml:space="preserve"/>
      </w:r>
    </w:p>
    <w:p>
      <w:pPr>
        <w:spacing w:after="120" w:line="264"/>
        <w:jc w:val="both"/>
      </w:pPr>
      <w:r>
        <w:rPr>
          <w:b/>
          <w:bCs/>
        </w:rPr>
        <w:t xml:space="preserve">El centro.</w:t>
      </w:r>
      <w:r>
        <w:t xml:space="preserve"> Media y mediana casi coinciden, de modo que ninguna cola arrastra el promedio: en el programa típico, algo más de la mitad de la cohorte no llega a titularse.</w:t>
      </w:r>
    </w:p>
    <w:p>
      <w:pPr>
        <w:spacing w:after="120" w:line="264"/>
        <w:jc w:val="both"/>
      </w:pPr>
      <w:r>
        <w:rPr>
          <w:b/>
          <w:bCs/>
        </w:rPr>
        <w:t xml:space="preserve">La dispersión.</w:t>
      </w:r>
      <w:r>
        <w:t xml:space="preserve">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pPr>
        <w:spacing w:after="120" w:line="264"/>
        <w:jc w:val="both"/>
      </w:pPr>
      <w:r>
        <w:rPr>
          <w:b/>
          <w:bCs/>
        </w:rPr>
        <w:t xml:space="preserve">La forma.</w:t>
      </w:r>
      <w:r>
        <w:t xml:space="preserve"> Con asimetría y curtosis en torno a −0,18, la distribución es casi simétrica y ligeramente más plana que la normal. No hay valores extremos que distorsionen el análisis, lo que habilita el uso de la media y de los procedimientos paramétricos del apartado 5.</w:t>
      </w:r>
    </w:p>
    <w:p>
      <w:pPr>
        <w:spacing w:after="50" w:before="140"/>
        <w:jc w:val="center"/>
      </w:pPr>
      <w:r>
        <w:drawing>
          <wp:inline distT="0" distB="0" distL="0" distR="0">
            <wp:extent cx="5472684" cy="2845796"/>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1. Distribución del abandono aparente en los 9.678 programas analizados.</w:t>
      </w:r>
    </w:p>
    <w:p>
      <w:pPr>
        <w:spacing w:after="120" w:line="264"/>
        <w:jc w:val="both"/>
      </w:pPr>
      <w:r>
        <w:t xml:space="preserve">La figura 1 muestra además dos acumulaciones en los extremos: </w:t>
      </w:r>
      <w:r>
        <w:rPr>
          <w:b/>
          <w:bCs/>
        </w:rPr>
        <w:t xml:space="preserve">305 programas (3,2 %) con abandono exactamente cero</w:t>
      </w:r>
      <w:r>
        <w:t xml:space="preserve"> y </w:t>
      </w:r>
      <w:r>
        <w:rPr>
          <w:b/>
          <w:bCs/>
        </w:rPr>
        <w:t xml:space="preserve">160 (1,7 %) con abandono uno</w:t>
      </w:r>
      <w:r>
        <w:t xml:space="preserve">. Los primeros titulan al menos tantas personas como ingresaron, por convalidaciones o traslados desde otras cohortes; los segundos cerraron sin titular a nadie. Juntos no llegan al 5 % y no alteran las medidas centrales, pero son el residuo visible de que la variable es aparente y no una medición directa.</w:t>
      </w:r>
    </w:p>
    <w:p>
      <w:pPr>
        <w:pStyle w:val="Heading2"/>
        <w:spacing w:after="90" w:before="180"/>
      </w:pPr>
      <w:r>
        <w:rPr>
          <w:b/>
          <w:bCs/>
          <w:color w:val="2E5496"/>
          <w:sz w:val="22"/>
          <w:szCs w:val="22"/>
        </w:rPr>
        <w:t xml:space="preserve">3.1 Comportamiento por grupos</w:t>
      </w:r>
    </w:p>
    <w:p>
      <w:pPr>
        <w:spacing w:after="120" w:line="264"/>
        <w:jc w:val="both"/>
      </w:pPr>
      <w:r>
        <w:t xml:space="preserve">La media global oculta las diferencias que importan para decidir. El abandono medio recorre </w:t>
      </w:r>
      <w:r>
        <w:rPr>
          <w:b/>
          <w:bCs/>
        </w:rPr>
        <w:t xml:space="preserve">12,3 puntos porcentuales</w:t>
      </w:r>
      <w:r>
        <w:t xml:space="preserve"> entre tipos de institución y </w:t>
      </w:r>
      <w:r>
        <w:rPr>
          <w:b/>
          <w:bCs/>
        </w:rPr>
        <w:t xml:space="preserve">17,5 puntos</w:t>
      </w:r>
      <w:r>
        <w:t xml:space="preserve"> entre áreas del conocimiento:</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500"/>
        <w:gridCol w:w="700"/>
        <w:gridCol w:w="800"/>
        <w:gridCol w:w="700"/>
        <w:gridCol w:w="2500"/>
        <w:gridCol w:w="700"/>
        <w:gridCol w:w="800"/>
      </w:tblGrid>
      <w:tr>
        <w:trPr>
          <w:tblHeader/>
        </w:trPr>
        <w:tc>
          <w:tcPr>
            <w:tcW w:type="dxa" w:w="2866"/>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DE</w:t>
            </w:r>
          </w:p>
        </w:tc>
        <w:tc>
          <w:tcPr>
            <w:tcW w:type="dxa" w:w="2866"/>
            <w:shd w:fill="F2F5F7" w:val="clear"/>
            <w:tcMar>
              <w:top w:type="dxa" w:w="60"/>
              <w:left w:type="dxa" w:w="90"/>
              <w:bottom w:type="dxa" w:w="60"/>
              <w:right w:type="dxa" w:w="90"/>
            </w:tcMar>
          </w:tcPr>
          <w:p>
            <w:pPr>
              <w:spacing w:after="0" w:line="240"/>
              <w:jc w:val="left"/>
            </w:pPr>
            <w:r>
              <w:rPr>
                <w:b/>
                <w:bCs/>
                <w:sz w:val="17"/>
                <w:szCs w:val="17"/>
              </w:rPr>
              <w:t xml:space="preserve">Área del conocimiento</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0,565</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0,127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Humanidades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78</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0,643</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0,195</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Derecho</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0,641</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0,528</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0,232</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Arte y Arquitectura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490</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0,585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0,509</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Tecnología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3.009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0,555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0,494</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0,223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Educación</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1.344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0,476</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0,213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Salud</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1.355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0,468</w:t>
            </w:r>
          </w:p>
        </w:tc>
      </w:tr>
    </w:tbl>
    <w:p>
      <w:pPr>
        <w:spacing w:after="110"/>
      </w:pPr>
      <w:r>
        <w:rPr>
          <w:sz w:val="8"/>
          <w:szCs w:val="8"/>
        </w:rPr>
        <w:t xml:space="preserve"/>
      </w:r>
    </w:p>
    <w:p>
      <w:pPr>
        <w:spacing w:after="50" w:before="140"/>
        <w:jc w:val="center"/>
      </w:pPr>
      <w:r>
        <w:drawing>
          <wp:inline distT="0" distB="0" distL="0" distR="0">
            <wp:extent cx="5472684" cy="2845796"/>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2. Dispersión del abandono dentro de cada tipo de institución.</w:t>
      </w:r>
    </w:p>
    <w:p>
      <w:pPr>
        <w:spacing w:after="120" w:line="264"/>
        <w:jc w:val="both"/>
      </w:pPr>
      <w:r>
        <w:t xml:space="preserve">La figura 2 contiene la advertencia más importante para la decisión: las cajas se solapan ampliamente, de modo que </w:t>
      </w:r>
      <w:r>
        <w:rPr>
          <w:b/>
          <w:bCs/>
        </w:rPr>
        <w:t xml:space="preserve">la variación dentro de cada tipo de institución supera a la que hay entre tipos</w:t>
      </w:r>
      <w:r>
        <w:t xml:space="preserve">. Focalizar por tipo de institución, que sería lo administrativamente más cómodo, dejaría fuera a buena parte de los programas con más abandono.</w:t>
      </w:r>
    </w:p>
    <w:p>
      <w:pPr>
        <w:spacing w:after="50" w:before="140"/>
        <w:jc w:val="center"/>
      </w:pPr>
      <w:r>
        <w:drawing>
          <wp:inline distT="0" distB="0" distL="0" distR="0">
            <wp:extent cx="5472684" cy="2845796"/>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3. Abandono aparente medio por área del conocimiento.</w:t>
      </w:r>
    </w:p>
    <w:p>
      <w:pPr>
        <w:spacing w:after="120" w:line="264"/>
        <w:jc w:val="both"/>
      </w:pPr>
      <w:r>
        <w:t xml:space="preserve">Una última comprobación descarta la explicación más simple. El tamaño del programa se asocia negativamente con el abandono, pero la relación es débil: la correlación de Pearson con el logaritmo de la matrícula es de −0,247 y explica apenas un 6 % de la variación. Las franjas horizontales en 0 y 1 de la figura 4 corresponden a las acumulaciones ya comentadas.</w:t>
      </w:r>
    </w:p>
    <w:p>
      <w:pPr>
        <w:spacing w:after="50" w:before="140"/>
        <w:jc w:val="center"/>
      </w:pPr>
      <w:r>
        <w:drawing>
          <wp:inline distT="0" distB="0" distL="0" distR="0">
            <wp:extent cx="5472684" cy="2845796"/>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4. Abandono frente al tamaño del programa; la línea roja une la media de cada decil.</w:t>
      </w:r>
    </w:p>
    <w:p>
      <w:pPr>
        <w:pStyle w:val="Heading1"/>
        <w:spacing w:after="130" w:before="260"/>
      </w:pPr>
      <w:r>
        <w:rPr>
          <w:b/>
          <w:bCs/>
          <w:color w:val="1F3864"/>
          <w:sz w:val="26"/>
          <w:szCs w:val="26"/>
        </w:rPr>
        <w:t xml:space="preserve">4. Estimación puntual e intervalos de confianza</w:t>
      </w:r>
    </w:p>
    <w:p>
      <w:pPr>
        <w:pStyle w:val="Heading2"/>
        <w:spacing w:after="90" w:before="180"/>
      </w:pPr>
      <w:r>
        <w:rPr>
          <w:b/>
          <w:bCs/>
          <w:color w:val="2E5496"/>
          <w:sz w:val="22"/>
          <w:szCs w:val="22"/>
        </w:rPr>
        <w:t xml:space="preserve">4.1 Sobre qué población se infiere</w:t>
      </w:r>
    </w:p>
    <w:p>
      <w:pPr>
        <w:spacing w:after="120" w:line="264"/>
        <w:jc w:val="both"/>
      </w:pPr>
      <w:r>
        <w:t xml:space="preserve">Antes de calcular un intervalo conviene responder una pregunta que suele saltarse: </w:t>
      </w:r>
      <w:r>
        <w:rPr>
          <w:b/>
          <w:bCs/>
        </w:rPr>
        <w:t xml:space="preserve">¿de qué población se habla?</w:t>
      </w:r>
      <w:r>
        <w:t xml:space="preserve">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pPr>
        <w:spacing w:after="120" w:line="264"/>
        <w:jc w:val="both"/>
      </w:pPr>
      <w:r>
        <w:t xml:space="preserve">La inferencia que sigue se formula, por tanto, sobre el </w:t>
      </w:r>
      <w:r>
        <w:rPr>
          <w:b/>
          <w:bCs/>
        </w:rPr>
        <w:t xml:space="preserve">proceso generador</w:t>
      </w:r>
      <w:r>
        <w:t xml:space="preserve">: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pPr>
        <w:pStyle w:val="Heading2"/>
        <w:spacing w:after="90" w:before="180"/>
      </w:pPr>
      <w:r>
        <w:rPr>
          <w:b/>
          <w:bCs/>
          <w:color w:val="2E5496"/>
          <w:sz w:val="22"/>
          <w:szCs w:val="22"/>
        </w:rPr>
        <w:t xml:space="preserve">4.2 Tres parámetros estimados</w:t>
      </w:r>
    </w:p>
    <w:p>
      <w:pPr>
        <w:spacing w:after="120" w:line="264"/>
        <w:jc w:val="both"/>
      </w:pPr>
      <w:r>
        <w:t xml:space="preserve">Se estiman tres parámetros de naturaleza distinta, cada uno con el procedimiento que le corresponde:</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3400"/>
        <w:gridCol w:w="1900"/>
        <w:gridCol w:w="2200"/>
        <w:gridCol w:w="2300"/>
      </w:tblGrid>
      <w:tr>
        <w:trPr>
          <w:tblHeader/>
        </w:trPr>
        <w:tc>
          <w:tcPr>
            <w:tcW w:type="dxa" w:w="3460"/>
            <w:shd w:fill="F2F5F7" w:val="clear"/>
            <w:tcMar>
              <w:top w:type="dxa" w:w="60"/>
              <w:left w:type="dxa" w:w="90"/>
              <w:bottom w:type="dxa" w:w="60"/>
              <w:right w:type="dxa" w:w="90"/>
            </w:tcMar>
          </w:tcPr>
          <w:p>
            <w:pPr>
              <w:spacing w:after="0" w:line="240"/>
              <w:jc w:val="left"/>
            </w:pPr>
            <w:r>
              <w:rPr>
                <w:b/>
                <w:bCs/>
                <w:sz w:val="17"/>
                <w:szCs w:val="17"/>
              </w:rPr>
              <w:t xml:space="preserve">Parámetro</w:t>
            </w:r>
          </w:p>
        </w:tc>
        <w:tc>
          <w:tcPr>
            <w:tcW w:type="dxa" w:w="1934"/>
            <w:shd w:fill="F2F5F7" w:val="clear"/>
            <w:tcMar>
              <w:top w:type="dxa" w:w="60"/>
              <w:left w:type="dxa" w:w="90"/>
              <w:bottom w:type="dxa" w:w="60"/>
              <w:right w:type="dxa" w:w="90"/>
            </w:tcMar>
          </w:tcPr>
          <w:p>
            <w:pPr>
              <w:spacing w:after="0" w:line="240"/>
              <w:jc w:val="center"/>
            </w:pPr>
            <w:r>
              <w:rPr>
                <w:b/>
                <w:bCs/>
                <w:sz w:val="17"/>
                <w:szCs w:val="17"/>
              </w:rPr>
              <w:t xml:space="preserve">Estimación puntual</w:t>
            </w:r>
          </w:p>
        </w:tc>
        <w:tc>
          <w:tcPr>
            <w:tcW w:type="dxa" w:w="2239"/>
            <w:shd w:fill="F2F5F7" w:val="clear"/>
            <w:tcMar>
              <w:top w:type="dxa" w:w="60"/>
              <w:left w:type="dxa" w:w="90"/>
              <w:bottom w:type="dxa" w:w="60"/>
              <w:right w:type="dxa" w:w="90"/>
            </w:tcMar>
          </w:tcPr>
          <w:p>
            <w:pPr>
              <w:spacing w:after="0" w:line="240"/>
              <w:jc w:val="center"/>
            </w:pPr>
            <w:r>
              <w:rPr>
                <w:b/>
                <w:bCs/>
                <w:sz w:val="17"/>
                <w:szCs w:val="17"/>
              </w:rPr>
              <w:t xml:space="preserve">IC 95 %</w:t>
            </w:r>
          </w:p>
        </w:tc>
        <w:tc>
          <w:tcPr>
            <w:tcW w:type="dxa" w:w="2341"/>
            <w:shd w:fill="F2F5F7" w:val="clear"/>
            <w:tcMar>
              <w:top w:type="dxa" w:w="60"/>
              <w:left w:type="dxa" w:w="90"/>
              <w:bottom w:type="dxa" w:w="60"/>
              <w:right w:type="dxa" w:w="90"/>
            </w:tcMar>
          </w:tcPr>
          <w:p>
            <w:pPr>
              <w:spacing w:after="0" w:line="240"/>
              <w:jc w:val="left"/>
            </w:pPr>
            <w:r>
              <w:rPr>
                <w:b/>
                <w:bCs/>
                <w:sz w:val="17"/>
                <w:szCs w:val="17"/>
              </w:rPr>
              <w:t xml:space="preserve">Procedimiento</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Abandono esperado del sistema</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[0,5138 ; 0,5227]</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Programas con abandono &gt; 50 %</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0,5494</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[0,5395 ; 0,5593]</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Wilson (proporción)</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Diferencia por acreditación</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+0,1757</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[0,1590 ; 0,1924]</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Welch, gl = 902</w:t>
            </w:r>
          </w:p>
        </w:tc>
      </w:tr>
    </w:tbl>
    <w:p>
      <w:pPr>
        <w:spacing w:after="110"/>
      </w:pPr>
      <w:r>
        <w:rPr>
          <w:sz w:val="8"/>
          <w:szCs w:val="8"/>
        </w:rPr>
        <w:t xml:space="preserve"/>
      </w:r>
    </w:p>
    <w:p>
      <w:pPr>
        <w:spacing w:after="120" w:line="264"/>
        <w:jc w:val="both"/>
      </w:pPr>
      <w:r>
        <w:rPr>
          <w:b/>
          <w:bCs/>
        </w:rPr>
        <w:t xml:space="preserve">La media.</w:t>
      </w:r>
      <w:r>
        <w:t xml:space="preserve"> El intervalo mide nueve milésimas de ancho. Esa precisión no proviene de que el fenómeno sea homogéneo —la desviación estándar de 0,224 dice lo contrario— sino del tamaño del conjunto: el error estándar divide la desviación por la raíz de 9.678, es decir por 98,4. Conviene no confundir precisión con homogeneidad: el intervalo describe cuán bien conocemos el promedio, no cuán parecidos son los programas entre sí. Un remuestreo bootstrap de 5.000 réplicas arroja [0,5139 ; 0,5226], coincidente hasta la cuarta cifra, lo que confirma que el supuesto de normalidad de la media es sostenible.</w:t>
      </w:r>
    </w:p>
    <w:p>
      <w:pPr>
        <w:spacing w:after="120" w:line="264"/>
        <w:jc w:val="both"/>
      </w:pPr>
      <w:r>
        <w:rPr>
          <w:b/>
          <w:bCs/>
        </w:rPr>
        <w:t xml:space="preserve">La proporción.</w:t>
      </w:r>
      <w:r>
        <w:t xml:space="preserve"> Se emplea el método de Wilson (1927) en lugar de la aproximación normal porque no produce límites fuera del intervalo [0, 1] y conserva su cobertura cerca de los extremos. Con una proporción próxima a 0,5 y un </w:t>
      </w:r>
      <w:r>
        <w:rPr>
          <w:i/>
          <w:iCs/>
        </w:rPr>
        <w:t xml:space="preserve">n</w:t>
      </w:r>
      <w:r>
        <w:t xml:space="preserve"> grande ambos coinciden, pero la elección deja de ser indiferente en otros escenarios.</w:t>
      </w:r>
    </w:p>
    <w:p>
      <w:pPr>
        <w:spacing w:after="120" w:line="264"/>
        <w:jc w:val="both"/>
      </w:pPr>
      <w:r>
        <w:rPr>
          <w:b/>
          <w:bCs/>
        </w:rPr>
        <w:t xml:space="preserve">La diferencia.</w:t>
      </w:r>
      <w:r>
        <w:t xml:space="preserve"> El intervalo no contiene el cero y su límite inferior ya alcanza los 15,9 puntos porcentuales, de modo que la conclusión no depende del extremo del intervalo que se tome.</w:t>
      </w:r>
    </w:p>
    <w:p>
      <w:pPr>
        <w:pStyle w:val="Heading1"/>
        <w:spacing w:after="130" w:before="260"/>
      </w:pPr>
      <w:r>
        <w:rPr>
          <w:b/>
          <w:bCs/>
          <w:color w:val="1F3864"/>
          <w:sz w:val="26"/>
          <w:szCs w:val="26"/>
        </w:rPr>
        <w:t xml:space="preserve">5. Pruebas de hipótesis y tamaño del efecto</w:t>
      </w:r>
    </w:p>
    <w:p>
      <w:pPr>
        <w:spacing w:after="120" w:line="264"/>
        <w:jc w:val="both"/>
      </w:pPr>
      <w:r>
        <w:t xml:space="preserve">El procedimiento adecuado depende del tipo de las variables implicadas, no de la costumbre. Se aplican tres contrastes distintos, uno por cada combinación presente en los datos, todos al nivel </w:t>
      </w:r>
      <w:r>
        <w:rPr>
          <w:b/>
          <w:bCs/>
        </w:rPr>
        <w:t xml:space="preserve">α = 0,05</w:t>
      </w:r>
      <w:r>
        <w:t xml:space="preserve"> fijado antes de examinar los resultados.</w:t>
      </w:r>
    </w:p>
    <w:p>
      <w:pPr>
        <w:spacing w:after="120" w:line="264"/>
        <w:jc w:val="both"/>
      </w:pPr>
      <w:r>
        <w:t xml:space="preserve">Respecto de los supuestos: la prueba de Kolmogorov-Smirnov rechaza la normalidad exacta (D = 0,021; p &lt; 0,001), pero con </w:t>
      </w:r>
      <w:r>
        <w:rPr>
          <w:i/>
          <w:iCs/>
        </w:rPr>
        <w:t xml:space="preserve">n</w:t>
      </w:r>
      <w:r>
        <w:t xml:space="preserve"> = 9.678 detecta desviaciones irrelevantes. Lo que los procedimientos requieren no es que la variable sea normal, sino que lo sea la distribución de la media, que el teorema central del límite garantiza a este tamaño y que la asimetría casi nula refuerza. La prueba de Levene no rechaza la igualdad de varianzas (W = 0,869; p = 0,351); aun así se emplea la versión de Welch (1947), que no la supone, por ser la opción conservadora.</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1700"/>
        <w:gridCol w:w="3000"/>
        <w:gridCol w:w="2400"/>
        <w:gridCol w:w="1300"/>
        <w:gridCol w:w="2200"/>
      </w:tblGrid>
      <w:tr>
        <w:trPr>
          <w:tblHeader/>
        </w:trPr>
        <w:tc>
          <w:tcPr>
            <w:tcW w:type="dxa" w:w="1700"/>
            <w:shd w:fill="F2F5F7" w:val="clear"/>
            <w:tcMar>
              <w:top w:type="dxa" w:w="60"/>
              <w:left w:type="dxa" w:w="90"/>
              <w:bottom w:type="dxa" w:w="60"/>
              <w:right w:type="dxa" w:w="90"/>
            </w:tcMar>
          </w:tcPr>
          <w:p>
            <w:pPr>
              <w:spacing w:after="0" w:line="240"/>
              <w:jc w:val="left"/>
            </w:pPr>
            <w:r>
              <w:rPr>
                <w:b/>
                <w:bCs/>
                <w:sz w:val="17"/>
                <w:szCs w:val="17"/>
              </w:rPr>
              <w:t xml:space="preserve">Contraste</w:t>
            </w:r>
          </w:p>
        </w:tc>
        <w:tc>
          <w:tcPr>
            <w:tcW w:type="dxa" w:w="3000"/>
            <w:shd w:fill="F2F5F7" w:val="clear"/>
            <w:tcMar>
              <w:top w:type="dxa" w:w="60"/>
              <w:left w:type="dxa" w:w="90"/>
              <w:bottom w:type="dxa" w:w="60"/>
              <w:right w:type="dxa" w:w="90"/>
            </w:tcMar>
          </w:tcPr>
          <w:p>
            <w:pPr>
              <w:spacing w:after="0" w:line="240"/>
              <w:jc w:val="left"/>
            </w:pPr>
            <w:r>
              <w:rPr>
                <w:b/>
                <w:bCs/>
                <w:sz w:val="17"/>
                <w:szCs w:val="17"/>
              </w:rPr>
              <w:t xml:space="preserve">Hipótesis nula</w:t>
            </w:r>
          </w:p>
        </w:tc>
        <w:tc>
          <w:tcPr>
            <w:tcW w:type="dxa" w:w="2400"/>
            <w:shd w:fill="F2F5F7" w:val="clear"/>
            <w:tcMar>
              <w:top w:type="dxa" w:w="60"/>
              <w:left w:type="dxa" w:w="90"/>
              <w:bottom w:type="dxa" w:w="60"/>
              <w:right w:type="dxa" w:w="90"/>
            </w:tcMar>
          </w:tcPr>
          <w:p>
            <w:pPr>
              <w:spacing w:after="0" w:line="240"/>
              <w:jc w:val="center"/>
            </w:pPr>
            <w:r>
              <w:rPr>
                <w:b/>
                <w:bCs/>
                <w:sz w:val="17"/>
                <w:szCs w:val="17"/>
              </w:rPr>
              <w:t xml:space="preserve">Estadístico</w:t>
            </w:r>
          </w:p>
        </w:tc>
        <w:tc>
          <w:tcPr>
            <w:tcW w:type="dxa" w:w="1300"/>
            <w:shd w:fill="F2F5F7" w:val="clear"/>
            <w:tcMar>
              <w:top w:type="dxa" w:w="60"/>
              <w:left w:type="dxa" w:w="90"/>
              <w:bottom w:type="dxa" w:w="60"/>
              <w:right w:type="dxa" w:w="90"/>
            </w:tcMar>
          </w:tcPr>
          <w:p>
            <w:pPr>
              <w:spacing w:after="0" w:line="240"/>
              <w:jc w:val="center"/>
            </w:pPr>
            <w:r>
              <w:rPr>
                <w:b/>
                <w:bCs/>
                <w:sz w:val="17"/>
                <w:szCs w:val="17"/>
              </w:rPr>
              <w:t xml:space="preserve">Valor p</w:t>
            </w:r>
          </w:p>
        </w:tc>
        <w:tc>
          <w:tcPr>
            <w:tcW w:type="dxa" w:w="2200"/>
            <w:shd w:fill="F2F5F7" w:val="clear"/>
            <w:tcMar>
              <w:top w:type="dxa" w:w="60"/>
              <w:left w:type="dxa" w:w="90"/>
              <w:bottom w:type="dxa" w:w="60"/>
              <w:right w:type="dxa" w:w="90"/>
            </w:tcMar>
          </w:tcPr>
          <w:p>
            <w:pPr>
              <w:spacing w:after="0" w:line="240"/>
              <w:jc w:val="left"/>
            </w:pPr>
            <w:r>
              <w:rPr>
                <w:b/>
                <w:bCs/>
                <w:sz w:val="17"/>
                <w:szCs w:val="17"/>
              </w:rPr>
              <w:t xml:space="preserve">Tamaño del efecto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t de Welch</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según acreditación</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t = 20,61 (gl = 902)</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10⁻⁷⁷</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d de Cohen = 0,80 — grande</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ANOVA de un factor</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en las 10 áreas</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F = 44,30 (gl = 9; 9.668)</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10⁻⁷⁸</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η² = 0,040 — pequeño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Chi-cuadrado</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Independencia institución / abandono</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χ² = 102,51 (gl = 5)</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1,6 × 10⁻²⁰</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V de Cramér = 0,103 — débil</w:t>
            </w:r>
          </w:p>
        </w:tc>
      </w:tr>
    </w:tbl>
    <w:p>
      <w:pPr>
        <w:spacing w:after="110"/>
      </w:pPr>
      <w:r>
        <w:rPr>
          <w:sz w:val="8"/>
          <w:szCs w:val="8"/>
        </w:rPr>
        <w:t xml:space="preserve"/>
      </w:r>
    </w:p>
    <w:p>
      <w:pPr>
        <w:spacing w:after="120" w:line="264"/>
        <w:jc w:val="both"/>
      </w:pPr>
      <w:r>
        <w:rPr>
          <w:b/>
          <w:bCs/>
        </w:rPr>
        <w:t xml:space="preserve">Los tres rechazan la hipótesis nula y, sin embargo, solo uno orienta la decisión.</w:t>
      </w:r>
      <w:r>
        <w:t xml:space="preserve"> Esta es la conclusión metodológica central del informe.</w:t>
      </w:r>
    </w:p>
    <w:p>
      <w:pPr>
        <w:spacing w:after="120" w:line="264"/>
        <w:jc w:val="both"/>
      </w:pPr>
      <w:r>
        <w:t xml:space="preserve">Los programas de instituciones nunca acreditadas presentan un abandono 17,6 puntos porcentuales mayor, con una </w:t>
      </w:r>
      <w:r>
        <w:rPr>
          <w:b/>
          <w:bCs/>
        </w:rPr>
        <w:t xml:space="preserve">d de Cohen de 0,80</w:t>
      </w:r>
      <w:r>
        <w:t xml:space="preserve"> que la convención establecida por Cohen (1988) sitúa en el umbral de los efectos grandes: la acreditación no solo distingue grupos de forma detectable, sino de forma sustantiva. El área del conocimiento, en cambio, explica apenas el </w:t>
      </w:r>
      <w:r>
        <w:rPr>
          <w:b/>
          <w:bCs/>
        </w:rPr>
        <w:t xml:space="preserve">4 % de la varianza</w:t>
      </w:r>
      <w:r>
        <w:t xml:space="preserve"> del abandono, y el tipo de institución arroja una asociación que la V de Cramér (1946) califica de débil, coherente con el solapamiento que ya mostraba la figura 2.</w:t>
      </w:r>
    </w:p>
    <w:p>
      <w:pPr>
        <w:spacing w:after="120" w:line="264"/>
        <w:jc w:val="both"/>
      </w:pPr>
      <w:r>
        <w:t xml:space="preserve">Con 9.678 observaciones la potencia es tan alta que </w:t>
      </w:r>
      <w:r>
        <w:rPr>
          <w:b/>
          <w:bCs/>
        </w:rPr>
        <w:t xml:space="preserve">el valor p pierde casi toda capacidad de discriminar</w:t>
      </w:r>
      <w:r>
        <w:t xml:space="preserve">: los tres contrastes arrojan valores entre 10⁻²⁰ y 10⁻⁷⁸, y aun así sus efectos van de grande a despreciable. Informar solo la significación llevaría a tratar los tres resultados como equivalentes, que es exactamente el error que una decisión de focalización no puede permitirse. La advertencia es la misma que formula la American Statistical Association al recordar que un valor p, por sí solo, no mide la magnitud de un efecto ni su relevancia práctica (Wasserstein y Lazar, 2016).</w:t>
      </w:r>
    </w:p>
    <w:p>
      <w:pPr>
        <w:spacing w:after="140" w:before="60" w:line="240"/>
        <w:jc w:val="both"/>
      </w:pPr>
      <w:r>
        <w:rPr>
          <w:i/>
          <w:iCs/>
          <w:color w:val="444444"/>
          <w:sz w:val="17"/>
          <w:szCs w:val="17"/>
        </w:rPr>
        <w:t xml:space="preserve">Las comparaciones múltiples de Tukey (1949), que controlan el error por familia, confirman diferencias significativas en 30 de los 45 pares de áreas; la mayor separa Humanidades de Salud, con 17,4 puntos porcentuales.</w:t>
      </w:r>
    </w:p>
    <w:p>
      <w:pPr>
        <w:pStyle w:val="Heading1"/>
        <w:spacing w:after="130" w:before="260"/>
      </w:pPr>
      <w:r>
        <w:rPr>
          <w:b/>
          <w:bCs/>
          <w:color w:val="1F3864"/>
          <w:sz w:val="26"/>
          <w:szCs w:val="26"/>
        </w:rPr>
        <w:t xml:space="preserve">6. Interpretación preliminar</w:t>
      </w:r>
    </w:p>
    <w:p>
      <w:pPr>
        <w:spacing w:after="120" w:line="264"/>
        <w:jc w:val="both"/>
      </w:pPr>
      <w:r>
        <w:t xml:space="preserve">Para la autoridad que debe repartir un presupuesto limitado de retención, los resultados se traducen en cuatro afirmaciones.</w:t>
      </w:r>
    </w:p>
    <w:p>
      <w:pPr>
        <w:spacing w:after="120" w:line="264"/>
        <w:jc w:val="both"/>
      </w:pPr>
      <w:r>
        <w:rPr>
          <w:b/>
          <w:bCs/>
        </w:rPr>
        <w:t xml:space="preserve">La magnitud justifica actuar.</w:t>
      </w:r>
      <w:r>
        <w:t xml:space="preserve"> El abandono esperado del sistema se estima en 0,518, con un intervalo de 0,514 a 0,523, y el 54,9 % de los programas supera el 50 %. No se trata de casos aislados.</w:t>
      </w:r>
    </w:p>
    <w:p>
      <w:pPr>
        <w:spacing w:after="120" w:line="264"/>
        <w:jc w:val="both"/>
      </w:pPr>
      <w:r>
        <w:rPr>
          <w:b/>
          <w:bCs/>
        </w:rPr>
        <w:t xml:space="preserve">La heterogeneidad justifica focalizar.</w:t>
      </w:r>
      <w:r>
        <w:t xml:space="preserve"> Con un coeficiente de variación de 0,43 y una mitad central que abarca casi treinta puntos porcentuales, los programas difieren demasiado como para tratarlos igual.</w:t>
      </w:r>
    </w:p>
    <w:p>
      <w:pPr>
        <w:spacing w:after="120" w:line="264"/>
        <w:jc w:val="both"/>
      </w:pPr>
      <w:r>
        <w:rPr>
          <w:b/>
          <w:bCs/>
        </w:rPr>
        <w:t xml:space="preserve">El criterio de focalización importa, y no todos valen.</w:t>
      </w:r>
      <w:r>
        <w:t xml:space="preserve"> La acreditación institucional separa grupos con una diferencia de 17,6 puntos y un efecto grande: es un criterio útil. El área del conocimiento y el tipo de institución producen contrastes igual de significativos pero con efectos pequeños, porque la mayor parte de la variación ocurre dentro de cada categoría y no entre ellas; usarlos como criterio principal repartiría recursos con poca ganancia.</w:t>
      </w:r>
    </w:p>
    <w:p>
      <w:pPr>
        <w:spacing w:after="120" w:line="264"/>
        <w:jc w:val="both"/>
      </w:pPr>
      <w:r>
        <w:rPr>
          <w:b/>
          <w:bCs/>
        </w:rPr>
        <w:t xml:space="preserve">La incertidumbre acompaña, pero no impide decidir.</w:t>
      </w:r>
      <w:r>
        <w:t xml:space="preserve"> Los intervalos son estrechos y ninguna de las conclusiones anteriores cambia según el extremo del intervalo que se adopte.</w:t>
      </w:r>
    </w:p>
    <w:p>
      <w:pPr>
        <w:spacing w:after="120" w:line="264"/>
        <w:jc w:val="both"/>
      </w:pPr>
      <w:r>
        <w:t xml:space="preserve">La recomendación preliminar, por tanto, no es focalizar por categorías administrativas sino por el </w:t>
      </w:r>
      <w:r>
        <w:rPr>
          <w:b/>
          <w:bCs/>
        </w:rPr>
        <w:t xml:space="preserve">nivel de abandono medido en cada programa</w:t>
      </w:r>
      <w:r>
        <w:t xml:space="preserve">, empleando la acreditación como señal complementaria. Las categorías agregadas resultan demasiado gruesas para capturar dónde está realmente el problema.</w:t>
      </w:r>
    </w:p>
    <w:p>
      <w:pPr>
        <w:pStyle w:val="Heading1"/>
        <w:spacing w:after="130" w:before="260"/>
      </w:pPr>
      <w:r>
        <w:rPr>
          <w:b/>
          <w:bCs/>
          <w:color w:val="1F3864"/>
          <w:sz w:val="26"/>
          <w:szCs w:val="26"/>
        </w:rPr>
        <w:t xml:space="preserve">7. Limitaciones</w:t>
      </w:r>
    </w:p>
    <w:p>
      <w:pPr>
        <w:spacing w:after="120" w:line="264"/>
        <w:jc w:val="both"/>
      </w:pPr>
      <w:r>
        <w:rPr>
          <w:b/>
          <w:bCs/>
        </w:rPr>
        <w:t xml:space="preserve">El abandono es aparente, no observado</w:t>
      </w:r>
      <w:r>
        <w:t xml:space="preserve">: quien se cambia de carrera y se titula en otra parte cuenta como abandono, de modo que la magnitud estimada es una cota superior. </w:t>
      </w:r>
      <w:r>
        <w:rPr>
          <w:b/>
          <w:bCs/>
        </w:rPr>
        <w:t xml:space="preserve">La unidad de análisis es el programa</w:t>
      </w:r>
      <w:r>
        <w:t xml:space="preserve">, por lo que las conclusiones no pueden trasladarse a individuos sin incurrir en falacia ecológica. </w:t>
      </w:r>
      <w:r>
        <w:rPr>
          <w:b/>
          <w:bCs/>
        </w:rPr>
        <w:t xml:space="preserve">Las asociaciones no son causas</w:t>
      </w:r>
      <w:r>
        <w:t xml:space="preserve">: no hay grupo de control ni asignación aleatoria, y la acreditación podría estar recogiendo el efecto de la selectividad del ingreso o de los recursos de la institución. </w:t>
      </w:r>
      <w:r>
        <w:rPr>
          <w:b/>
          <w:bCs/>
        </w:rPr>
        <w:t xml:space="preserve">La ventana temporal trunca las cohortes recientes</w:t>
      </w:r>
      <w:r>
        <w:t xml:space="preserve">, cuyo abandono aparente queda inflado. Y </w:t>
      </w:r>
      <w:r>
        <w:rPr>
          <w:b/>
          <w:bCs/>
        </w:rPr>
        <w:t xml:space="preserve">los contrastes son univariados</w:t>
      </w:r>
      <w:r>
        <w:t xml:space="preserve">, de modo que los efectos podrían estar confundidos entre sí; un modelo multivariado, previsto para la fase siguiente, permitiría estimar cada efecto manteniendo los demás constantes.</w:t>
      </w:r>
    </w:p>
    <w:p>
      <w:pPr>
        <w:pStyle w:val="Heading1"/>
        <w:spacing w:after="130" w:before="260"/>
      </w:pPr>
      <w:r>
        <w:rPr>
          <w:b/>
          <w:bCs/>
          <w:color w:val="1F3864"/>
          <w:sz w:val="26"/>
          <w:szCs w:val="26"/>
        </w:rPr>
        <w:t xml:space="preserve">8. Reproducibilidad</w:t>
      </w:r>
    </w:p>
    <w:p>
      <w:pPr>
        <w:spacing w:after="120" w:line="264"/>
        <w:jc w:val="both"/>
      </w:pPr>
      <w:r>
        <w:t xml:space="preserve">Todas las cifras, tablas y figuras de este informe se generan al ejecutar el cuaderno </w:t>
      </w:r>
      <w:r>
        <w:rPr>
          <w:rFonts w:ascii="Consolas" w:cs="Consolas" w:eastAsia="Consolas" w:hAnsi="Consolas"/>
          <w:sz w:val="18"/>
          <w:szCs w:val="18"/>
        </w:rPr>
        <w:t xml:space="preserve">notebooks/Sumativa1_Analisis_Desercion.ipynb</w:t>
      </w:r>
      <w:r>
        <w:t xml:space="preserve">, que corre de principio a fin sin errores y deja sus salidas en </w:t>
      </w:r>
      <w:r>
        <w:rPr>
          <w:rFonts w:ascii="Consolas" w:cs="Consolas" w:eastAsia="Consolas" w:hAnsi="Consolas"/>
          <w:sz w:val="18"/>
          <w:szCs w:val="18"/>
        </w:rPr>
        <w:t xml:space="preserve">resultados/</w:t>
      </w:r>
      <w:r>
        <w:t xml:space="preserve">. El conjunto analítico está versionado en el repositorio, de modo que la reproducción no requiere descargar las bases originales del SIES. Las versiones de las bibliotecas están fijadas en </w:t>
      </w:r>
      <w:r>
        <w:rPr>
          <w:rFonts w:ascii="Consolas" w:cs="Consolas" w:eastAsia="Consolas" w:hAnsi="Consolas"/>
          <w:sz w:val="18"/>
          <w:szCs w:val="18"/>
        </w:rPr>
        <w:t xml:space="preserve">requirements.txt</w:t>
      </w:r>
      <w:r>
        <w:t xml:space="preserve"> y la semilla aleatoria en 42.</w:t>
      </w:r>
    </w:p>
    <w:p>
      <w:pPr>
        <w:spacing w:after="120" w:line="264"/>
        <w:jc w:val="both"/>
      </w:pPr>
      <w:r>
        <w:t xml:space="preserve">Repositorio: https://github.com/santunez75/analisis-desercion</w:t>
      </w:r>
    </w:p>
    <w:p>
      <w:pPr>
        <w:pStyle w:val="Heading1"/>
        <w:spacing w:after="130" w:before="260"/>
      </w:pPr>
      <w:r>
        <w:rPr>
          <w:b/>
          <w:bCs/>
          <w:color w:val="1F3864"/>
          <w:sz w:val="26"/>
          <w:szCs w:val="26"/>
        </w:rPr>
        <w:t xml:space="preserve">9. Referencias</w:t>
      </w:r>
    </w:p>
    <w:p>
      <w:pPr>
        <w:spacing w:after="110" w:line="264"/>
        <w:ind w:left="420" w:hanging="420"/>
        <w:jc w:val="both"/>
      </w:pPr>
      <w:r>
        <w:t xml:space="preserve">Cohen, J. (1988). </w:t>
      </w:r>
      <w:r>
        <w:rPr>
          <w:i/>
          <w:iCs/>
        </w:rPr>
        <w:t xml:space="preserve">Statistical power analysis for the behavioral sciences</w:t>
      </w:r>
      <w:r>
        <w:t xml:space="preserve"> (2.ª ed.). Lawrence Erlbaum Associates.</w:t>
      </w:r>
    </w:p>
    <w:p>
      <w:pPr>
        <w:spacing w:after="110" w:line="264"/>
        <w:ind w:left="420" w:hanging="420"/>
        <w:jc w:val="both"/>
      </w:pPr>
      <w:r>
        <w:t xml:space="preserve">Cramér, H. (1946). </w:t>
      </w:r>
      <w:r>
        <w:rPr>
          <w:i/>
          <w:iCs/>
        </w:rPr>
        <w:t xml:space="preserve">Mathematical methods of statistics</w:t>
      </w:r>
      <w:r>
        <w:t xml:space="preserve">. Princeton University Press.</w:t>
      </w:r>
    </w:p>
    <w:p>
      <w:pPr>
        <w:spacing w:after="110" w:line="264"/>
        <w:ind w:left="420" w:hanging="420"/>
        <w:jc w:val="both"/>
      </w:pPr>
      <w:r>
        <w:t xml:space="preserve">Harris, C. R., Millman, K. J., van der Walt, S. J., Gommers, R., Virtanen, P., Cournapeau, D. et al. (2020). Array programming with NumPy. </w:t>
      </w:r>
      <w:r>
        <w:rPr>
          <w:i/>
          <w:iCs/>
        </w:rPr>
        <w:t xml:space="preserve">Nature</w:t>
      </w:r>
      <w:r>
        <w:t xml:space="preserve">, 585, 357–362.</w:t>
      </w:r>
    </w:p>
    <w:p>
      <w:pPr>
        <w:spacing w:after="110" w:line="264"/>
        <w:ind w:left="420" w:hanging="420"/>
        <w:jc w:val="both"/>
      </w:pPr>
      <w:r>
        <w:t xml:space="preserve">McKinney, W. (2010). Data structures for statistical computing in Python. En </w:t>
      </w:r>
      <w:r>
        <w:rPr>
          <w:i/>
          <w:iCs/>
        </w:rPr>
        <w:t xml:space="preserve">Proceedings of the 9th Python in Science Conference</w:t>
      </w:r>
      <w:r>
        <w:t xml:space="preserve"> (pp. 56–61).</w:t>
      </w:r>
    </w:p>
    <w:p>
      <w:pPr>
        <w:spacing w:after="110" w:line="264"/>
        <w:ind w:left="420" w:hanging="420"/>
        <w:jc w:val="both"/>
      </w:pPr>
      <w:r>
        <w:t xml:space="preserve">Seabold, S. y Perktold, J. (2010). statsmodels: econometric and statistical modeling with Python. En </w:t>
      </w:r>
      <w:r>
        <w:rPr>
          <w:i/>
          <w:iCs/>
        </w:rPr>
        <w:t xml:space="preserve">Proceedings of the 9th Python in Science Conference</w:t>
      </w:r>
      <w:r>
        <w:t xml:space="preserve"> (pp. 92–96).</w:t>
      </w:r>
    </w:p>
    <w:p>
      <w:pPr>
        <w:spacing w:after="110" w:line="264"/>
        <w:ind w:left="420" w:hanging="420"/>
        <w:jc w:val="both"/>
      </w:pPr>
      <w:r>
        <w:t xml:space="preserve">Servicio de Información de Educación Superior. (2026). </w:t>
      </w:r>
      <w:r>
        <w:rPr>
          <w:i/>
          <w:iCs/>
        </w:rPr>
        <w:t xml:space="preserve">Bases de datos de matrícula en educación superior 2007–2026</w:t>
      </w:r>
      <w:r>
        <w:t xml:space="preserve">. Ministerio de Educación de Chile. https://datosabiertos.mineduc.cl/</w:t>
      </w:r>
    </w:p>
    <w:p>
      <w:pPr>
        <w:spacing w:after="110" w:line="264"/>
        <w:ind w:left="420" w:hanging="420"/>
        <w:jc w:val="both"/>
      </w:pPr>
      <w:r>
        <w:t xml:space="preserve">Servicio de Información de Educación Superior. (2026). </w:t>
      </w:r>
      <w:r>
        <w:rPr>
          <w:i/>
          <w:iCs/>
        </w:rPr>
        <w:t xml:space="preserve">Bases de datos de titulados de educación superior 2007–2025</w:t>
      </w:r>
      <w:r>
        <w:t xml:space="preserve">. Ministerio de Educación de Chile. https://datosabiertos.mineduc.cl/</w:t>
      </w:r>
    </w:p>
    <w:p>
      <w:pPr>
        <w:spacing w:after="110" w:line="264"/>
        <w:ind w:left="420" w:hanging="420"/>
        <w:jc w:val="both"/>
      </w:pPr>
      <w:r>
        <w:t xml:space="preserve">Tukey, J. W. (1949). Comparing individual means in the analysis of variance. </w:t>
      </w:r>
      <w:r>
        <w:rPr>
          <w:i/>
          <w:iCs/>
        </w:rPr>
        <w:t xml:space="preserve">Biometrics</w:t>
      </w:r>
      <w:r>
        <w:t xml:space="preserve">, 5(2), 99–114.</w:t>
      </w:r>
    </w:p>
    <w:p>
      <w:pPr>
        <w:spacing w:after="110" w:line="264"/>
        <w:ind w:left="420" w:hanging="420"/>
        <w:jc w:val="both"/>
      </w:pPr>
      <w:r>
        <w:t xml:space="preserve">Virtanen, P., Gommers, R., Oliphant, T. E., Haberland, M., Reddy, T., Cournapeau, D. et al. (2020). SciPy 1.0: fundamental algorithms for scientific computing in Python. </w:t>
      </w:r>
      <w:r>
        <w:rPr>
          <w:i/>
          <w:iCs/>
        </w:rPr>
        <w:t xml:space="preserve">Nature Methods</w:t>
      </w:r>
      <w:r>
        <w:t xml:space="preserve">, 17, 261–272.</w:t>
      </w:r>
    </w:p>
    <w:p>
      <w:pPr>
        <w:spacing w:after="110" w:line="264"/>
        <w:ind w:left="420" w:hanging="420"/>
        <w:jc w:val="both"/>
      </w:pPr>
      <w:r>
        <w:t xml:space="preserve">Wasserstein, R. L. y Lazar, N. A. (2016). The ASA statement on p-values: context, process, and purpose. </w:t>
      </w:r>
      <w:r>
        <w:rPr>
          <w:i/>
          <w:iCs/>
        </w:rPr>
        <w:t xml:space="preserve">The American Statistician</w:t>
      </w:r>
      <w:r>
        <w:t xml:space="preserve">, 70(2), 129–133.</w:t>
      </w:r>
    </w:p>
    <w:p>
      <w:pPr>
        <w:spacing w:after="110" w:line="264"/>
        <w:ind w:left="420" w:hanging="420"/>
        <w:jc w:val="both"/>
      </w:pPr>
      <w:r>
        <w:t xml:space="preserve">Welch, B. L. (1947). The generalization of «Student’s» problem when several different population variances are involved. </w:t>
      </w:r>
      <w:r>
        <w:rPr>
          <w:i/>
          <w:iCs/>
        </w:rPr>
        <w:t xml:space="preserve">Biometrika</w:t>
      </w:r>
      <w:r>
        <w:t xml:space="preserve">, 34(1–2), 28–35.</w:t>
      </w:r>
    </w:p>
    <w:p>
      <w:pPr>
        <w:spacing w:after="110" w:line="264"/>
        <w:ind w:left="420" w:hanging="420"/>
        <w:jc w:val="both"/>
      </w:pPr>
      <w:r>
        <w:t xml:space="preserve">Wilson, E. B. (1927). Probable inference, the law of succession, and statistical inference. </w:t>
      </w:r>
      <w:r>
        <w:rPr>
          <w:i/>
          <w:iCs/>
        </w:rPr>
        <w:t xml:space="preserve">Journal of the American Statistical Association</w:t>
      </w:r>
      <w:r>
        <w:t xml:space="preserve">, 22(158), 209–212.</w:t>
      </w:r>
    </w:p>
    <w:sectPr>
      <w:footerReference w:type="default" r:id="rId6"/>
      <w:pgSz w:w="12240" w:h="15840" w:orient="portrait"/>
      <w:pgMar w:top="1133" w:right="1133" w:bottom="1020" w:left="113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5"/>
        <w:szCs w:val="15"/>
      </w:rPr>
      <w:t xml:space="preserve">Sebastian Antunez Noguera · Estadística Computacional · Sumativa 1 ·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9153ba6264fa8e0d08e5e88bb1d42c56999cf39.jpg"/><Relationship Id="rId9" Type="http://schemas.openxmlformats.org/officeDocument/2006/relationships/image" Target="media/3bd32a14173b2b9d4fc1ea3bc9927689a4405474.png"/><Relationship Id="rId10" Type="http://schemas.openxmlformats.org/officeDocument/2006/relationships/image" Target="media/98902dc53dadc082b1f2443ab11454c770e8b843.png"/><Relationship Id="rId11" Type="http://schemas.openxmlformats.org/officeDocument/2006/relationships/image" Target="media/40e608d91bc09288b6de93e44b07f6f18f3f3e51.png"/><Relationship Id="rId12" Type="http://schemas.openxmlformats.org/officeDocument/2006/relationships/image" Target="media/67f0c29476bcdce94d264e874975d9cd157ab26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Sebastian Antunez Noguera</dc:creator>
  <dc:description>Informe tecnico de avance - Sumativa 1, Estadistica Computacional</dc:description>
  <cp:lastModifiedBy>Un-named</cp:lastModifiedBy>
  <cp:revision>1</cp:revision>
  <dcterms:created xsi:type="dcterms:W3CDTF">2026-10-08T12:48:55.466Z</dcterms:created>
  <dcterms:modified xsi:type="dcterms:W3CDTF">2026-10-08T12:48:55.467Z</dcterms:modified>
</cp:coreProperties>
</file>

<file path=docProps/custom.xml><?xml version="1.0" encoding="utf-8"?>
<Properties xmlns="http://schemas.openxmlformats.org/officeDocument/2006/custom-properties" xmlns:vt="http://schemas.openxmlformats.org/officeDocument/2006/docPropsVTypes"/>
</file>