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F908F" w14:textId="77777777" w:rsidR="00E8466D" w:rsidRDefault="00C47C5D">
      <w:pPr>
        <w:spacing w:after="240"/>
        <w:jc w:val="center"/>
      </w:pPr>
      <w:r>
        <w:rPr>
          <w:noProof/>
        </w:rPr>
        <w:drawing>
          <wp:inline distT="0" distB="0" distL="0" distR="0" wp14:anchorId="156D8ED3" wp14:editId="270CE3B6">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143000"/>
                    </a:xfrm>
                    <a:prstGeom prst="rect">
                      <a:avLst/>
                    </a:prstGeom>
                  </pic:spPr>
                </pic:pic>
              </a:graphicData>
            </a:graphic>
          </wp:inline>
        </w:drawing>
      </w:r>
    </w:p>
    <w:p w14:paraId="6AB9710C" w14:textId="77777777" w:rsidR="00E8466D" w:rsidRDefault="00C47C5D">
      <w:pPr>
        <w:spacing w:line="360" w:lineRule="auto"/>
        <w:jc w:val="center"/>
      </w:pPr>
      <w:r>
        <w:rPr>
          <w:rFonts w:ascii="Arial" w:eastAsia="Arial" w:hAnsi="Arial" w:cs="Arial"/>
          <w:sz w:val="24"/>
          <w:szCs w:val="24"/>
        </w:rPr>
        <w:t>Facultad de Ingeniería</w:t>
      </w:r>
    </w:p>
    <w:p w14:paraId="6732D4EA" w14:textId="77777777" w:rsidR="00E8466D" w:rsidRDefault="00C47C5D">
      <w:pPr>
        <w:spacing w:line="360" w:lineRule="auto"/>
        <w:jc w:val="center"/>
      </w:pPr>
      <w:r>
        <w:rPr>
          <w:rFonts w:ascii="Arial" w:eastAsia="Arial" w:hAnsi="Arial" w:cs="Arial"/>
          <w:sz w:val="24"/>
          <w:szCs w:val="24"/>
        </w:rPr>
        <w:t>Magíster en Ciencia de Datos e Inteligencia Artificial</w:t>
      </w:r>
    </w:p>
    <w:p w14:paraId="241F0301" w14:textId="77777777" w:rsidR="00E8466D" w:rsidRDefault="00E8466D">
      <w:pPr>
        <w:spacing w:line="360" w:lineRule="auto"/>
      </w:pPr>
    </w:p>
    <w:p w14:paraId="54C309B7" w14:textId="77777777" w:rsidR="00E8466D" w:rsidRDefault="00E8466D">
      <w:pPr>
        <w:spacing w:line="360" w:lineRule="auto"/>
      </w:pPr>
    </w:p>
    <w:p w14:paraId="59588ED7" w14:textId="77777777" w:rsidR="00E8466D" w:rsidRDefault="00E8466D">
      <w:pPr>
        <w:spacing w:line="360" w:lineRule="auto"/>
      </w:pPr>
    </w:p>
    <w:p w14:paraId="356CB462" w14:textId="77777777" w:rsidR="00E8466D" w:rsidRDefault="00C47C5D">
      <w:pPr>
        <w:spacing w:line="360" w:lineRule="auto"/>
        <w:jc w:val="center"/>
      </w:pPr>
      <w:r>
        <w:rPr>
          <w:rFonts w:ascii="Arial" w:eastAsia="Arial" w:hAnsi="Arial" w:cs="Arial"/>
          <w:b/>
          <w:bCs/>
          <w:sz w:val="24"/>
          <w:szCs w:val="24"/>
        </w:rPr>
        <w:t>VALIDACIÓN POR REMUESTREO Y SIMULACIÓN DEL ANÁLISIS DE DESERCIÓN</w:t>
      </w:r>
    </w:p>
    <w:p w14:paraId="2650EB1F" w14:textId="77777777" w:rsidR="00E8466D" w:rsidRDefault="00C47C5D">
      <w:pPr>
        <w:spacing w:line="360" w:lineRule="auto"/>
        <w:jc w:val="center"/>
      </w:pPr>
      <w:r>
        <w:rPr>
          <w:rFonts w:ascii="Arial" w:eastAsia="Arial" w:hAnsi="Arial" w:cs="Arial"/>
          <w:sz w:val="24"/>
          <w:szCs w:val="24"/>
        </w:rPr>
        <w:t>Informe técnico de validación</w:t>
      </w:r>
    </w:p>
    <w:p w14:paraId="0958BDBC" w14:textId="77777777" w:rsidR="00E8466D" w:rsidRDefault="00E8466D">
      <w:pPr>
        <w:spacing w:line="360" w:lineRule="auto"/>
      </w:pPr>
    </w:p>
    <w:p w14:paraId="2C7394FD" w14:textId="77777777" w:rsidR="00E8466D" w:rsidRDefault="00E8466D">
      <w:pPr>
        <w:spacing w:line="360" w:lineRule="auto"/>
      </w:pPr>
    </w:p>
    <w:p w14:paraId="69277085" w14:textId="77777777" w:rsidR="00E8466D" w:rsidRDefault="00C47C5D">
      <w:pPr>
        <w:spacing w:line="360" w:lineRule="auto"/>
        <w:jc w:val="center"/>
      </w:pPr>
      <w:r>
        <w:rPr>
          <w:rFonts w:ascii="Arial" w:eastAsia="Arial" w:hAnsi="Arial" w:cs="Arial"/>
          <w:sz w:val="24"/>
          <w:szCs w:val="24"/>
        </w:rPr>
        <w:t>Evaluación Sumativa 2</w:t>
      </w:r>
    </w:p>
    <w:p w14:paraId="29148A84" w14:textId="77777777" w:rsidR="00E8466D" w:rsidRDefault="00C47C5D">
      <w:pPr>
        <w:spacing w:line="360" w:lineRule="auto"/>
        <w:jc w:val="center"/>
      </w:pPr>
      <w:r>
        <w:rPr>
          <w:rFonts w:ascii="Arial" w:eastAsia="Arial" w:hAnsi="Arial" w:cs="Arial"/>
          <w:sz w:val="24"/>
          <w:szCs w:val="24"/>
        </w:rPr>
        <w:t>Estadística Computacional</w:t>
      </w:r>
    </w:p>
    <w:p w14:paraId="1412A885" w14:textId="77777777" w:rsidR="00E8466D" w:rsidRDefault="00E8466D">
      <w:pPr>
        <w:spacing w:line="360" w:lineRule="auto"/>
      </w:pPr>
    </w:p>
    <w:p w14:paraId="2AD7C37F" w14:textId="77777777" w:rsidR="00E8466D" w:rsidRDefault="00E8466D">
      <w:pPr>
        <w:spacing w:line="360" w:lineRule="auto"/>
      </w:pPr>
    </w:p>
    <w:p w14:paraId="3273960F" w14:textId="77777777" w:rsidR="00E8466D" w:rsidRDefault="00E8466D">
      <w:pPr>
        <w:spacing w:line="360" w:lineRule="auto"/>
      </w:pPr>
    </w:p>
    <w:p w14:paraId="17509CC3" w14:textId="77777777" w:rsidR="00E8466D" w:rsidRDefault="00C47C5D">
      <w:pPr>
        <w:spacing w:line="360" w:lineRule="auto"/>
        <w:jc w:val="center"/>
      </w:pPr>
      <w:r>
        <w:rPr>
          <w:rFonts w:ascii="Arial" w:eastAsia="Arial" w:hAnsi="Arial" w:cs="Arial"/>
          <w:sz w:val="24"/>
          <w:szCs w:val="24"/>
        </w:rPr>
        <w:t>Autores:</w:t>
      </w:r>
    </w:p>
    <w:p w14:paraId="0A9A9A1E" w14:textId="77777777" w:rsidR="00E8466D" w:rsidRDefault="00C47C5D">
      <w:pPr>
        <w:spacing w:line="360" w:lineRule="auto"/>
        <w:jc w:val="center"/>
      </w:pPr>
      <w:r>
        <w:rPr>
          <w:rFonts w:ascii="Arial" w:eastAsia="Arial" w:hAnsi="Arial" w:cs="Arial"/>
          <w:sz w:val="24"/>
          <w:szCs w:val="24"/>
        </w:rPr>
        <w:t>María Fassler Neumann / Sebastian Antunez Noguera</w:t>
      </w:r>
    </w:p>
    <w:p w14:paraId="681729FE" w14:textId="77777777" w:rsidR="00E8466D" w:rsidRDefault="00C47C5D">
      <w:pPr>
        <w:spacing w:line="360" w:lineRule="auto"/>
        <w:jc w:val="center"/>
      </w:pPr>
      <w:r>
        <w:rPr>
          <w:rFonts w:ascii="Arial" w:eastAsia="Arial" w:hAnsi="Arial" w:cs="Arial"/>
          <w:sz w:val="24"/>
          <w:szCs w:val="24"/>
        </w:rPr>
        <w:t>Grupo 4</w:t>
      </w:r>
    </w:p>
    <w:p w14:paraId="5BB2DED9" w14:textId="77777777" w:rsidR="00E8466D" w:rsidRDefault="00E8466D">
      <w:pPr>
        <w:spacing w:line="360" w:lineRule="auto"/>
      </w:pPr>
    </w:p>
    <w:p w14:paraId="781C020C" w14:textId="77777777" w:rsidR="00E8466D" w:rsidRDefault="00E8466D">
      <w:pPr>
        <w:spacing w:line="360" w:lineRule="auto"/>
      </w:pPr>
    </w:p>
    <w:p w14:paraId="658770AE" w14:textId="77777777" w:rsidR="00E8466D" w:rsidRDefault="00C47C5D">
      <w:pPr>
        <w:spacing w:line="360" w:lineRule="auto"/>
        <w:jc w:val="center"/>
      </w:pPr>
      <w:r>
        <w:rPr>
          <w:rFonts w:ascii="Arial" w:eastAsia="Arial" w:hAnsi="Arial" w:cs="Arial"/>
          <w:sz w:val="24"/>
          <w:szCs w:val="24"/>
        </w:rPr>
        <w:t>Profesor:</w:t>
      </w:r>
    </w:p>
    <w:p w14:paraId="17FAB9D3" w14:textId="77777777" w:rsidR="00E8466D" w:rsidRDefault="00C47C5D">
      <w:pPr>
        <w:spacing w:line="360" w:lineRule="auto"/>
        <w:jc w:val="center"/>
      </w:pPr>
      <w:r>
        <w:rPr>
          <w:rFonts w:ascii="Arial" w:eastAsia="Arial" w:hAnsi="Arial" w:cs="Arial"/>
          <w:sz w:val="24"/>
          <w:szCs w:val="24"/>
        </w:rPr>
        <w:t>Jean Paul Maidana</w:t>
      </w:r>
    </w:p>
    <w:p w14:paraId="08B79BBD" w14:textId="77777777" w:rsidR="00E8466D" w:rsidRDefault="00E8466D">
      <w:pPr>
        <w:spacing w:line="360" w:lineRule="auto"/>
      </w:pPr>
    </w:p>
    <w:p w14:paraId="06DE4B19" w14:textId="77777777" w:rsidR="00E8466D" w:rsidRDefault="00E8466D">
      <w:pPr>
        <w:spacing w:line="360" w:lineRule="auto"/>
      </w:pPr>
    </w:p>
    <w:p w14:paraId="18F3C2B8" w14:textId="77777777" w:rsidR="00E8466D" w:rsidRDefault="00E8466D">
      <w:pPr>
        <w:spacing w:line="360" w:lineRule="auto"/>
      </w:pPr>
    </w:p>
    <w:p w14:paraId="5A81CF01" w14:textId="77777777" w:rsidR="00E8466D" w:rsidRDefault="00C47C5D">
      <w:pPr>
        <w:spacing w:line="360" w:lineRule="auto"/>
        <w:jc w:val="center"/>
      </w:pPr>
      <w:r>
        <w:rPr>
          <w:rFonts w:ascii="Arial" w:eastAsia="Arial" w:hAnsi="Arial" w:cs="Arial"/>
          <w:sz w:val="24"/>
          <w:szCs w:val="24"/>
        </w:rPr>
        <w:t>Santiago, Chile</w:t>
      </w:r>
    </w:p>
    <w:p w14:paraId="40EF421D" w14:textId="77777777" w:rsidR="00E8466D" w:rsidRDefault="00C47C5D">
      <w:pPr>
        <w:spacing w:line="360" w:lineRule="auto"/>
        <w:jc w:val="center"/>
        <w:sectPr w:rsidR="00E8466D">
          <w:pgSz w:w="12240" w:h="15840"/>
          <w:pgMar w:top="1417" w:right="1417" w:bottom="1417" w:left="1417" w:header="708" w:footer="708" w:gutter="0"/>
          <w:cols w:space="720"/>
          <w:docGrid w:linePitch="360"/>
        </w:sectPr>
      </w:pPr>
      <w:r>
        <w:rPr>
          <w:rFonts w:ascii="Arial" w:eastAsia="Arial" w:hAnsi="Arial" w:cs="Arial"/>
          <w:sz w:val="24"/>
          <w:szCs w:val="24"/>
        </w:rPr>
        <w:t>2026</w:t>
      </w:r>
    </w:p>
    <w:p w14:paraId="35C829D4" w14:textId="77777777" w:rsidR="00E8466D" w:rsidRDefault="00C47C5D">
      <w:pPr>
        <w:spacing w:after="220"/>
      </w:pPr>
      <w:r>
        <w:rPr>
          <w:b/>
          <w:bCs/>
          <w:color w:val="1F3864"/>
          <w:sz w:val="28"/>
          <w:szCs w:val="28"/>
        </w:rPr>
        <w:lastRenderedPageBreak/>
        <w:t>Índice</w:t>
      </w:r>
    </w:p>
    <w:sdt>
      <w:sdtPr>
        <w:alias w:val="Indice"/>
        <w:id w:val="-1817643491"/>
      </w:sdtPr>
      <w:sdtEndPr/>
      <w:sdtContent>
        <w:p w14:paraId="7DCA7EBD" w14:textId="6206AE19" w:rsidR="0034181C" w:rsidRDefault="00C47C5D">
          <w:pPr>
            <w:pStyle w:val="TOC1"/>
            <w:tabs>
              <w:tab w:val="right" w:leader="dot" w:pos="996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18255" w:history="1">
            <w:r w:rsidR="0034181C" w:rsidRPr="00B61D97">
              <w:rPr>
                <w:rStyle w:val="Hyperlink"/>
                <w:b/>
                <w:bCs/>
                <w:noProof/>
              </w:rPr>
              <w:t>1. Qué se valida y por qué</w:t>
            </w:r>
            <w:r w:rsidR="0034181C">
              <w:rPr>
                <w:noProof/>
              </w:rPr>
              <w:tab/>
            </w:r>
            <w:r w:rsidR="0034181C">
              <w:rPr>
                <w:noProof/>
              </w:rPr>
              <w:fldChar w:fldCharType="begin"/>
            </w:r>
            <w:r w:rsidR="0034181C">
              <w:rPr>
                <w:noProof/>
              </w:rPr>
              <w:instrText xml:space="preserve"> PAGEREF _Toc242818255 \h </w:instrText>
            </w:r>
            <w:r w:rsidR="0034181C">
              <w:rPr>
                <w:noProof/>
              </w:rPr>
            </w:r>
            <w:r w:rsidR="0034181C">
              <w:rPr>
                <w:noProof/>
              </w:rPr>
              <w:fldChar w:fldCharType="separate"/>
            </w:r>
            <w:r w:rsidR="0034181C">
              <w:rPr>
                <w:noProof/>
              </w:rPr>
              <w:t>3</w:t>
            </w:r>
            <w:r w:rsidR="0034181C">
              <w:rPr>
                <w:noProof/>
              </w:rPr>
              <w:fldChar w:fldCharType="end"/>
            </w:r>
          </w:hyperlink>
        </w:p>
        <w:p w14:paraId="5C6D16FD" w14:textId="1E79258A"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56" w:history="1">
            <w:r w:rsidRPr="00B61D97">
              <w:rPr>
                <w:rStyle w:val="Hyperlink"/>
                <w:b/>
                <w:bCs/>
                <w:noProof/>
              </w:rPr>
              <w:t>2. Validación bootstrap de los intervalos de confianza</w:t>
            </w:r>
            <w:r>
              <w:rPr>
                <w:noProof/>
              </w:rPr>
              <w:tab/>
            </w:r>
            <w:r>
              <w:rPr>
                <w:noProof/>
              </w:rPr>
              <w:fldChar w:fldCharType="begin"/>
            </w:r>
            <w:r>
              <w:rPr>
                <w:noProof/>
              </w:rPr>
              <w:instrText xml:space="preserve"> PAGEREF _Toc242818256 \h </w:instrText>
            </w:r>
            <w:r>
              <w:rPr>
                <w:noProof/>
              </w:rPr>
            </w:r>
            <w:r>
              <w:rPr>
                <w:noProof/>
              </w:rPr>
              <w:fldChar w:fldCharType="separate"/>
            </w:r>
            <w:r>
              <w:rPr>
                <w:noProof/>
              </w:rPr>
              <w:t>3</w:t>
            </w:r>
            <w:r>
              <w:rPr>
                <w:noProof/>
              </w:rPr>
              <w:fldChar w:fldCharType="end"/>
            </w:r>
          </w:hyperlink>
        </w:p>
        <w:p w14:paraId="6017CB57" w14:textId="63A65601"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57" w:history="1">
            <w:r w:rsidRPr="00B61D97">
              <w:rPr>
                <w:rStyle w:val="Hyperlink"/>
                <w:b/>
                <w:bCs/>
                <w:noProof/>
              </w:rPr>
              <w:t>3. Validación de una prueba de hipótesis por permutación</w:t>
            </w:r>
            <w:r>
              <w:rPr>
                <w:noProof/>
              </w:rPr>
              <w:tab/>
            </w:r>
            <w:r>
              <w:rPr>
                <w:noProof/>
              </w:rPr>
              <w:fldChar w:fldCharType="begin"/>
            </w:r>
            <w:r>
              <w:rPr>
                <w:noProof/>
              </w:rPr>
              <w:instrText xml:space="preserve"> PAGEREF _Toc242818257 \h </w:instrText>
            </w:r>
            <w:r>
              <w:rPr>
                <w:noProof/>
              </w:rPr>
            </w:r>
            <w:r>
              <w:rPr>
                <w:noProof/>
              </w:rPr>
              <w:fldChar w:fldCharType="separate"/>
            </w:r>
            <w:r>
              <w:rPr>
                <w:noProof/>
              </w:rPr>
              <w:t>4</w:t>
            </w:r>
            <w:r>
              <w:rPr>
                <w:noProof/>
              </w:rPr>
              <w:fldChar w:fldCharType="end"/>
            </w:r>
          </w:hyperlink>
        </w:p>
        <w:p w14:paraId="0BE0A3DF" w14:textId="160F9296"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58" w:history="1">
            <w:r w:rsidRPr="00B61D97">
              <w:rPr>
                <w:rStyle w:val="Hyperlink"/>
                <w:b/>
                <w:bCs/>
                <w:noProof/>
              </w:rPr>
              <w:t>4. Estabilidad de las correlaciones</w:t>
            </w:r>
            <w:r>
              <w:rPr>
                <w:noProof/>
              </w:rPr>
              <w:tab/>
            </w:r>
            <w:r>
              <w:rPr>
                <w:noProof/>
              </w:rPr>
              <w:fldChar w:fldCharType="begin"/>
            </w:r>
            <w:r>
              <w:rPr>
                <w:noProof/>
              </w:rPr>
              <w:instrText xml:space="preserve"> PAGEREF _Toc242818258 \h </w:instrText>
            </w:r>
            <w:r>
              <w:rPr>
                <w:noProof/>
              </w:rPr>
            </w:r>
            <w:r>
              <w:rPr>
                <w:noProof/>
              </w:rPr>
              <w:fldChar w:fldCharType="separate"/>
            </w:r>
            <w:r>
              <w:rPr>
                <w:noProof/>
              </w:rPr>
              <w:t>5</w:t>
            </w:r>
            <w:r>
              <w:rPr>
                <w:noProof/>
              </w:rPr>
              <w:fldChar w:fldCharType="end"/>
            </w:r>
          </w:hyperlink>
        </w:p>
        <w:p w14:paraId="43FB5EA1" w14:textId="6F742DB6"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59" w:history="1">
            <w:r w:rsidRPr="00B61D97">
              <w:rPr>
                <w:rStyle w:val="Hyperlink"/>
                <w:b/>
                <w:bCs/>
                <w:noProof/>
              </w:rPr>
              <w:t>5. Simulación Monte Carlo de la decisión de focalización</w:t>
            </w:r>
            <w:r>
              <w:rPr>
                <w:noProof/>
              </w:rPr>
              <w:tab/>
            </w:r>
            <w:r>
              <w:rPr>
                <w:noProof/>
              </w:rPr>
              <w:fldChar w:fldCharType="begin"/>
            </w:r>
            <w:r>
              <w:rPr>
                <w:noProof/>
              </w:rPr>
              <w:instrText xml:space="preserve"> PAGEREF _Toc242818259 \h </w:instrText>
            </w:r>
            <w:r>
              <w:rPr>
                <w:noProof/>
              </w:rPr>
            </w:r>
            <w:r>
              <w:rPr>
                <w:noProof/>
              </w:rPr>
              <w:fldChar w:fldCharType="separate"/>
            </w:r>
            <w:r>
              <w:rPr>
                <w:noProof/>
              </w:rPr>
              <w:t>5</w:t>
            </w:r>
            <w:r>
              <w:rPr>
                <w:noProof/>
              </w:rPr>
              <w:fldChar w:fldCharType="end"/>
            </w:r>
          </w:hyperlink>
        </w:p>
        <w:p w14:paraId="1D6A1E4F" w14:textId="4A8101B6"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60" w:history="1">
            <w:r w:rsidRPr="00B61D97">
              <w:rPr>
                <w:rStyle w:val="Hyperlink"/>
                <w:b/>
                <w:bCs/>
                <w:noProof/>
              </w:rPr>
              <w:t>6. Análisis de robustez y sensibilidad</w:t>
            </w:r>
            <w:r>
              <w:rPr>
                <w:noProof/>
              </w:rPr>
              <w:tab/>
            </w:r>
            <w:r>
              <w:rPr>
                <w:noProof/>
              </w:rPr>
              <w:fldChar w:fldCharType="begin"/>
            </w:r>
            <w:r>
              <w:rPr>
                <w:noProof/>
              </w:rPr>
              <w:instrText xml:space="preserve"> PAGEREF _Toc242818260 \h </w:instrText>
            </w:r>
            <w:r>
              <w:rPr>
                <w:noProof/>
              </w:rPr>
            </w:r>
            <w:r>
              <w:rPr>
                <w:noProof/>
              </w:rPr>
              <w:fldChar w:fldCharType="separate"/>
            </w:r>
            <w:r>
              <w:rPr>
                <w:noProof/>
              </w:rPr>
              <w:t>6</w:t>
            </w:r>
            <w:r>
              <w:rPr>
                <w:noProof/>
              </w:rPr>
              <w:fldChar w:fldCharType="end"/>
            </w:r>
          </w:hyperlink>
        </w:p>
        <w:p w14:paraId="0B196BAF" w14:textId="6BA19AF0" w:rsidR="0034181C" w:rsidRDefault="0034181C">
          <w:pPr>
            <w:pStyle w:val="TOC2"/>
            <w:tabs>
              <w:tab w:val="right" w:leader="dot" w:pos="9964"/>
            </w:tabs>
            <w:rPr>
              <w:rFonts w:asciiTheme="minorHAnsi" w:eastAsiaTheme="minorEastAsia" w:hAnsiTheme="minorHAnsi" w:cstheme="minorBidi"/>
              <w:noProof/>
              <w:kern w:val="2"/>
              <w:sz w:val="24"/>
              <w:szCs w:val="24"/>
              <w14:ligatures w14:val="standardContextual"/>
            </w:rPr>
          </w:pPr>
          <w:hyperlink w:anchor="_Toc242818261" w:history="1">
            <w:r w:rsidRPr="00B61D97">
              <w:rPr>
                <w:rStyle w:val="Hyperlink"/>
                <w:b/>
                <w:bCs/>
                <w:noProof/>
              </w:rPr>
              <w:t>6.1 Observaciones influyentes y valores extremos</w:t>
            </w:r>
            <w:r>
              <w:rPr>
                <w:noProof/>
              </w:rPr>
              <w:tab/>
            </w:r>
            <w:r>
              <w:rPr>
                <w:noProof/>
              </w:rPr>
              <w:fldChar w:fldCharType="begin"/>
            </w:r>
            <w:r>
              <w:rPr>
                <w:noProof/>
              </w:rPr>
              <w:instrText xml:space="preserve"> PAGEREF _Toc242818261 \h </w:instrText>
            </w:r>
            <w:r>
              <w:rPr>
                <w:noProof/>
              </w:rPr>
            </w:r>
            <w:r>
              <w:rPr>
                <w:noProof/>
              </w:rPr>
              <w:fldChar w:fldCharType="separate"/>
            </w:r>
            <w:r>
              <w:rPr>
                <w:noProof/>
              </w:rPr>
              <w:t>6</w:t>
            </w:r>
            <w:r>
              <w:rPr>
                <w:noProof/>
              </w:rPr>
              <w:fldChar w:fldCharType="end"/>
            </w:r>
          </w:hyperlink>
        </w:p>
        <w:p w14:paraId="6944C7C7" w14:textId="74E76CBC" w:rsidR="0034181C" w:rsidRDefault="0034181C">
          <w:pPr>
            <w:pStyle w:val="TOC2"/>
            <w:tabs>
              <w:tab w:val="right" w:leader="dot" w:pos="9964"/>
            </w:tabs>
            <w:rPr>
              <w:rFonts w:asciiTheme="minorHAnsi" w:eastAsiaTheme="minorEastAsia" w:hAnsiTheme="minorHAnsi" w:cstheme="minorBidi"/>
              <w:noProof/>
              <w:kern w:val="2"/>
              <w:sz w:val="24"/>
              <w:szCs w:val="24"/>
              <w14:ligatures w14:val="standardContextual"/>
            </w:rPr>
          </w:pPr>
          <w:hyperlink w:anchor="_Toc242818262" w:history="1">
            <w:r w:rsidRPr="00B61D97">
              <w:rPr>
                <w:rStyle w:val="Hyperlink"/>
                <w:b/>
                <w:bCs/>
                <w:noProof/>
              </w:rPr>
              <w:t>6.2 Sensibilidad de la simulación a sus variables de entrada</w:t>
            </w:r>
            <w:r>
              <w:rPr>
                <w:noProof/>
              </w:rPr>
              <w:tab/>
            </w:r>
            <w:r>
              <w:rPr>
                <w:noProof/>
              </w:rPr>
              <w:fldChar w:fldCharType="begin"/>
            </w:r>
            <w:r>
              <w:rPr>
                <w:noProof/>
              </w:rPr>
              <w:instrText xml:space="preserve"> PAGEREF _Toc242818262 \h </w:instrText>
            </w:r>
            <w:r>
              <w:rPr>
                <w:noProof/>
              </w:rPr>
            </w:r>
            <w:r>
              <w:rPr>
                <w:noProof/>
              </w:rPr>
              <w:fldChar w:fldCharType="separate"/>
            </w:r>
            <w:r>
              <w:rPr>
                <w:noProof/>
              </w:rPr>
              <w:t>7</w:t>
            </w:r>
            <w:r>
              <w:rPr>
                <w:noProof/>
              </w:rPr>
              <w:fldChar w:fldCharType="end"/>
            </w:r>
          </w:hyperlink>
        </w:p>
        <w:p w14:paraId="0EB107C5" w14:textId="4A66925A"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63" w:history="1">
            <w:r w:rsidRPr="00B61D97">
              <w:rPr>
                <w:rStyle w:val="Hyperlink"/>
                <w:b/>
                <w:bCs/>
                <w:noProof/>
              </w:rPr>
              <w:t>7. Resultados validados para la Sumativa 3</w:t>
            </w:r>
            <w:r>
              <w:rPr>
                <w:noProof/>
              </w:rPr>
              <w:tab/>
            </w:r>
            <w:r>
              <w:rPr>
                <w:noProof/>
              </w:rPr>
              <w:fldChar w:fldCharType="begin"/>
            </w:r>
            <w:r>
              <w:rPr>
                <w:noProof/>
              </w:rPr>
              <w:instrText xml:space="preserve"> PAGEREF _Toc242818263 \h </w:instrText>
            </w:r>
            <w:r>
              <w:rPr>
                <w:noProof/>
              </w:rPr>
            </w:r>
            <w:r>
              <w:rPr>
                <w:noProof/>
              </w:rPr>
              <w:fldChar w:fldCharType="separate"/>
            </w:r>
            <w:r>
              <w:rPr>
                <w:noProof/>
              </w:rPr>
              <w:t>7</w:t>
            </w:r>
            <w:r>
              <w:rPr>
                <w:noProof/>
              </w:rPr>
              <w:fldChar w:fldCharType="end"/>
            </w:r>
          </w:hyperlink>
        </w:p>
        <w:p w14:paraId="3883C850" w14:textId="705027DA" w:rsidR="0034181C" w:rsidRDefault="0034181C">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2818264" w:history="1">
            <w:r w:rsidRPr="00B61D97">
              <w:rPr>
                <w:rStyle w:val="Hyperlink"/>
                <w:b/>
                <w:bCs/>
                <w:noProof/>
              </w:rPr>
              <w:t>8. Reproducibilidad</w:t>
            </w:r>
            <w:r>
              <w:rPr>
                <w:noProof/>
              </w:rPr>
              <w:tab/>
            </w:r>
            <w:r>
              <w:rPr>
                <w:noProof/>
              </w:rPr>
              <w:fldChar w:fldCharType="begin"/>
            </w:r>
            <w:r>
              <w:rPr>
                <w:noProof/>
              </w:rPr>
              <w:instrText xml:space="preserve"> PAGEREF _Toc242818264 \h </w:instrText>
            </w:r>
            <w:r>
              <w:rPr>
                <w:noProof/>
              </w:rPr>
            </w:r>
            <w:r>
              <w:rPr>
                <w:noProof/>
              </w:rPr>
              <w:fldChar w:fldCharType="separate"/>
            </w:r>
            <w:r>
              <w:rPr>
                <w:noProof/>
              </w:rPr>
              <w:t>8</w:t>
            </w:r>
            <w:r>
              <w:rPr>
                <w:noProof/>
              </w:rPr>
              <w:fldChar w:fldCharType="end"/>
            </w:r>
          </w:hyperlink>
        </w:p>
        <w:p w14:paraId="63411070" w14:textId="32A8844C" w:rsidR="00E8466D" w:rsidRDefault="00C47C5D">
          <w:r>
            <w:fldChar w:fldCharType="end"/>
          </w:r>
        </w:p>
      </w:sdtContent>
    </w:sdt>
    <w:p w14:paraId="52207CDE" w14:textId="77777777" w:rsidR="00E8466D" w:rsidRDefault="00E8466D">
      <w:pPr>
        <w:sectPr w:rsidR="00E8466D">
          <w:pgSz w:w="12240" w:h="15840"/>
          <w:pgMar w:top="1133" w:right="1133" w:bottom="1020" w:left="1133" w:header="708" w:footer="708" w:gutter="0"/>
          <w:cols w:space="720"/>
          <w:docGrid w:linePitch="360"/>
        </w:sectPr>
      </w:pPr>
    </w:p>
    <w:p w14:paraId="436324DE" w14:textId="77777777" w:rsidR="00E8466D" w:rsidRDefault="00C47C5D">
      <w:pPr>
        <w:pStyle w:val="Heading1"/>
        <w:spacing w:before="260" w:after="130"/>
      </w:pPr>
      <w:bookmarkStart w:id="0" w:name="_Toc242818255"/>
      <w:r>
        <w:rPr>
          <w:b/>
          <w:bCs/>
          <w:color w:val="1F3864"/>
          <w:sz w:val="26"/>
          <w:szCs w:val="26"/>
        </w:rPr>
        <w:lastRenderedPageBreak/>
        <w:t>1. Qué se valida y por qué</w:t>
      </w:r>
      <w:bookmarkEnd w:id="0"/>
    </w:p>
    <w:p w14:paraId="4D8A38C8" w14:textId="77777777" w:rsidR="00E8466D" w:rsidRDefault="00C47C5D">
      <w:pPr>
        <w:spacing w:after="120" w:line="264" w:lineRule="auto"/>
        <w:jc w:val="both"/>
      </w:pPr>
      <w:r>
        <w:t>La Sumativa 1 estimó parámetros y contrastó hipótesis sobre 9.678 programas de educación superior apoyándose en supuestos que no verificó: normalidad de la media muestral, varianzas comparables entre grupos, validez de las aproximaciones asintóticas. Esos supuestos se justificaron invocando el teorema central del límite, lo cual es razonable con ese tamaño, pero razonable no es lo mismo que comprobado.</w:t>
      </w:r>
    </w:p>
    <w:p w14:paraId="4AB12C38" w14:textId="77777777" w:rsidR="00E8466D" w:rsidRDefault="00C47C5D">
      <w:pPr>
        <w:spacing w:after="120" w:line="264" w:lineRule="auto"/>
        <w:jc w:val="both"/>
      </w:pPr>
      <w:r>
        <w:t xml:space="preserve">Este informe somete aquellos resultados a </w:t>
      </w:r>
      <w:r>
        <w:rPr>
          <w:b/>
          <w:bCs/>
        </w:rPr>
        <w:t>métodos que no dependen de tales supuestos</w:t>
      </w:r>
      <w:r>
        <w:t xml:space="preserve">. El bootstrap estima la distribución de un estadístico remuestreando los propios datos en lugar de postular una forma teórica; el test de permutación construye la distribución nula reasignando las etiquetas de grupo; la simulación Monte Carlo traduce los parámetros estimados a consecuencias para la decisión que motivó el estudio. Todos los procedimientos emplean </w:t>
      </w:r>
      <w:r>
        <w:rPr>
          <w:b/>
          <w:bCs/>
        </w:rPr>
        <w:t>B = 10.000</w:t>
      </w:r>
      <w:r>
        <w:t xml:space="preserve"> repeticiones y semilla fija, de modo que son reproducibles.</w:t>
      </w:r>
    </w:p>
    <w:p w14:paraId="09FA38D6" w14:textId="77777777" w:rsidR="00E8466D" w:rsidRDefault="00C47C5D">
      <w:pPr>
        <w:spacing w:after="120" w:line="264" w:lineRule="auto"/>
        <w:jc w:val="both"/>
      </w:pPr>
      <w:r>
        <w:t xml:space="preserve">La pregunta que organiza el trabajo no es si los resultados anteriores se repiten, sino </w:t>
      </w:r>
      <w:r>
        <w:rPr>
          <w:b/>
          <w:bCs/>
        </w:rPr>
        <w:t>cuáles de ellos resisten</w:t>
      </w:r>
      <w:r>
        <w:t xml:space="preserve"> y con qué grado de confianza puede apoyarse en ellos la fase siguiente.</w:t>
      </w:r>
    </w:p>
    <w:p w14:paraId="5F633113" w14:textId="77777777" w:rsidR="00E8466D" w:rsidRDefault="00C47C5D">
      <w:pPr>
        <w:pStyle w:val="Heading1"/>
        <w:spacing w:before="260" w:after="130"/>
      </w:pPr>
      <w:bookmarkStart w:id="1" w:name="_Toc242818256"/>
      <w:r>
        <w:rPr>
          <w:b/>
          <w:bCs/>
          <w:color w:val="1F3864"/>
          <w:sz w:val="26"/>
          <w:szCs w:val="26"/>
        </w:rPr>
        <w:t>2. Validación bootstrap de los intervalos de confianza</w:t>
      </w:r>
      <w:bookmarkEnd w:id="1"/>
    </w:p>
    <w:p w14:paraId="7B5E7CBE" w14:textId="77777777" w:rsidR="00E8466D" w:rsidRDefault="00C47C5D">
      <w:pPr>
        <w:spacing w:after="120" w:line="264" w:lineRule="auto"/>
        <w:jc w:val="both"/>
      </w:pPr>
      <w:r>
        <w:t xml:space="preserve">Se validan cuatro parámetros: las tres medias estimadas en la fase anterior y la proporción de programas que superan el umbral del 50 %, cuyo intervalo se había construido por el método de Wilson. Para cada uno se calculan dos intervalos bootstrap. El </w:t>
      </w:r>
      <w:r>
        <w:rPr>
          <w:b/>
          <w:bCs/>
        </w:rPr>
        <w:t>percentil</w:t>
      </w:r>
      <w:r>
        <w:t xml:space="preserve"> toma los cuantiles 2,5 y 97,5 de las 10.000 réplicas. El </w:t>
      </w:r>
      <w:r>
        <w:rPr>
          <w:b/>
          <w:bCs/>
        </w:rPr>
        <w:t>BCa</w:t>
      </w:r>
      <w:r>
        <w:t xml:space="preserve"> corrige además el sesgo del estimador y la asimetría de su distribución, estimada por jackknife; cuando ambas correcciones son nulas coincide con el percentil, y cuando difieren es el percentil el que está equivocado.</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25"/>
        <w:gridCol w:w="1215"/>
        <w:gridCol w:w="1686"/>
        <w:gridCol w:w="1710"/>
        <w:gridCol w:w="1686"/>
        <w:gridCol w:w="1246"/>
      </w:tblGrid>
      <w:tr w:rsidR="00E8466D" w14:paraId="4C16A240" w14:textId="77777777">
        <w:trPr>
          <w:tblHeader/>
        </w:trPr>
        <w:tc>
          <w:tcPr>
            <w:tcW w:w="2900" w:type="dxa"/>
            <w:shd w:val="clear" w:color="auto" w:fill="F2F5F7"/>
            <w:tcMar>
              <w:top w:w="60" w:type="dxa"/>
              <w:left w:w="90" w:type="dxa"/>
              <w:bottom w:w="60" w:type="dxa"/>
              <w:right w:w="90" w:type="dxa"/>
            </w:tcMar>
          </w:tcPr>
          <w:p w14:paraId="72E472DE" w14:textId="77777777" w:rsidR="00E8466D" w:rsidRDefault="00C47C5D">
            <w:r>
              <w:rPr>
                <w:b/>
                <w:bCs/>
                <w:sz w:val="17"/>
                <w:szCs w:val="17"/>
              </w:rPr>
              <w:t>Parámetro</w:t>
            </w:r>
          </w:p>
        </w:tc>
        <w:tc>
          <w:tcPr>
            <w:tcW w:w="1300" w:type="dxa"/>
            <w:shd w:val="clear" w:color="auto" w:fill="F2F5F7"/>
            <w:tcMar>
              <w:top w:w="60" w:type="dxa"/>
              <w:left w:w="90" w:type="dxa"/>
              <w:bottom w:w="60" w:type="dxa"/>
              <w:right w:w="90" w:type="dxa"/>
            </w:tcMar>
          </w:tcPr>
          <w:p w14:paraId="41179394" w14:textId="77777777" w:rsidR="00E8466D" w:rsidRDefault="00C47C5D">
            <w:pPr>
              <w:jc w:val="center"/>
            </w:pPr>
            <w:r>
              <w:rPr>
                <w:b/>
                <w:bCs/>
                <w:sz w:val="17"/>
                <w:szCs w:val="17"/>
              </w:rPr>
              <w:t>Estimación</w:t>
            </w:r>
          </w:p>
        </w:tc>
        <w:tc>
          <w:tcPr>
            <w:tcW w:w="2000" w:type="dxa"/>
            <w:shd w:val="clear" w:color="auto" w:fill="F2F5F7"/>
            <w:tcMar>
              <w:top w:w="60" w:type="dxa"/>
              <w:left w:w="90" w:type="dxa"/>
              <w:bottom w:w="60" w:type="dxa"/>
              <w:right w:w="90" w:type="dxa"/>
            </w:tcMar>
          </w:tcPr>
          <w:p w14:paraId="40856204" w14:textId="77777777" w:rsidR="00E8466D" w:rsidRDefault="00C47C5D">
            <w:pPr>
              <w:jc w:val="center"/>
            </w:pPr>
            <w:r>
              <w:rPr>
                <w:b/>
                <w:bCs/>
                <w:sz w:val="17"/>
                <w:szCs w:val="17"/>
              </w:rPr>
              <w:t>IC clásico (S1)</w:t>
            </w:r>
          </w:p>
        </w:tc>
        <w:tc>
          <w:tcPr>
            <w:tcW w:w="2000" w:type="dxa"/>
            <w:shd w:val="clear" w:color="auto" w:fill="F2F5F7"/>
            <w:tcMar>
              <w:top w:w="60" w:type="dxa"/>
              <w:left w:w="90" w:type="dxa"/>
              <w:bottom w:w="60" w:type="dxa"/>
              <w:right w:w="90" w:type="dxa"/>
            </w:tcMar>
          </w:tcPr>
          <w:p w14:paraId="580E17B5" w14:textId="77777777" w:rsidR="00E8466D" w:rsidRDefault="00C47C5D">
            <w:pPr>
              <w:jc w:val="center"/>
            </w:pPr>
            <w:r>
              <w:rPr>
                <w:b/>
                <w:bCs/>
                <w:sz w:val="17"/>
                <w:szCs w:val="17"/>
              </w:rPr>
              <w:t>IC percentil</w:t>
            </w:r>
          </w:p>
        </w:tc>
        <w:tc>
          <w:tcPr>
            <w:tcW w:w="2000" w:type="dxa"/>
            <w:shd w:val="clear" w:color="auto" w:fill="F2F5F7"/>
            <w:tcMar>
              <w:top w:w="60" w:type="dxa"/>
              <w:left w:w="90" w:type="dxa"/>
              <w:bottom w:w="60" w:type="dxa"/>
              <w:right w:w="90" w:type="dxa"/>
            </w:tcMar>
          </w:tcPr>
          <w:p w14:paraId="2FB055F1" w14:textId="77777777" w:rsidR="00E8466D" w:rsidRDefault="00C47C5D">
            <w:pPr>
              <w:jc w:val="center"/>
            </w:pPr>
            <w:r>
              <w:rPr>
                <w:b/>
                <w:bCs/>
                <w:sz w:val="17"/>
                <w:szCs w:val="17"/>
              </w:rPr>
              <w:t>IC BCa</w:t>
            </w:r>
          </w:p>
        </w:tc>
        <w:tc>
          <w:tcPr>
            <w:tcW w:w="1300" w:type="dxa"/>
            <w:shd w:val="clear" w:color="auto" w:fill="F2F5F7"/>
            <w:tcMar>
              <w:top w:w="60" w:type="dxa"/>
              <w:left w:w="90" w:type="dxa"/>
              <w:bottom w:w="60" w:type="dxa"/>
              <w:right w:w="90" w:type="dxa"/>
            </w:tcMar>
          </w:tcPr>
          <w:p w14:paraId="1ADDDA91" w14:textId="77777777" w:rsidR="00E8466D" w:rsidRDefault="00C47C5D">
            <w:pPr>
              <w:jc w:val="center"/>
            </w:pPr>
            <w:r>
              <w:rPr>
                <w:b/>
                <w:bCs/>
                <w:sz w:val="17"/>
                <w:szCs w:val="17"/>
              </w:rPr>
              <w:t>Discrepancia</w:t>
            </w:r>
          </w:p>
        </w:tc>
      </w:tr>
      <w:tr w:rsidR="00E8466D" w14:paraId="1B6E4374" w14:textId="77777777">
        <w:tc>
          <w:tcPr>
            <w:tcW w:w="2900" w:type="dxa"/>
            <w:tcMar>
              <w:top w:w="60" w:type="dxa"/>
              <w:left w:w="90" w:type="dxa"/>
              <w:bottom w:w="60" w:type="dxa"/>
              <w:right w:w="90" w:type="dxa"/>
            </w:tcMar>
          </w:tcPr>
          <w:p w14:paraId="1B5B4639" w14:textId="77777777" w:rsidR="00E8466D" w:rsidRDefault="00C47C5D">
            <w:r>
              <w:rPr>
                <w:sz w:val="17"/>
                <w:szCs w:val="17"/>
              </w:rPr>
              <w:t>Abandono medio</w:t>
            </w:r>
          </w:p>
        </w:tc>
        <w:tc>
          <w:tcPr>
            <w:tcW w:w="1300" w:type="dxa"/>
            <w:tcMar>
              <w:top w:w="60" w:type="dxa"/>
              <w:left w:w="90" w:type="dxa"/>
              <w:bottom w:w="60" w:type="dxa"/>
              <w:right w:w="90" w:type="dxa"/>
            </w:tcMar>
          </w:tcPr>
          <w:p w14:paraId="17A1AB70" w14:textId="77777777" w:rsidR="00E8466D" w:rsidRDefault="00C47C5D">
            <w:pPr>
              <w:jc w:val="center"/>
            </w:pPr>
            <w:r>
              <w:rPr>
                <w:sz w:val="17"/>
                <w:szCs w:val="17"/>
              </w:rPr>
              <w:t>0,5183</w:t>
            </w:r>
          </w:p>
        </w:tc>
        <w:tc>
          <w:tcPr>
            <w:tcW w:w="2000" w:type="dxa"/>
            <w:tcMar>
              <w:top w:w="60" w:type="dxa"/>
              <w:left w:w="90" w:type="dxa"/>
              <w:bottom w:w="60" w:type="dxa"/>
              <w:right w:w="90" w:type="dxa"/>
            </w:tcMar>
          </w:tcPr>
          <w:p w14:paraId="303A9A0A" w14:textId="77777777" w:rsidR="00E8466D" w:rsidRDefault="00C47C5D">
            <w:pPr>
              <w:jc w:val="center"/>
            </w:pPr>
            <w:r>
              <w:rPr>
                <w:sz w:val="17"/>
                <w:szCs w:val="17"/>
              </w:rPr>
              <w:t>[0,5138 ; 0,5227]</w:t>
            </w:r>
          </w:p>
        </w:tc>
        <w:tc>
          <w:tcPr>
            <w:tcW w:w="2000" w:type="dxa"/>
            <w:tcMar>
              <w:top w:w="60" w:type="dxa"/>
              <w:left w:w="90" w:type="dxa"/>
              <w:bottom w:w="60" w:type="dxa"/>
              <w:right w:w="90" w:type="dxa"/>
            </w:tcMar>
          </w:tcPr>
          <w:p w14:paraId="53344DDE" w14:textId="77777777" w:rsidR="00E8466D" w:rsidRDefault="00C47C5D">
            <w:pPr>
              <w:jc w:val="center"/>
            </w:pPr>
            <w:r>
              <w:rPr>
                <w:sz w:val="17"/>
                <w:szCs w:val="17"/>
              </w:rPr>
              <w:t>[0,5139 ; 0,5228]</w:t>
            </w:r>
          </w:p>
        </w:tc>
        <w:tc>
          <w:tcPr>
            <w:tcW w:w="2000" w:type="dxa"/>
            <w:tcMar>
              <w:top w:w="60" w:type="dxa"/>
              <w:left w:w="90" w:type="dxa"/>
              <w:bottom w:w="60" w:type="dxa"/>
              <w:right w:w="90" w:type="dxa"/>
            </w:tcMar>
          </w:tcPr>
          <w:p w14:paraId="189C2E7E" w14:textId="77777777" w:rsidR="00E8466D" w:rsidRDefault="00C47C5D">
            <w:pPr>
              <w:jc w:val="center"/>
            </w:pPr>
            <w:r>
              <w:rPr>
                <w:sz w:val="17"/>
                <w:szCs w:val="17"/>
              </w:rPr>
              <w:t>[0,5138 ; 0,5227]</w:t>
            </w:r>
          </w:p>
        </w:tc>
        <w:tc>
          <w:tcPr>
            <w:tcW w:w="1300" w:type="dxa"/>
            <w:tcMar>
              <w:top w:w="60" w:type="dxa"/>
              <w:left w:w="90" w:type="dxa"/>
              <w:bottom w:w="60" w:type="dxa"/>
              <w:right w:w="90" w:type="dxa"/>
            </w:tcMar>
          </w:tcPr>
          <w:p w14:paraId="3AB06061" w14:textId="77777777" w:rsidR="00E8466D" w:rsidRDefault="00C47C5D">
            <w:pPr>
              <w:jc w:val="center"/>
            </w:pPr>
            <w:r>
              <w:rPr>
                <w:sz w:val="17"/>
                <w:szCs w:val="17"/>
              </w:rPr>
              <w:t>+0,41 %</w:t>
            </w:r>
          </w:p>
        </w:tc>
      </w:tr>
      <w:tr w:rsidR="00E8466D" w14:paraId="633EE966" w14:textId="77777777">
        <w:tc>
          <w:tcPr>
            <w:tcW w:w="2900" w:type="dxa"/>
            <w:tcMar>
              <w:top w:w="60" w:type="dxa"/>
              <w:left w:w="90" w:type="dxa"/>
              <w:bottom w:w="60" w:type="dxa"/>
              <w:right w:w="90" w:type="dxa"/>
            </w:tcMar>
          </w:tcPr>
          <w:p w14:paraId="701E874A" w14:textId="77777777" w:rsidR="00E8466D" w:rsidRDefault="00C47C5D">
            <w:r>
              <w:rPr>
                <w:sz w:val="17"/>
                <w:szCs w:val="17"/>
              </w:rPr>
              <w:t>Edad media de la matrícula</w:t>
            </w:r>
          </w:p>
        </w:tc>
        <w:tc>
          <w:tcPr>
            <w:tcW w:w="1300" w:type="dxa"/>
            <w:tcMar>
              <w:top w:w="60" w:type="dxa"/>
              <w:left w:w="90" w:type="dxa"/>
              <w:bottom w:w="60" w:type="dxa"/>
              <w:right w:w="90" w:type="dxa"/>
            </w:tcMar>
          </w:tcPr>
          <w:p w14:paraId="5E390D07" w14:textId="77777777" w:rsidR="00E8466D" w:rsidRDefault="00C47C5D">
            <w:pPr>
              <w:jc w:val="center"/>
            </w:pPr>
            <w:r>
              <w:rPr>
                <w:sz w:val="17"/>
                <w:szCs w:val="17"/>
              </w:rPr>
              <w:t>24,160</w:t>
            </w:r>
          </w:p>
        </w:tc>
        <w:tc>
          <w:tcPr>
            <w:tcW w:w="2000" w:type="dxa"/>
            <w:tcMar>
              <w:top w:w="60" w:type="dxa"/>
              <w:left w:w="90" w:type="dxa"/>
              <w:bottom w:w="60" w:type="dxa"/>
              <w:right w:w="90" w:type="dxa"/>
            </w:tcMar>
          </w:tcPr>
          <w:p w14:paraId="4DB5BC27" w14:textId="77777777" w:rsidR="00E8466D" w:rsidRDefault="00C47C5D">
            <w:pPr>
              <w:jc w:val="center"/>
            </w:pPr>
            <w:r>
              <w:rPr>
                <w:sz w:val="17"/>
                <w:szCs w:val="17"/>
              </w:rPr>
              <w:t>[24,091 ; 24,230]</w:t>
            </w:r>
          </w:p>
        </w:tc>
        <w:tc>
          <w:tcPr>
            <w:tcW w:w="2000" w:type="dxa"/>
            <w:tcMar>
              <w:top w:w="60" w:type="dxa"/>
              <w:left w:w="90" w:type="dxa"/>
              <w:bottom w:w="60" w:type="dxa"/>
              <w:right w:w="90" w:type="dxa"/>
            </w:tcMar>
          </w:tcPr>
          <w:p w14:paraId="5000129D" w14:textId="77777777" w:rsidR="00E8466D" w:rsidRDefault="00C47C5D">
            <w:pPr>
              <w:jc w:val="center"/>
            </w:pPr>
            <w:r>
              <w:rPr>
                <w:sz w:val="17"/>
                <w:szCs w:val="17"/>
              </w:rPr>
              <w:t>[24,091 ; 24,230]</w:t>
            </w:r>
          </w:p>
        </w:tc>
        <w:tc>
          <w:tcPr>
            <w:tcW w:w="2000" w:type="dxa"/>
            <w:tcMar>
              <w:top w:w="60" w:type="dxa"/>
              <w:left w:w="90" w:type="dxa"/>
              <w:bottom w:w="60" w:type="dxa"/>
              <w:right w:w="90" w:type="dxa"/>
            </w:tcMar>
          </w:tcPr>
          <w:p w14:paraId="2DD6E0D6" w14:textId="77777777" w:rsidR="00E8466D" w:rsidRDefault="00C47C5D">
            <w:pPr>
              <w:jc w:val="center"/>
            </w:pPr>
            <w:r>
              <w:rPr>
                <w:sz w:val="17"/>
                <w:szCs w:val="17"/>
              </w:rPr>
              <w:t>[24,092 ; 24,230]</w:t>
            </w:r>
          </w:p>
        </w:tc>
        <w:tc>
          <w:tcPr>
            <w:tcW w:w="1300" w:type="dxa"/>
            <w:tcMar>
              <w:top w:w="60" w:type="dxa"/>
              <w:left w:w="90" w:type="dxa"/>
              <w:bottom w:w="60" w:type="dxa"/>
              <w:right w:w="90" w:type="dxa"/>
            </w:tcMar>
          </w:tcPr>
          <w:p w14:paraId="277C3661" w14:textId="77777777" w:rsidR="00E8466D" w:rsidRDefault="00C47C5D">
            <w:pPr>
              <w:jc w:val="center"/>
            </w:pPr>
            <w:r>
              <w:rPr>
                <w:sz w:val="17"/>
                <w:szCs w:val="17"/>
              </w:rPr>
              <w:t>−0,75 %</w:t>
            </w:r>
          </w:p>
        </w:tc>
      </w:tr>
      <w:tr w:rsidR="00E8466D" w14:paraId="0CB7D3B8" w14:textId="77777777">
        <w:tc>
          <w:tcPr>
            <w:tcW w:w="2900" w:type="dxa"/>
            <w:tcMar>
              <w:top w:w="60" w:type="dxa"/>
              <w:left w:w="90" w:type="dxa"/>
              <w:bottom w:w="60" w:type="dxa"/>
              <w:right w:w="90" w:type="dxa"/>
            </w:tcMar>
          </w:tcPr>
          <w:p w14:paraId="7F8CD6CD" w14:textId="77777777" w:rsidR="00E8466D" w:rsidRDefault="00C47C5D">
            <w:r>
              <w:rPr>
                <w:sz w:val="17"/>
                <w:szCs w:val="17"/>
              </w:rPr>
              <w:t>Proporción de mujeres</w:t>
            </w:r>
          </w:p>
        </w:tc>
        <w:tc>
          <w:tcPr>
            <w:tcW w:w="1300" w:type="dxa"/>
            <w:tcMar>
              <w:top w:w="60" w:type="dxa"/>
              <w:left w:w="90" w:type="dxa"/>
              <w:bottom w:w="60" w:type="dxa"/>
              <w:right w:w="90" w:type="dxa"/>
            </w:tcMar>
          </w:tcPr>
          <w:p w14:paraId="59197420" w14:textId="77777777" w:rsidR="00E8466D" w:rsidRDefault="00C47C5D">
            <w:pPr>
              <w:jc w:val="center"/>
            </w:pPr>
            <w:r>
              <w:rPr>
                <w:sz w:val="17"/>
                <w:szCs w:val="17"/>
              </w:rPr>
              <w:t>0,5156</w:t>
            </w:r>
          </w:p>
        </w:tc>
        <w:tc>
          <w:tcPr>
            <w:tcW w:w="2000" w:type="dxa"/>
            <w:tcMar>
              <w:top w:w="60" w:type="dxa"/>
              <w:left w:w="90" w:type="dxa"/>
              <w:bottom w:w="60" w:type="dxa"/>
              <w:right w:w="90" w:type="dxa"/>
            </w:tcMar>
          </w:tcPr>
          <w:p w14:paraId="4088E0FE" w14:textId="77777777" w:rsidR="00E8466D" w:rsidRDefault="00C47C5D">
            <w:pPr>
              <w:jc w:val="center"/>
            </w:pPr>
            <w:r>
              <w:rPr>
                <w:sz w:val="17"/>
                <w:szCs w:val="17"/>
              </w:rPr>
              <w:t>[0,5097 ; 0,5215]</w:t>
            </w:r>
          </w:p>
        </w:tc>
        <w:tc>
          <w:tcPr>
            <w:tcW w:w="2000" w:type="dxa"/>
            <w:tcMar>
              <w:top w:w="60" w:type="dxa"/>
              <w:left w:w="90" w:type="dxa"/>
              <w:bottom w:w="60" w:type="dxa"/>
              <w:right w:w="90" w:type="dxa"/>
            </w:tcMar>
          </w:tcPr>
          <w:p w14:paraId="5E2C434B" w14:textId="77777777" w:rsidR="00E8466D" w:rsidRDefault="00C47C5D">
            <w:pPr>
              <w:jc w:val="center"/>
            </w:pPr>
            <w:r>
              <w:rPr>
                <w:sz w:val="17"/>
                <w:szCs w:val="17"/>
              </w:rPr>
              <w:t>[0,5097 ; 0,5215]</w:t>
            </w:r>
          </w:p>
        </w:tc>
        <w:tc>
          <w:tcPr>
            <w:tcW w:w="2000" w:type="dxa"/>
            <w:tcMar>
              <w:top w:w="60" w:type="dxa"/>
              <w:left w:w="90" w:type="dxa"/>
              <w:bottom w:w="60" w:type="dxa"/>
              <w:right w:w="90" w:type="dxa"/>
            </w:tcMar>
          </w:tcPr>
          <w:p w14:paraId="631E77F9" w14:textId="77777777" w:rsidR="00E8466D" w:rsidRDefault="00C47C5D">
            <w:pPr>
              <w:jc w:val="center"/>
            </w:pPr>
            <w:r>
              <w:rPr>
                <w:sz w:val="17"/>
                <w:szCs w:val="17"/>
              </w:rPr>
              <w:t>[0,5097 ; 0,5215]</w:t>
            </w:r>
          </w:p>
        </w:tc>
        <w:tc>
          <w:tcPr>
            <w:tcW w:w="1300" w:type="dxa"/>
            <w:tcMar>
              <w:top w:w="60" w:type="dxa"/>
              <w:left w:w="90" w:type="dxa"/>
              <w:bottom w:w="60" w:type="dxa"/>
              <w:right w:w="90" w:type="dxa"/>
            </w:tcMar>
          </w:tcPr>
          <w:p w14:paraId="22ED8298" w14:textId="77777777" w:rsidR="00E8466D" w:rsidRDefault="00C47C5D">
            <w:pPr>
              <w:jc w:val="center"/>
            </w:pPr>
            <w:r>
              <w:rPr>
                <w:sz w:val="17"/>
                <w:szCs w:val="17"/>
              </w:rPr>
              <w:t>−0,59 %</w:t>
            </w:r>
          </w:p>
        </w:tc>
      </w:tr>
      <w:tr w:rsidR="00E8466D" w14:paraId="48A2C26C" w14:textId="77777777">
        <w:tc>
          <w:tcPr>
            <w:tcW w:w="2900" w:type="dxa"/>
            <w:tcMar>
              <w:top w:w="60" w:type="dxa"/>
              <w:left w:w="90" w:type="dxa"/>
              <w:bottom w:w="60" w:type="dxa"/>
              <w:right w:w="90" w:type="dxa"/>
            </w:tcMar>
          </w:tcPr>
          <w:p w14:paraId="0341ECCD" w14:textId="77777777" w:rsidR="00E8466D" w:rsidRDefault="00C47C5D">
            <w:r>
              <w:rPr>
                <w:sz w:val="17"/>
                <w:szCs w:val="17"/>
              </w:rPr>
              <w:t>Programas con abandono &gt; 50 %</w:t>
            </w:r>
          </w:p>
        </w:tc>
        <w:tc>
          <w:tcPr>
            <w:tcW w:w="1300" w:type="dxa"/>
            <w:tcMar>
              <w:top w:w="60" w:type="dxa"/>
              <w:left w:w="90" w:type="dxa"/>
              <w:bottom w:w="60" w:type="dxa"/>
              <w:right w:w="90" w:type="dxa"/>
            </w:tcMar>
          </w:tcPr>
          <w:p w14:paraId="1326155F" w14:textId="77777777" w:rsidR="00E8466D" w:rsidRDefault="00C47C5D">
            <w:pPr>
              <w:jc w:val="center"/>
            </w:pPr>
            <w:r>
              <w:rPr>
                <w:sz w:val="17"/>
                <w:szCs w:val="17"/>
              </w:rPr>
              <w:t>0,5494</w:t>
            </w:r>
          </w:p>
        </w:tc>
        <w:tc>
          <w:tcPr>
            <w:tcW w:w="2000" w:type="dxa"/>
            <w:tcMar>
              <w:top w:w="60" w:type="dxa"/>
              <w:left w:w="90" w:type="dxa"/>
              <w:bottom w:w="60" w:type="dxa"/>
              <w:right w:w="90" w:type="dxa"/>
            </w:tcMar>
          </w:tcPr>
          <w:p w14:paraId="370E8706" w14:textId="77777777" w:rsidR="00E8466D" w:rsidRDefault="00C47C5D">
            <w:pPr>
              <w:jc w:val="center"/>
            </w:pPr>
            <w:r>
              <w:rPr>
                <w:sz w:val="17"/>
                <w:szCs w:val="17"/>
              </w:rPr>
              <w:t>[0,5395 ; 0,5593]</w:t>
            </w:r>
          </w:p>
        </w:tc>
        <w:tc>
          <w:tcPr>
            <w:tcW w:w="2000" w:type="dxa"/>
            <w:tcMar>
              <w:top w:w="60" w:type="dxa"/>
              <w:left w:w="90" w:type="dxa"/>
              <w:bottom w:w="60" w:type="dxa"/>
              <w:right w:w="90" w:type="dxa"/>
            </w:tcMar>
          </w:tcPr>
          <w:p w14:paraId="435ED3C9" w14:textId="77777777" w:rsidR="00E8466D" w:rsidRDefault="00C47C5D">
            <w:pPr>
              <w:jc w:val="center"/>
            </w:pPr>
            <w:r>
              <w:rPr>
                <w:sz w:val="17"/>
                <w:szCs w:val="17"/>
              </w:rPr>
              <w:t>[0,5396 ; 0,5591]</w:t>
            </w:r>
          </w:p>
        </w:tc>
        <w:tc>
          <w:tcPr>
            <w:tcW w:w="2000" w:type="dxa"/>
            <w:tcMar>
              <w:top w:w="60" w:type="dxa"/>
              <w:left w:w="90" w:type="dxa"/>
              <w:bottom w:w="60" w:type="dxa"/>
              <w:right w:w="90" w:type="dxa"/>
            </w:tcMar>
          </w:tcPr>
          <w:p w14:paraId="27EFA15C" w14:textId="77777777" w:rsidR="00E8466D" w:rsidRDefault="00C47C5D">
            <w:pPr>
              <w:jc w:val="center"/>
            </w:pPr>
            <w:r>
              <w:rPr>
                <w:sz w:val="17"/>
                <w:szCs w:val="17"/>
              </w:rPr>
              <w:t>[0,5396 ; 0,5591]</w:t>
            </w:r>
          </w:p>
        </w:tc>
        <w:tc>
          <w:tcPr>
            <w:tcW w:w="1300" w:type="dxa"/>
            <w:tcMar>
              <w:top w:w="60" w:type="dxa"/>
              <w:left w:w="90" w:type="dxa"/>
              <w:bottom w:w="60" w:type="dxa"/>
              <w:right w:w="90" w:type="dxa"/>
            </w:tcMar>
          </w:tcPr>
          <w:p w14:paraId="2F0E0A02" w14:textId="77777777" w:rsidR="00E8466D" w:rsidRDefault="00C47C5D">
            <w:pPr>
              <w:jc w:val="center"/>
            </w:pPr>
            <w:r>
              <w:rPr>
                <w:sz w:val="17"/>
                <w:szCs w:val="17"/>
              </w:rPr>
              <w:t>−0,86 %</w:t>
            </w:r>
          </w:p>
        </w:tc>
      </w:tr>
    </w:tbl>
    <w:p w14:paraId="27097EF4" w14:textId="77777777" w:rsidR="00E8466D" w:rsidRDefault="00E8466D">
      <w:pPr>
        <w:spacing w:after="110"/>
      </w:pPr>
    </w:p>
    <w:p w14:paraId="325828B0" w14:textId="77777777" w:rsidR="00E8466D" w:rsidRDefault="00C47C5D">
      <w:pPr>
        <w:spacing w:after="120" w:line="264" w:lineRule="auto"/>
        <w:jc w:val="both"/>
      </w:pPr>
      <w:r>
        <w:rPr>
          <w:b/>
          <w:bCs/>
        </w:rPr>
        <w:t>Los cuatro intervalos bootstrap reproducen los clásicos hasta la tercera o cuarta cifra decimal.</w:t>
      </w:r>
      <w:r>
        <w:t xml:space="preserve"> La discrepancia de amplitud no supera el 0,9 % en ningún caso. Ese acuerdo significa que el supuesto que la Sumativa 1 invocó sin comprobar se sostiene: con 9.678 observaciones la distribución bootstrap de cada media resulta simétrica y campaniforme pese a que la variable de origen no lo sea.</w:t>
      </w:r>
    </w:p>
    <w:p w14:paraId="7B1DBDCD" w14:textId="77777777" w:rsidR="00E8466D" w:rsidRDefault="00C47C5D">
      <w:pPr>
        <w:spacing w:after="120" w:line="264" w:lineRule="auto"/>
        <w:jc w:val="both"/>
      </w:pPr>
      <w:r>
        <w:t xml:space="preserve">La coincidencia entre </w:t>
      </w:r>
      <w:r>
        <w:rPr>
          <w:b/>
          <w:bCs/>
        </w:rPr>
        <w:t>percentil y BCa</w:t>
      </w:r>
      <w:r>
        <w:t xml:space="preserve"> añade una segunda conclusión: las correcciones de sesgo y aceleración son prácticamente nulas, de modo que los estimadores son insesgados en la práctica y su distribución no está torcida. No hace falta elegir entre ambos métodos porque dicen lo mismo.</w:t>
      </w:r>
    </w:p>
    <w:p w14:paraId="3F0767D2" w14:textId="77777777" w:rsidR="00E8466D" w:rsidRDefault="00C47C5D">
      <w:pPr>
        <w:spacing w:before="140" w:after="50"/>
        <w:jc w:val="center"/>
      </w:pPr>
      <w:r>
        <w:rPr>
          <w:noProof/>
        </w:rPr>
        <w:lastRenderedPageBreak/>
        <w:drawing>
          <wp:inline distT="0" distB="0" distL="0" distR="0" wp14:anchorId="3488734B" wp14:editId="71BBC43B">
            <wp:extent cx="4752594" cy="3014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2594" cy="3014466"/>
                    </a:xfrm>
                    <a:prstGeom prst="rect">
                      <a:avLst/>
                    </a:prstGeom>
                  </pic:spPr>
                </pic:pic>
              </a:graphicData>
            </a:graphic>
          </wp:inline>
        </w:drawing>
      </w:r>
    </w:p>
    <w:p w14:paraId="1A26B0FE" w14:textId="77777777" w:rsidR="00E8466D" w:rsidRDefault="00C47C5D">
      <w:pPr>
        <w:spacing w:after="160"/>
        <w:jc w:val="center"/>
      </w:pPr>
      <w:r>
        <w:rPr>
          <w:i/>
          <w:iCs/>
          <w:color w:val="555555"/>
          <w:sz w:val="16"/>
          <w:szCs w:val="16"/>
        </w:rPr>
        <w:t>Figura 1. Distribuciones bootstrap de los cuatro parámetros. Negro: estimación puntual. Rojo discontinuo: IC BCa. Azul punteado: IC clásico de la Sumativa 1.</w:t>
      </w:r>
    </w:p>
    <w:p w14:paraId="5960C19C" w14:textId="77777777" w:rsidR="00E8466D" w:rsidRDefault="00C47C5D">
      <w:pPr>
        <w:spacing w:before="60" w:after="140"/>
        <w:jc w:val="both"/>
      </w:pPr>
      <w:r>
        <w:rPr>
          <w:i/>
          <w:iCs/>
          <w:color w:val="444444"/>
          <w:sz w:val="17"/>
          <w:szCs w:val="17"/>
        </w:rPr>
        <w:t>El bootstrap valida la precisión con que se estima el promedio, no la representatividad del dato ni la construcción de la variable. Si el abandono aparente sobreestima el abandono real —y la Sumativa 1 argumentó que lo hace—, el bootstrap reproducirá fielmente ese sesgo, porque remuestrea los mismos datos que lo contienen.</w:t>
      </w:r>
    </w:p>
    <w:p w14:paraId="6FF0667E" w14:textId="77777777" w:rsidR="00E8466D" w:rsidRDefault="00C47C5D">
      <w:pPr>
        <w:pStyle w:val="Heading1"/>
        <w:spacing w:before="260" w:after="130"/>
      </w:pPr>
      <w:bookmarkStart w:id="2" w:name="_Toc242818257"/>
      <w:r>
        <w:rPr>
          <w:b/>
          <w:bCs/>
          <w:color w:val="1F3864"/>
          <w:sz w:val="26"/>
          <w:szCs w:val="26"/>
        </w:rPr>
        <w:t>3. Validación de una prueba de hipótesis por permutación</w:t>
      </w:r>
      <w:bookmarkEnd w:id="2"/>
    </w:p>
    <w:p w14:paraId="7498F465" w14:textId="77777777" w:rsidR="00E8466D" w:rsidRDefault="00C47C5D">
      <w:pPr>
        <w:spacing w:after="120" w:line="264" w:lineRule="auto"/>
        <w:jc w:val="both"/>
      </w:pPr>
      <w:r>
        <w:t xml:space="preserve">De los cinco contrastes de la fase anterior se valida la </w:t>
      </w:r>
      <w:r>
        <w:rPr>
          <w:b/>
          <w:bCs/>
        </w:rPr>
        <w:t>t de Welch sobre la acreditación institucional</w:t>
      </w:r>
      <w:r>
        <w:t>, que comparó el abandono de los programas de instituciones nunca acreditadas (n = 757) con el de las siempre acreditadas (n = 7.672). Es el que más pesa en las conclusiones: fue el único con tamaño del efecto grande (d = 0,80) y el que sostiene la recomendación de focalización.</w:t>
      </w:r>
    </w:p>
    <w:p w14:paraId="2AE4B403" w14:textId="77777777" w:rsidR="00E8466D" w:rsidRDefault="00C47C5D">
      <w:pPr>
        <w:spacing w:after="120" w:line="264" w:lineRule="auto"/>
        <w:jc w:val="both"/>
      </w:pPr>
      <w:r>
        <w:t>El test de permutación no supone normalidad ni aproxima grados de libertad. Si la acreditación fuese irrelevante, las etiquetas de grupo serían intercambiables; basta reasignarlas al azar 10.000 veces para construir la distribución del estadístico bajo esa hipótesis.</w:t>
      </w:r>
    </w:p>
    <w:p w14:paraId="22DAB188" w14:textId="77777777" w:rsidR="00E8466D" w:rsidRDefault="00C47C5D">
      <w:pPr>
        <w:spacing w:before="140" w:after="50"/>
        <w:jc w:val="center"/>
      </w:pPr>
      <w:r>
        <w:rPr>
          <w:noProof/>
        </w:rPr>
        <w:drawing>
          <wp:inline distT="0" distB="0" distL="0" distR="0" wp14:anchorId="4B641048" wp14:editId="58D175F1">
            <wp:extent cx="4176522" cy="24766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76522" cy="2476651"/>
                    </a:xfrm>
                    <a:prstGeom prst="rect">
                      <a:avLst/>
                    </a:prstGeom>
                  </pic:spPr>
                </pic:pic>
              </a:graphicData>
            </a:graphic>
          </wp:inline>
        </w:drawing>
      </w:r>
    </w:p>
    <w:p w14:paraId="3AD96B19" w14:textId="77777777" w:rsidR="00E8466D" w:rsidRDefault="00C47C5D">
      <w:pPr>
        <w:spacing w:after="160"/>
        <w:jc w:val="center"/>
      </w:pPr>
      <w:r>
        <w:rPr>
          <w:i/>
          <w:iCs/>
          <w:color w:val="555555"/>
          <w:sz w:val="16"/>
          <w:szCs w:val="16"/>
        </w:rPr>
        <w:t>Figura 2. Distribución nula de la diferencia de medias bajo permutación aleatoria de las etiquetas, frente al valor observado.</w:t>
      </w:r>
    </w:p>
    <w:p w14:paraId="41EE7CDE" w14:textId="77777777" w:rsidR="00E8466D" w:rsidRDefault="00C47C5D">
      <w:pPr>
        <w:spacing w:after="120" w:line="264" w:lineRule="auto"/>
        <w:jc w:val="both"/>
      </w:pPr>
      <w:r>
        <w:rPr>
          <w:b/>
          <w:bCs/>
        </w:rPr>
        <w:lastRenderedPageBreak/>
        <w:t>Ninguna de las 10.000 permutaciones se acercó al valor observado.</w:t>
      </w:r>
      <w:r>
        <w:t xml:space="preserve"> El mayor valor alcanzado por azar fue 0,0386, frente a una diferencia observada de 0,1757: más de veinte desviaciones típicas de la distribución nula, que vale 0,0085. El valor p de permutación es 0,0002, el mínimo que el procedimiento puede devolver en un contraste bilateral con ese número de repeticiones.</w:t>
      </w:r>
    </w:p>
    <w:p w14:paraId="753921DE" w14:textId="77777777" w:rsidR="00E8466D" w:rsidRDefault="00C47C5D">
      <w:pPr>
        <w:spacing w:after="120" w:line="264" w:lineRule="auto"/>
        <w:jc w:val="both"/>
      </w:pPr>
      <w:r>
        <w:t xml:space="preserve">La comparación con el valor p paramétrico de la Sumativa 1, de 1,2 × 10⁻⁷⁷, ilustra una diferencia conceptual que conviene no pasar por alto. </w:t>
      </w:r>
      <w:r>
        <w:rPr>
          <w:b/>
          <w:bCs/>
        </w:rPr>
        <w:t>Ambos coinciden en la decisión y no son comparables en magnitud.</w:t>
      </w:r>
      <w:r>
        <w:t xml:space="preserve"> El paramétrico extrapola a la cola de una distribución teórica y puede producir cifras arbitrariamente pequeñas; el de permutación solo afirma lo que observó. El primero aparenta una precisión que no tiene, porque un valor de 10⁻⁷⁷ descansa íntegramente en la forma supuesta de una región donde ningún dato lo respalda.</w:t>
      </w:r>
    </w:p>
    <w:p w14:paraId="2BD53DF5" w14:textId="77777777" w:rsidR="00E8466D" w:rsidRDefault="00C47C5D">
      <w:pPr>
        <w:spacing w:after="120" w:line="264" w:lineRule="auto"/>
        <w:jc w:val="both"/>
      </w:pPr>
      <w:r>
        <w:rPr>
          <w:b/>
          <w:bCs/>
        </w:rPr>
        <w:t>Para este caso resulta más apropiado el de permutación</w:t>
      </w:r>
      <w:r>
        <w:t>, por dos razones: no exige supuestos distribucionales y los grupos son muy desiguales en tamaño, situación en que las aproximaciones asintóticas se comportan peor. Su conclusión es más modesta y más defendible.</w:t>
      </w:r>
    </w:p>
    <w:p w14:paraId="2EB6A0AB" w14:textId="77777777" w:rsidR="00E8466D" w:rsidRDefault="00C47C5D">
      <w:pPr>
        <w:pStyle w:val="Heading1"/>
        <w:spacing w:before="260" w:after="130"/>
      </w:pPr>
      <w:bookmarkStart w:id="3" w:name="_Toc242818258"/>
      <w:r>
        <w:rPr>
          <w:b/>
          <w:bCs/>
          <w:color w:val="1F3864"/>
          <w:sz w:val="26"/>
          <w:szCs w:val="26"/>
        </w:rPr>
        <w:t>4. Estabilidad de las correlaciones</w:t>
      </w:r>
      <w:bookmarkEnd w:id="3"/>
    </w:p>
    <w:p w14:paraId="2F3E9098" w14:textId="77777777" w:rsidR="00E8466D" w:rsidRDefault="00C47C5D">
      <w:pPr>
        <w:spacing w:after="120" w:line="264" w:lineRule="auto"/>
        <w:jc w:val="both"/>
      </w:pPr>
      <w:r>
        <w:t xml:space="preserve">La Sumativa 1 reportó nueve correlaciones con el abandono, todas significativas al 5 % por efecto del tamaño muestral. La significación, sin embargo, no informa sobre la estabilidad. Se seleccionan cinco que cubren todo el rango observado y se construye para cada una un intervalo bootstrap al 95 %, remuestreando </w:t>
      </w:r>
      <w:r>
        <w:rPr>
          <w:b/>
          <w:bCs/>
        </w:rPr>
        <w:t>pares completos de observaciones</w:t>
      </w:r>
      <w:r>
        <w:t xml:space="preserve"> para preservar la dependencia entre las dos variables.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925"/>
        <w:gridCol w:w="970"/>
        <w:gridCol w:w="2270"/>
        <w:gridCol w:w="1443"/>
        <w:gridCol w:w="2360"/>
      </w:tblGrid>
      <w:tr w:rsidR="00E8466D" w14:paraId="7FFD67CB" w14:textId="77777777">
        <w:trPr>
          <w:tblHeader/>
        </w:trPr>
        <w:tc>
          <w:tcPr>
            <w:tcW w:w="3100" w:type="dxa"/>
            <w:shd w:val="clear" w:color="auto" w:fill="F2F5F7"/>
            <w:tcMar>
              <w:top w:w="60" w:type="dxa"/>
              <w:left w:w="90" w:type="dxa"/>
              <w:bottom w:w="60" w:type="dxa"/>
              <w:right w:w="90" w:type="dxa"/>
            </w:tcMar>
          </w:tcPr>
          <w:p w14:paraId="0E3DF435" w14:textId="77777777" w:rsidR="00E8466D" w:rsidRDefault="00C47C5D">
            <w:r>
              <w:rPr>
                <w:b/>
                <w:bCs/>
                <w:sz w:val="17"/>
                <w:szCs w:val="17"/>
              </w:rPr>
              <w:t>Variable</w:t>
            </w:r>
          </w:p>
        </w:tc>
        <w:tc>
          <w:tcPr>
            <w:tcW w:w="1000" w:type="dxa"/>
            <w:shd w:val="clear" w:color="auto" w:fill="F2F5F7"/>
            <w:tcMar>
              <w:top w:w="60" w:type="dxa"/>
              <w:left w:w="90" w:type="dxa"/>
              <w:bottom w:w="60" w:type="dxa"/>
              <w:right w:w="90" w:type="dxa"/>
            </w:tcMar>
          </w:tcPr>
          <w:p w14:paraId="79CE58B0" w14:textId="77777777" w:rsidR="00E8466D" w:rsidRDefault="00C47C5D">
            <w:pPr>
              <w:jc w:val="center"/>
            </w:pPr>
            <w:r>
              <w:rPr>
                <w:b/>
                <w:bCs/>
                <w:sz w:val="17"/>
                <w:szCs w:val="17"/>
              </w:rPr>
              <w:t>r</w:t>
            </w:r>
          </w:p>
        </w:tc>
        <w:tc>
          <w:tcPr>
            <w:tcW w:w="2400" w:type="dxa"/>
            <w:shd w:val="clear" w:color="auto" w:fill="F2F5F7"/>
            <w:tcMar>
              <w:top w:w="60" w:type="dxa"/>
              <w:left w:w="90" w:type="dxa"/>
              <w:bottom w:w="60" w:type="dxa"/>
              <w:right w:w="90" w:type="dxa"/>
            </w:tcMar>
          </w:tcPr>
          <w:p w14:paraId="7C2D440E" w14:textId="77777777" w:rsidR="00E8466D" w:rsidRDefault="00C47C5D">
            <w:pPr>
              <w:jc w:val="center"/>
            </w:pPr>
            <w:r>
              <w:rPr>
                <w:b/>
                <w:bCs/>
                <w:sz w:val="17"/>
                <w:szCs w:val="17"/>
              </w:rPr>
              <w:t>IC bootstrap 95 %</w:t>
            </w:r>
          </w:p>
        </w:tc>
        <w:tc>
          <w:tcPr>
            <w:tcW w:w="1500" w:type="dxa"/>
            <w:shd w:val="clear" w:color="auto" w:fill="F2F5F7"/>
            <w:tcMar>
              <w:top w:w="60" w:type="dxa"/>
              <w:left w:w="90" w:type="dxa"/>
              <w:bottom w:w="60" w:type="dxa"/>
              <w:right w:w="90" w:type="dxa"/>
            </w:tcMar>
          </w:tcPr>
          <w:p w14:paraId="6F98D17B" w14:textId="77777777" w:rsidR="00E8466D" w:rsidRDefault="00C47C5D">
            <w:pPr>
              <w:jc w:val="center"/>
            </w:pPr>
            <w:r>
              <w:rPr>
                <w:b/>
                <w:bCs/>
                <w:sz w:val="17"/>
                <w:szCs w:val="17"/>
              </w:rPr>
              <w:t>Amplitud / |r|</w:t>
            </w:r>
          </w:p>
        </w:tc>
        <w:tc>
          <w:tcPr>
            <w:tcW w:w="2500" w:type="dxa"/>
            <w:shd w:val="clear" w:color="auto" w:fill="F2F5F7"/>
            <w:tcMar>
              <w:top w:w="60" w:type="dxa"/>
              <w:left w:w="90" w:type="dxa"/>
              <w:bottom w:w="60" w:type="dxa"/>
              <w:right w:w="90" w:type="dxa"/>
            </w:tcMar>
          </w:tcPr>
          <w:p w14:paraId="54A95A63" w14:textId="77777777" w:rsidR="00E8466D" w:rsidRDefault="00C47C5D">
            <w:r>
              <w:rPr>
                <w:b/>
                <w:bCs/>
                <w:sz w:val="17"/>
                <w:szCs w:val="17"/>
              </w:rPr>
              <w:t>Veredicto</w:t>
            </w:r>
          </w:p>
        </w:tc>
      </w:tr>
      <w:tr w:rsidR="00E8466D" w14:paraId="06CCB076" w14:textId="77777777">
        <w:tc>
          <w:tcPr>
            <w:tcW w:w="3100" w:type="dxa"/>
            <w:tcMar>
              <w:top w:w="60" w:type="dxa"/>
              <w:left w:w="90" w:type="dxa"/>
              <w:bottom w:w="60" w:type="dxa"/>
              <w:right w:w="90" w:type="dxa"/>
            </w:tcMar>
          </w:tcPr>
          <w:p w14:paraId="3783E32A" w14:textId="77777777" w:rsidR="00E8466D" w:rsidRDefault="00C47C5D">
            <w:r>
              <w:rPr>
                <w:sz w:val="17"/>
                <w:szCs w:val="17"/>
              </w:rPr>
              <w:t>Acreditación de la carrera</w:t>
            </w:r>
          </w:p>
        </w:tc>
        <w:tc>
          <w:tcPr>
            <w:tcW w:w="1000" w:type="dxa"/>
            <w:tcMar>
              <w:top w:w="60" w:type="dxa"/>
              <w:left w:w="90" w:type="dxa"/>
              <w:bottom w:w="60" w:type="dxa"/>
              <w:right w:w="90" w:type="dxa"/>
            </w:tcMar>
          </w:tcPr>
          <w:p w14:paraId="59AE8505" w14:textId="77777777" w:rsidR="00E8466D" w:rsidRDefault="00C47C5D">
            <w:pPr>
              <w:jc w:val="center"/>
            </w:pPr>
            <w:r>
              <w:rPr>
                <w:sz w:val="17"/>
                <w:szCs w:val="17"/>
              </w:rPr>
              <w:t>−0,311</w:t>
            </w:r>
          </w:p>
        </w:tc>
        <w:tc>
          <w:tcPr>
            <w:tcW w:w="2400" w:type="dxa"/>
            <w:tcMar>
              <w:top w:w="60" w:type="dxa"/>
              <w:left w:w="90" w:type="dxa"/>
              <w:bottom w:w="60" w:type="dxa"/>
              <w:right w:w="90" w:type="dxa"/>
            </w:tcMar>
          </w:tcPr>
          <w:p w14:paraId="1731E497" w14:textId="77777777" w:rsidR="00E8466D" w:rsidRDefault="00C47C5D">
            <w:pPr>
              <w:jc w:val="center"/>
            </w:pPr>
            <w:r>
              <w:rPr>
                <w:sz w:val="17"/>
                <w:szCs w:val="17"/>
              </w:rPr>
              <w:t>[−0,329 ; −0,293]</w:t>
            </w:r>
          </w:p>
        </w:tc>
        <w:tc>
          <w:tcPr>
            <w:tcW w:w="1500" w:type="dxa"/>
            <w:tcMar>
              <w:top w:w="60" w:type="dxa"/>
              <w:left w:w="90" w:type="dxa"/>
              <w:bottom w:w="60" w:type="dxa"/>
              <w:right w:w="90" w:type="dxa"/>
            </w:tcMar>
          </w:tcPr>
          <w:p w14:paraId="701B2B2D" w14:textId="77777777" w:rsidR="00E8466D" w:rsidRDefault="00C47C5D">
            <w:pPr>
              <w:jc w:val="center"/>
            </w:pPr>
            <w:r>
              <w:rPr>
                <w:sz w:val="17"/>
                <w:szCs w:val="17"/>
              </w:rPr>
              <w:t>0,12</w:t>
            </w:r>
          </w:p>
        </w:tc>
        <w:tc>
          <w:tcPr>
            <w:tcW w:w="2500" w:type="dxa"/>
            <w:tcMar>
              <w:top w:w="60" w:type="dxa"/>
              <w:left w:w="90" w:type="dxa"/>
              <w:bottom w:w="60" w:type="dxa"/>
              <w:right w:w="90" w:type="dxa"/>
            </w:tcMar>
          </w:tcPr>
          <w:p w14:paraId="5D5451A3" w14:textId="77777777" w:rsidR="00E8466D" w:rsidRDefault="00C47C5D">
            <w:r>
              <w:rPr>
                <w:sz w:val="17"/>
                <w:szCs w:val="17"/>
              </w:rPr>
              <w:t>Robusta</w:t>
            </w:r>
          </w:p>
        </w:tc>
      </w:tr>
      <w:tr w:rsidR="00E8466D" w14:paraId="4ACA4667" w14:textId="77777777">
        <w:tc>
          <w:tcPr>
            <w:tcW w:w="3100" w:type="dxa"/>
            <w:tcMar>
              <w:top w:w="60" w:type="dxa"/>
              <w:left w:w="90" w:type="dxa"/>
              <w:bottom w:w="60" w:type="dxa"/>
              <w:right w:w="90" w:type="dxa"/>
            </w:tcMar>
          </w:tcPr>
          <w:p w14:paraId="759A54F6" w14:textId="77777777" w:rsidR="00E8466D" w:rsidRDefault="00C47C5D">
            <w:r>
              <w:rPr>
                <w:sz w:val="17"/>
                <w:szCs w:val="17"/>
              </w:rPr>
              <w:t>Acreditación de la institución</w:t>
            </w:r>
          </w:p>
        </w:tc>
        <w:tc>
          <w:tcPr>
            <w:tcW w:w="1000" w:type="dxa"/>
            <w:tcMar>
              <w:top w:w="60" w:type="dxa"/>
              <w:left w:w="90" w:type="dxa"/>
              <w:bottom w:w="60" w:type="dxa"/>
              <w:right w:w="90" w:type="dxa"/>
            </w:tcMar>
          </w:tcPr>
          <w:p w14:paraId="3CBA671D" w14:textId="77777777" w:rsidR="00E8466D" w:rsidRDefault="00C47C5D">
            <w:pPr>
              <w:jc w:val="center"/>
            </w:pPr>
            <w:r>
              <w:rPr>
                <w:sz w:val="17"/>
                <w:szCs w:val="17"/>
              </w:rPr>
              <w:t>−0,259</w:t>
            </w:r>
          </w:p>
        </w:tc>
        <w:tc>
          <w:tcPr>
            <w:tcW w:w="2400" w:type="dxa"/>
            <w:tcMar>
              <w:top w:w="60" w:type="dxa"/>
              <w:left w:w="90" w:type="dxa"/>
              <w:bottom w:w="60" w:type="dxa"/>
              <w:right w:w="90" w:type="dxa"/>
            </w:tcMar>
          </w:tcPr>
          <w:p w14:paraId="5612A637" w14:textId="77777777" w:rsidR="00E8466D" w:rsidRDefault="00C47C5D">
            <w:pPr>
              <w:jc w:val="center"/>
            </w:pPr>
            <w:r>
              <w:rPr>
                <w:sz w:val="17"/>
                <w:szCs w:val="17"/>
              </w:rPr>
              <w:t>[−0,278 ; −0,240]</w:t>
            </w:r>
          </w:p>
        </w:tc>
        <w:tc>
          <w:tcPr>
            <w:tcW w:w="1500" w:type="dxa"/>
            <w:tcMar>
              <w:top w:w="60" w:type="dxa"/>
              <w:left w:w="90" w:type="dxa"/>
              <w:bottom w:w="60" w:type="dxa"/>
              <w:right w:w="90" w:type="dxa"/>
            </w:tcMar>
          </w:tcPr>
          <w:p w14:paraId="247F6E4A" w14:textId="77777777" w:rsidR="00E8466D" w:rsidRDefault="00C47C5D">
            <w:pPr>
              <w:jc w:val="center"/>
            </w:pPr>
            <w:r>
              <w:rPr>
                <w:sz w:val="17"/>
                <w:szCs w:val="17"/>
              </w:rPr>
              <w:t>0,15</w:t>
            </w:r>
          </w:p>
        </w:tc>
        <w:tc>
          <w:tcPr>
            <w:tcW w:w="2500" w:type="dxa"/>
            <w:tcMar>
              <w:top w:w="60" w:type="dxa"/>
              <w:left w:w="90" w:type="dxa"/>
              <w:bottom w:w="60" w:type="dxa"/>
              <w:right w:w="90" w:type="dxa"/>
            </w:tcMar>
          </w:tcPr>
          <w:p w14:paraId="47B6CC59" w14:textId="77777777" w:rsidR="00E8466D" w:rsidRDefault="00C47C5D">
            <w:r>
              <w:rPr>
                <w:sz w:val="17"/>
                <w:szCs w:val="17"/>
              </w:rPr>
              <w:t>Robusta</w:t>
            </w:r>
          </w:p>
        </w:tc>
      </w:tr>
      <w:tr w:rsidR="00E8466D" w14:paraId="635CD68A" w14:textId="77777777">
        <w:tc>
          <w:tcPr>
            <w:tcW w:w="3100" w:type="dxa"/>
            <w:tcMar>
              <w:top w:w="60" w:type="dxa"/>
              <w:left w:w="90" w:type="dxa"/>
              <w:bottom w:w="60" w:type="dxa"/>
              <w:right w:w="90" w:type="dxa"/>
            </w:tcMar>
          </w:tcPr>
          <w:p w14:paraId="4CFBAF9D" w14:textId="77777777" w:rsidR="00E8466D" w:rsidRDefault="00C47C5D">
            <w:r>
              <w:rPr>
                <w:sz w:val="17"/>
                <w:szCs w:val="17"/>
              </w:rPr>
              <w:t>Tamaño del programa (log)</w:t>
            </w:r>
          </w:p>
        </w:tc>
        <w:tc>
          <w:tcPr>
            <w:tcW w:w="1000" w:type="dxa"/>
            <w:tcMar>
              <w:top w:w="60" w:type="dxa"/>
              <w:left w:w="90" w:type="dxa"/>
              <w:bottom w:w="60" w:type="dxa"/>
              <w:right w:w="90" w:type="dxa"/>
            </w:tcMar>
          </w:tcPr>
          <w:p w14:paraId="6E8CFDD6" w14:textId="77777777" w:rsidR="00E8466D" w:rsidRDefault="00C47C5D">
            <w:pPr>
              <w:jc w:val="center"/>
            </w:pPr>
            <w:r>
              <w:rPr>
                <w:sz w:val="17"/>
                <w:szCs w:val="17"/>
              </w:rPr>
              <w:t>−0,247</w:t>
            </w:r>
          </w:p>
        </w:tc>
        <w:tc>
          <w:tcPr>
            <w:tcW w:w="2400" w:type="dxa"/>
            <w:tcMar>
              <w:top w:w="60" w:type="dxa"/>
              <w:left w:w="90" w:type="dxa"/>
              <w:bottom w:w="60" w:type="dxa"/>
              <w:right w:w="90" w:type="dxa"/>
            </w:tcMar>
          </w:tcPr>
          <w:p w14:paraId="31F2F8D9" w14:textId="77777777" w:rsidR="00E8466D" w:rsidRDefault="00C47C5D">
            <w:pPr>
              <w:jc w:val="center"/>
            </w:pPr>
            <w:r>
              <w:rPr>
                <w:sz w:val="17"/>
                <w:szCs w:val="17"/>
              </w:rPr>
              <w:t>[−0,267 ; −0,228]</w:t>
            </w:r>
          </w:p>
        </w:tc>
        <w:tc>
          <w:tcPr>
            <w:tcW w:w="1500" w:type="dxa"/>
            <w:tcMar>
              <w:top w:w="60" w:type="dxa"/>
              <w:left w:w="90" w:type="dxa"/>
              <w:bottom w:w="60" w:type="dxa"/>
              <w:right w:w="90" w:type="dxa"/>
            </w:tcMar>
          </w:tcPr>
          <w:p w14:paraId="51416B48" w14:textId="77777777" w:rsidR="00E8466D" w:rsidRDefault="00C47C5D">
            <w:pPr>
              <w:jc w:val="center"/>
            </w:pPr>
            <w:r>
              <w:rPr>
                <w:sz w:val="17"/>
                <w:szCs w:val="17"/>
              </w:rPr>
              <w:t>0,16</w:t>
            </w:r>
          </w:p>
        </w:tc>
        <w:tc>
          <w:tcPr>
            <w:tcW w:w="2500" w:type="dxa"/>
            <w:tcMar>
              <w:top w:w="60" w:type="dxa"/>
              <w:left w:w="90" w:type="dxa"/>
              <w:bottom w:w="60" w:type="dxa"/>
              <w:right w:w="90" w:type="dxa"/>
            </w:tcMar>
          </w:tcPr>
          <w:p w14:paraId="55BD89D0" w14:textId="77777777" w:rsidR="00E8466D" w:rsidRDefault="00C47C5D">
            <w:r>
              <w:rPr>
                <w:sz w:val="17"/>
                <w:szCs w:val="17"/>
              </w:rPr>
              <w:t>Robusta</w:t>
            </w:r>
          </w:p>
        </w:tc>
      </w:tr>
      <w:tr w:rsidR="00E8466D" w14:paraId="66477C88" w14:textId="77777777">
        <w:tc>
          <w:tcPr>
            <w:tcW w:w="3100" w:type="dxa"/>
            <w:tcMar>
              <w:top w:w="60" w:type="dxa"/>
              <w:left w:w="90" w:type="dxa"/>
              <w:bottom w:w="60" w:type="dxa"/>
              <w:right w:w="90" w:type="dxa"/>
            </w:tcMar>
          </w:tcPr>
          <w:p w14:paraId="7B9F4E23" w14:textId="77777777" w:rsidR="00E8466D" w:rsidRDefault="00C47C5D">
            <w:r>
              <w:rPr>
                <w:sz w:val="17"/>
                <w:szCs w:val="17"/>
              </w:rPr>
              <w:t>Proporción de mujeres</w:t>
            </w:r>
          </w:p>
        </w:tc>
        <w:tc>
          <w:tcPr>
            <w:tcW w:w="1000" w:type="dxa"/>
            <w:tcMar>
              <w:top w:w="60" w:type="dxa"/>
              <w:left w:w="90" w:type="dxa"/>
              <w:bottom w:w="60" w:type="dxa"/>
              <w:right w:w="90" w:type="dxa"/>
            </w:tcMar>
          </w:tcPr>
          <w:p w14:paraId="29858509" w14:textId="77777777" w:rsidR="00E8466D" w:rsidRDefault="00C47C5D">
            <w:pPr>
              <w:jc w:val="center"/>
            </w:pPr>
            <w:r>
              <w:rPr>
                <w:sz w:val="17"/>
                <w:szCs w:val="17"/>
              </w:rPr>
              <w:t>−0,165</w:t>
            </w:r>
          </w:p>
        </w:tc>
        <w:tc>
          <w:tcPr>
            <w:tcW w:w="2400" w:type="dxa"/>
            <w:tcMar>
              <w:top w:w="60" w:type="dxa"/>
              <w:left w:w="90" w:type="dxa"/>
              <w:bottom w:w="60" w:type="dxa"/>
              <w:right w:w="90" w:type="dxa"/>
            </w:tcMar>
          </w:tcPr>
          <w:p w14:paraId="024D688A" w14:textId="77777777" w:rsidR="00E8466D" w:rsidRDefault="00C47C5D">
            <w:pPr>
              <w:jc w:val="center"/>
            </w:pPr>
            <w:r>
              <w:rPr>
                <w:sz w:val="17"/>
                <w:szCs w:val="17"/>
              </w:rPr>
              <w:t>[−0,184 ; −0,145]</w:t>
            </w:r>
          </w:p>
        </w:tc>
        <w:tc>
          <w:tcPr>
            <w:tcW w:w="1500" w:type="dxa"/>
            <w:tcMar>
              <w:top w:w="60" w:type="dxa"/>
              <w:left w:w="90" w:type="dxa"/>
              <w:bottom w:w="60" w:type="dxa"/>
              <w:right w:w="90" w:type="dxa"/>
            </w:tcMar>
          </w:tcPr>
          <w:p w14:paraId="6EB0276F" w14:textId="77777777" w:rsidR="00E8466D" w:rsidRDefault="00C47C5D">
            <w:pPr>
              <w:jc w:val="center"/>
            </w:pPr>
            <w:r>
              <w:rPr>
                <w:sz w:val="17"/>
                <w:szCs w:val="17"/>
              </w:rPr>
              <w:t>0,24</w:t>
            </w:r>
          </w:p>
        </w:tc>
        <w:tc>
          <w:tcPr>
            <w:tcW w:w="2500" w:type="dxa"/>
            <w:tcMar>
              <w:top w:w="60" w:type="dxa"/>
              <w:left w:w="90" w:type="dxa"/>
              <w:bottom w:w="60" w:type="dxa"/>
              <w:right w:w="90" w:type="dxa"/>
            </w:tcMar>
          </w:tcPr>
          <w:p w14:paraId="76E5BB18" w14:textId="77777777" w:rsidR="00E8466D" w:rsidRDefault="00C47C5D">
            <w:r>
              <w:rPr>
                <w:sz w:val="17"/>
                <w:szCs w:val="17"/>
              </w:rPr>
              <w:t>Robusta</w:t>
            </w:r>
          </w:p>
        </w:tc>
      </w:tr>
      <w:tr w:rsidR="00E8466D" w14:paraId="1735A39D" w14:textId="77777777">
        <w:tc>
          <w:tcPr>
            <w:tcW w:w="3100" w:type="dxa"/>
            <w:tcMar>
              <w:top w:w="60" w:type="dxa"/>
              <w:left w:w="90" w:type="dxa"/>
              <w:bottom w:w="60" w:type="dxa"/>
              <w:right w:w="90" w:type="dxa"/>
            </w:tcMar>
          </w:tcPr>
          <w:p w14:paraId="5F814E23" w14:textId="77777777" w:rsidR="00E8466D" w:rsidRDefault="00C47C5D">
            <w:r>
              <w:rPr>
                <w:sz w:val="17"/>
                <w:szCs w:val="17"/>
              </w:rPr>
              <w:t>Egreso de enseñanza municipal</w:t>
            </w:r>
          </w:p>
        </w:tc>
        <w:tc>
          <w:tcPr>
            <w:tcW w:w="1000" w:type="dxa"/>
            <w:tcMar>
              <w:top w:w="60" w:type="dxa"/>
              <w:left w:w="90" w:type="dxa"/>
              <w:bottom w:w="60" w:type="dxa"/>
              <w:right w:w="90" w:type="dxa"/>
            </w:tcMar>
          </w:tcPr>
          <w:p w14:paraId="7E9F81A8" w14:textId="77777777" w:rsidR="00E8466D" w:rsidRDefault="00C47C5D">
            <w:pPr>
              <w:jc w:val="center"/>
            </w:pPr>
            <w:r>
              <w:rPr>
                <w:sz w:val="17"/>
                <w:szCs w:val="17"/>
              </w:rPr>
              <w:t>+0,050</w:t>
            </w:r>
          </w:p>
        </w:tc>
        <w:tc>
          <w:tcPr>
            <w:tcW w:w="2400" w:type="dxa"/>
            <w:tcMar>
              <w:top w:w="60" w:type="dxa"/>
              <w:left w:w="90" w:type="dxa"/>
              <w:bottom w:w="60" w:type="dxa"/>
              <w:right w:w="90" w:type="dxa"/>
            </w:tcMar>
          </w:tcPr>
          <w:p w14:paraId="483E0E48" w14:textId="77777777" w:rsidR="00E8466D" w:rsidRDefault="00C47C5D">
            <w:pPr>
              <w:jc w:val="center"/>
            </w:pPr>
            <w:r>
              <w:rPr>
                <w:sz w:val="17"/>
                <w:szCs w:val="17"/>
              </w:rPr>
              <w:t>[+0,031 ; +0,070]</w:t>
            </w:r>
          </w:p>
        </w:tc>
        <w:tc>
          <w:tcPr>
            <w:tcW w:w="1500" w:type="dxa"/>
            <w:tcMar>
              <w:top w:w="60" w:type="dxa"/>
              <w:left w:w="90" w:type="dxa"/>
              <w:bottom w:w="60" w:type="dxa"/>
              <w:right w:w="90" w:type="dxa"/>
            </w:tcMar>
          </w:tcPr>
          <w:p w14:paraId="0FB6AA90" w14:textId="77777777" w:rsidR="00E8466D" w:rsidRDefault="00C47C5D">
            <w:pPr>
              <w:jc w:val="center"/>
            </w:pPr>
            <w:r>
              <w:rPr>
                <w:sz w:val="17"/>
                <w:szCs w:val="17"/>
              </w:rPr>
              <w:t>0,79</w:t>
            </w:r>
          </w:p>
        </w:tc>
        <w:tc>
          <w:tcPr>
            <w:tcW w:w="2500" w:type="dxa"/>
            <w:tcMar>
              <w:top w:w="60" w:type="dxa"/>
              <w:left w:w="90" w:type="dxa"/>
              <w:bottom w:w="60" w:type="dxa"/>
              <w:right w:w="90" w:type="dxa"/>
            </w:tcMar>
          </w:tcPr>
          <w:p w14:paraId="6DBA17F2" w14:textId="77777777" w:rsidR="00E8466D" w:rsidRDefault="00C47C5D">
            <w:r>
              <w:rPr>
                <w:sz w:val="17"/>
                <w:szCs w:val="17"/>
              </w:rPr>
              <w:t>Débil, signo definido</w:t>
            </w:r>
          </w:p>
        </w:tc>
      </w:tr>
    </w:tbl>
    <w:p w14:paraId="7FD28BE2" w14:textId="77777777" w:rsidR="00E8466D" w:rsidRDefault="00E8466D">
      <w:pPr>
        <w:spacing w:after="110"/>
      </w:pPr>
    </w:p>
    <w:p w14:paraId="4B4D52BD" w14:textId="77777777" w:rsidR="00E8466D" w:rsidRDefault="00C47C5D">
      <w:pPr>
        <w:spacing w:before="140" w:after="40"/>
        <w:jc w:val="center"/>
      </w:pPr>
      <w:r>
        <w:rPr>
          <w:noProof/>
        </w:rPr>
        <w:drawing>
          <wp:inline distT="0" distB="0" distL="0" distR="0" wp14:anchorId="76A68BF1" wp14:editId="6E53A43E">
            <wp:extent cx="4752000" cy="2020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stabilidad_correlaciones.png"/>
                    <pic:cNvPicPr/>
                  </pic:nvPicPr>
                  <pic:blipFill>
                    <a:blip r:embed="rId10"/>
                    <a:stretch>
                      <a:fillRect/>
                    </a:stretch>
                  </pic:blipFill>
                  <pic:spPr>
                    <a:xfrm>
                      <a:off x="0" y="0"/>
                      <a:ext cx="4752000" cy="2020700"/>
                    </a:xfrm>
                    <a:prstGeom prst="rect">
                      <a:avLst/>
                    </a:prstGeom>
                  </pic:spPr>
                </pic:pic>
              </a:graphicData>
            </a:graphic>
          </wp:inline>
        </w:drawing>
      </w:r>
    </w:p>
    <w:p w14:paraId="706BFD64" w14:textId="77777777" w:rsidR="00E8466D" w:rsidRDefault="00C47C5D">
      <w:pPr>
        <w:spacing w:after="160"/>
        <w:jc w:val="center"/>
      </w:pPr>
      <w:r>
        <w:rPr>
          <w:i/>
          <w:color w:val="555555"/>
          <w:sz w:val="16"/>
        </w:rPr>
        <w:t>Figura 3. Intervalos bootstrap al 95 % de las cinco correlaciones y sus distribuciones completas.</w:t>
      </w:r>
    </w:p>
    <w:p w14:paraId="79E4D245" w14:textId="77777777" w:rsidR="00E8466D" w:rsidRDefault="00C47C5D">
      <w:pPr>
        <w:spacing w:after="120" w:line="264" w:lineRule="auto"/>
        <w:jc w:val="both"/>
      </w:pPr>
      <w:r>
        <w:rPr>
          <w:b/>
          <w:bCs/>
        </w:rPr>
        <w:t>Ningún intervalo incluye el cero</w:t>
      </w:r>
      <w:r>
        <w:t xml:space="preserve">, de modo que el signo de las cinco correlaciones está determinado por los datos y no por el azar del muestreo. Pero estabilidad y relevancia son cosas distintas, y el criterio de amplitud relativa las separa: las tres correlaciones fuertes tienen intervalos estrechos frente a su propia magnitud, mientras que la del egreso municipal vale apenas +0,050 y su intervalo ocupa cuatro quintas partes de ese valor. Es </w:t>
      </w:r>
      <w:r>
        <w:rPr>
          <w:b/>
          <w:bCs/>
        </w:rPr>
        <w:t>estadísticamente distinta de cero y prácticamente irrelevante</w:t>
      </w:r>
      <w:r>
        <w:t>, exactamente la situación que la fase anterior anticipó.</w:t>
      </w:r>
    </w:p>
    <w:p w14:paraId="5A63A577" w14:textId="77777777" w:rsidR="00E8466D" w:rsidRDefault="00C47C5D">
      <w:pPr>
        <w:pStyle w:val="Heading1"/>
        <w:spacing w:before="260" w:after="130"/>
      </w:pPr>
      <w:bookmarkStart w:id="4" w:name="_Toc242818259"/>
      <w:r>
        <w:rPr>
          <w:b/>
          <w:bCs/>
          <w:color w:val="1F3864"/>
          <w:sz w:val="26"/>
          <w:szCs w:val="26"/>
        </w:rPr>
        <w:t>5. Simulación Monte Carlo de la decisión de focalización</w:t>
      </w:r>
      <w:bookmarkEnd w:id="4"/>
    </w:p>
    <w:p w14:paraId="3BCF9E92" w14:textId="77777777" w:rsidR="00E8466D" w:rsidRDefault="00C47C5D">
      <w:pPr>
        <w:spacing w:after="120" w:line="264" w:lineRule="auto"/>
        <w:jc w:val="both"/>
      </w:pPr>
      <w:r>
        <w:lastRenderedPageBreak/>
        <w:t xml:space="preserve">La Sumativa 1 terminó con una recomendación que no pudo cuantificar: focalizar por el </w:t>
      </w:r>
      <w:r>
        <w:rPr>
          <w:b/>
          <w:bCs/>
        </w:rPr>
        <w:t>nivel de abandono medido en cada programa</w:t>
      </w:r>
      <w:r>
        <w:t xml:space="preserve"> y no por categorías administrativas. La simulación responde esa pregunta en los términos en que una autoridad la formularía: </w:t>
      </w:r>
      <w:r>
        <w:rPr>
          <w:b/>
          <w:bCs/>
        </w:rPr>
        <w:t>si solo puedo intervenir en una fracción de los programas, ¿cuántos estudiantes más alcanzo eligiéndolos por su abandono observado en lugar de por la acreditación de su institución?</w:t>
      </w:r>
    </w:p>
    <w:p w14:paraId="270326CD" w14:textId="77777777" w:rsidR="00E8466D" w:rsidRDefault="00C47C5D">
      <w:pPr>
        <w:spacing w:after="120" w:line="264" w:lineRule="auto"/>
        <w:jc w:val="both"/>
      </w:pPr>
      <w:r>
        <w:t xml:space="preserve">Se simulan 10.000 sistemas de 8.429 programas —aquellos cuyo estado de acreditación es inequívoco— con los parámetros estimados en la fase anterior: abandono medio de 0,6636 (DE 0,2243) en los programas de instituciones nunca acreditadas y de 0,4879 (DE 0,2178) en los de siempre acreditadas, una proporción del 9 % de los primeros, y la distribución empírica del ingreso. Sobre cada sistema se comparan dos estrategias con el mismo presupuesto, el 10 % de los programas: la </w:t>
      </w:r>
      <w:r>
        <w:rPr>
          <w:b/>
          <w:bCs/>
        </w:rPr>
        <w:t>A</w:t>
      </w:r>
      <w:r>
        <w:t xml:space="preserve"> prioriza los de instituciones no acreditadas; la </w:t>
      </w:r>
      <w:r>
        <w:rPr>
          <w:b/>
          <w:bCs/>
        </w:rPr>
        <w:t>B</w:t>
      </w:r>
      <w:r>
        <w:t xml:space="preserve"> elige los de mayor abandono.</w:t>
      </w:r>
    </w:p>
    <w:p w14:paraId="3EF43F32" w14:textId="77777777" w:rsidR="00E8466D" w:rsidRDefault="00C47C5D">
      <w:pPr>
        <w:spacing w:after="120" w:line="264" w:lineRule="auto"/>
        <w:jc w:val="both"/>
      </w:pPr>
      <w:r>
        <w:t xml:space="preserve">El modelo supone que la intervención </w:t>
      </w:r>
      <w:r>
        <w:rPr>
          <w:b/>
          <w:bCs/>
        </w:rPr>
        <w:t>recupera una fracción ε de quienes habrían abandonado</w:t>
      </w:r>
      <w:r>
        <w:t>, de modo que intervenir rinde más donde el abandono es mayor. El valor de ε no es un parámetro estimado sino una decisión de política —el conjunto no contiene información sobre la eficacia de ningún programa de retención— y se adopta un 10 % como escenario base; el apartado 6 muestra que la comparación entre estrategias es independiente de él.</w:t>
      </w:r>
    </w:p>
    <w:p w14:paraId="3B2927E6" w14:textId="77777777" w:rsidR="00E8466D" w:rsidRDefault="00C47C5D">
      <w:pPr>
        <w:spacing w:before="140" w:after="50"/>
        <w:jc w:val="center"/>
      </w:pPr>
      <w:r>
        <w:rPr>
          <w:noProof/>
        </w:rPr>
        <w:drawing>
          <wp:inline distT="0" distB="0" distL="0" distR="0" wp14:anchorId="19D0DCEE" wp14:editId="7CB85A6B">
            <wp:extent cx="4752594" cy="18867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594" cy="1886782"/>
                    </a:xfrm>
                    <a:prstGeom prst="rect">
                      <a:avLst/>
                    </a:prstGeom>
                  </pic:spPr>
                </pic:pic>
              </a:graphicData>
            </a:graphic>
          </wp:inline>
        </w:drawing>
      </w:r>
    </w:p>
    <w:p w14:paraId="34EC6804" w14:textId="77777777" w:rsidR="00E8466D" w:rsidRDefault="00C47C5D">
      <w:pPr>
        <w:spacing w:after="160"/>
        <w:jc w:val="center"/>
      </w:pPr>
      <w:r>
        <w:rPr>
          <w:i/>
          <w:iCs/>
          <w:color w:val="555555"/>
          <w:sz w:val="16"/>
          <w:szCs w:val="16"/>
        </w:rPr>
        <w:t>Figura 4. Convergencia de la ventaja media de la estrategia B y distribución de esa ventaja sobre las 10.000 iteraciones.</w:t>
      </w:r>
    </w:p>
    <w:p w14:paraId="6C5F238A" w14:textId="77777777" w:rsidR="00E8466D" w:rsidRDefault="00C47C5D">
      <w:pPr>
        <w:spacing w:after="120" w:line="264" w:lineRule="auto"/>
        <w:jc w:val="both"/>
      </w:pPr>
      <w:r>
        <w:rPr>
          <w:b/>
          <w:bCs/>
        </w:rPr>
        <w:t>Focalizar por el abandono observado alcanza a un 38,9 % más de estudiantes</w:t>
      </w:r>
      <w:r>
        <w:t xml:space="preserve">: 30.205 frente a 21.742 en el escenario base, una diferencia media de 8.462 estudiantes. La estrategia B supera a la A </w:t>
      </w:r>
      <w:r>
        <w:rPr>
          <w:b/>
          <w:bCs/>
        </w:rPr>
        <w:t>en las 10.000 iteraciones</w:t>
      </w:r>
      <w:r>
        <w:t>, y el percentil 2,5 de la diferencia, 6.306 estudiantes, queda muy lejos del cero.</w:t>
      </w:r>
    </w:p>
    <w:p w14:paraId="18E346EB" w14:textId="77777777" w:rsidR="00E8466D" w:rsidRDefault="00C47C5D">
      <w:pPr>
        <w:spacing w:after="120" w:line="264" w:lineRule="auto"/>
        <w:jc w:val="both"/>
      </w:pPr>
      <w:r>
        <w:t>La convergencia confirma que el número de iteraciones basta con holgura: el error estándar de Monte Carlo es de 11 estudiantes, un 0,25 % de la magnitud estimada, y bastarían 644 iteraciones para una precisión del 1 %. Verificar convergencia permite separar la incertidumbre del fenómeno —que es grande, como muestra la distribución— de la que introduce el método, que aquí es despreciable.</w:t>
      </w:r>
    </w:p>
    <w:p w14:paraId="62245A7E" w14:textId="77777777" w:rsidR="00E8466D" w:rsidRDefault="00C47C5D">
      <w:pPr>
        <w:spacing w:after="120" w:line="264" w:lineRule="auto"/>
        <w:jc w:val="both"/>
      </w:pPr>
      <w:r>
        <w:t xml:space="preserve">El resultado </w:t>
      </w:r>
      <w:r>
        <w:rPr>
          <w:b/>
          <w:bCs/>
        </w:rPr>
        <w:t>cuantifica la recomendación que la Sumativa 1 dejó enunciada</w:t>
      </w:r>
      <w:r>
        <w:t>. Que la acreditación distinga grupos con un efecto grande no la convierte en buen criterio de focalización: los programas de instituciones no acreditadas son demasiado pocos para absorber el presupuesto, y la mayor parte de los programas con abandono alto queda fuera de esa categoría.</w:t>
      </w:r>
    </w:p>
    <w:p w14:paraId="27B08BA9" w14:textId="77777777" w:rsidR="00E8466D" w:rsidRDefault="00C47C5D">
      <w:pPr>
        <w:pStyle w:val="Heading1"/>
        <w:spacing w:before="260" w:after="130"/>
      </w:pPr>
      <w:bookmarkStart w:id="5" w:name="_Toc242818260"/>
      <w:r>
        <w:rPr>
          <w:b/>
          <w:bCs/>
          <w:color w:val="1F3864"/>
          <w:sz w:val="26"/>
          <w:szCs w:val="26"/>
        </w:rPr>
        <w:t>6. Análisis de robustez y sensibilidad</w:t>
      </w:r>
      <w:bookmarkEnd w:id="5"/>
    </w:p>
    <w:p w14:paraId="3AEA9DD9" w14:textId="77777777" w:rsidR="00E8466D" w:rsidRDefault="00C47C5D">
      <w:pPr>
        <w:pStyle w:val="Heading2"/>
        <w:spacing w:before="180" w:after="90"/>
      </w:pPr>
      <w:bookmarkStart w:id="6" w:name="_Toc242818261"/>
      <w:r>
        <w:rPr>
          <w:b/>
          <w:bCs/>
          <w:color w:val="2E5496"/>
          <w:sz w:val="22"/>
          <w:szCs w:val="22"/>
        </w:rPr>
        <w:t>6.1 Observaciones influyentes y valores extremos</w:t>
      </w:r>
      <w:bookmarkEnd w:id="6"/>
    </w:p>
    <w:p w14:paraId="55B6644C" w14:textId="77777777" w:rsidR="00E8466D" w:rsidRDefault="00C47C5D">
      <w:pPr>
        <w:spacing w:after="120" w:line="264" w:lineRule="auto"/>
        <w:jc w:val="both"/>
      </w:pPr>
      <w:r>
        <w:t xml:space="preserve">El </w:t>
      </w:r>
      <w:r>
        <w:rPr>
          <w:b/>
          <w:bCs/>
        </w:rPr>
        <w:t>jackknife</w:t>
      </w:r>
      <w:r>
        <w:t xml:space="preserve"> sobre los 9.678 programas arroja un error estándar de 0,002276, idéntico al clásico e igual al bootstrap hasta la quinta cifra, y un sesgo estimado nulo. Ninguna observación individual desplaza la media más de 5,4 × 10⁻⁵: </w:t>
      </w:r>
      <w:r>
        <w:rPr>
          <w:b/>
          <w:bCs/>
        </w:rPr>
        <w:t>no hay programas influyentes</w:t>
      </w:r>
      <w:r>
        <w:t>. El estadístico no depende de ningún caso particular.</w:t>
      </w:r>
    </w:p>
    <w:p w14:paraId="5132A8FA" w14:textId="77777777" w:rsidR="00E8466D" w:rsidRDefault="00C47C5D">
      <w:pPr>
        <w:spacing w:after="120" w:line="264" w:lineRule="auto"/>
        <w:jc w:val="both"/>
      </w:pPr>
      <w:r>
        <w:t xml:space="preserve">La exclusión de los </w:t>
      </w:r>
      <w:r>
        <w:rPr>
          <w:b/>
          <w:bCs/>
        </w:rPr>
        <w:t>465 programas censurados</w:t>
      </w:r>
      <w:r>
        <w:t xml:space="preserve"> en 0 y en 1, identificados en la fase anterior, desplaza la media del abandono de 0,518 a 0,527 y reduce su desviación típica de 0,224 a 0,199. La correlación con la acreditación de carrera </w:t>
      </w:r>
      <w:r>
        <w:lastRenderedPageBreak/>
        <w:t>apenas se mueve, de −0,311 a −0,310, y el contraste de Welch mantiene su decisión. Son cambios pequeños, pero recuerdan que la censura de la variable no es inocua.</w:t>
      </w:r>
    </w:p>
    <w:p w14:paraId="1F8951D8" w14:textId="77777777" w:rsidR="00E8466D" w:rsidRDefault="00C47C5D">
      <w:pPr>
        <w:pStyle w:val="Heading2"/>
        <w:spacing w:before="180" w:after="90"/>
      </w:pPr>
      <w:bookmarkStart w:id="7" w:name="_Toc242818262"/>
      <w:r>
        <w:rPr>
          <w:b/>
          <w:bCs/>
          <w:color w:val="2E5496"/>
          <w:sz w:val="22"/>
          <w:szCs w:val="22"/>
        </w:rPr>
        <w:t>6.2 Sensibilidad de la simulación a sus variables de entrada</w:t>
      </w:r>
      <w:bookmarkEnd w:id="7"/>
    </w:p>
    <w:p w14:paraId="721588D5" w14:textId="77777777" w:rsidR="00E8466D" w:rsidRDefault="00C47C5D">
      <w:pPr>
        <w:spacing w:after="120" w:line="264" w:lineRule="auto"/>
        <w:jc w:val="both"/>
      </w:pPr>
      <w:r>
        <w:t xml:space="preserve">La comparación entre estrategias es </w:t>
      </w:r>
      <w:r>
        <w:rPr>
          <w:b/>
          <w:bCs/>
        </w:rPr>
        <w:t>algebraicamente independiente de ε</w:t>
      </w:r>
      <w:r>
        <w:t>, porque ese factor multiplica por igual a ambas y se cancela en el cociente: la conclusión no descansa sobre el supuesto que peor se conoce. Los ejes que sí podrían moverla son el presupuesto y la proporción de instituciones no acreditadas, que determina si la estrategia A dispone de candidatos suficientes.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724"/>
        <w:gridCol w:w="1972"/>
        <w:gridCol w:w="1424"/>
        <w:gridCol w:w="1424"/>
        <w:gridCol w:w="1424"/>
      </w:tblGrid>
      <w:tr w:rsidR="00E8466D" w14:paraId="16BFD102" w14:textId="77777777">
        <w:trPr>
          <w:tblHeader/>
        </w:trPr>
        <w:tc>
          <w:tcPr>
            <w:tcW w:w="3727" w:type="dxa"/>
            <w:shd w:val="clear" w:color="auto" w:fill="F2F5F7"/>
            <w:tcMar>
              <w:top w:w="60" w:type="dxa"/>
              <w:left w:w="90" w:type="dxa"/>
              <w:bottom w:w="60" w:type="dxa"/>
              <w:right w:w="90" w:type="dxa"/>
            </w:tcMar>
          </w:tcPr>
          <w:p w14:paraId="3F2F4A84" w14:textId="77777777" w:rsidR="00E8466D" w:rsidRDefault="00C47C5D">
            <w:r>
              <w:rPr>
                <w:b/>
                <w:bCs/>
                <w:sz w:val="17"/>
                <w:szCs w:val="17"/>
              </w:rPr>
              <w:t>Ventaja relativa de B (%)</w:t>
            </w:r>
          </w:p>
        </w:tc>
        <w:tc>
          <w:tcPr>
            <w:tcW w:w="1973" w:type="dxa"/>
            <w:shd w:val="clear" w:color="auto" w:fill="F2F5F7"/>
            <w:tcMar>
              <w:top w:w="60" w:type="dxa"/>
              <w:left w:w="90" w:type="dxa"/>
              <w:bottom w:w="60" w:type="dxa"/>
              <w:right w:w="90" w:type="dxa"/>
            </w:tcMar>
          </w:tcPr>
          <w:p w14:paraId="144A7C9A" w14:textId="77777777" w:rsidR="00E8466D" w:rsidRDefault="00C47C5D">
            <w:pPr>
              <w:jc w:val="center"/>
            </w:pPr>
            <w:r>
              <w:rPr>
                <w:b/>
                <w:bCs/>
                <w:sz w:val="17"/>
                <w:szCs w:val="17"/>
              </w:rPr>
              <w:t>Presupuesto 5 %</w:t>
            </w:r>
          </w:p>
        </w:tc>
        <w:tc>
          <w:tcPr>
            <w:tcW w:w="1425" w:type="dxa"/>
            <w:shd w:val="clear" w:color="auto" w:fill="F2F5F7"/>
            <w:tcMar>
              <w:top w:w="60" w:type="dxa"/>
              <w:left w:w="90" w:type="dxa"/>
              <w:bottom w:w="60" w:type="dxa"/>
              <w:right w:w="90" w:type="dxa"/>
            </w:tcMar>
          </w:tcPr>
          <w:p w14:paraId="089AE0D6" w14:textId="77777777" w:rsidR="00E8466D" w:rsidRDefault="00C47C5D">
            <w:pPr>
              <w:jc w:val="center"/>
            </w:pPr>
            <w:r>
              <w:rPr>
                <w:b/>
                <w:bCs/>
                <w:sz w:val="17"/>
                <w:szCs w:val="17"/>
              </w:rPr>
              <w:t>10 %</w:t>
            </w:r>
          </w:p>
        </w:tc>
        <w:tc>
          <w:tcPr>
            <w:tcW w:w="1425" w:type="dxa"/>
            <w:shd w:val="clear" w:color="auto" w:fill="F2F5F7"/>
            <w:tcMar>
              <w:top w:w="60" w:type="dxa"/>
              <w:left w:w="90" w:type="dxa"/>
              <w:bottom w:w="60" w:type="dxa"/>
              <w:right w:w="90" w:type="dxa"/>
            </w:tcMar>
          </w:tcPr>
          <w:p w14:paraId="38B030C2" w14:textId="77777777" w:rsidR="00E8466D" w:rsidRDefault="00C47C5D">
            <w:pPr>
              <w:jc w:val="center"/>
            </w:pPr>
            <w:r>
              <w:rPr>
                <w:b/>
                <w:bCs/>
                <w:sz w:val="17"/>
                <w:szCs w:val="17"/>
              </w:rPr>
              <w:t>15 %</w:t>
            </w:r>
          </w:p>
        </w:tc>
        <w:tc>
          <w:tcPr>
            <w:tcW w:w="1425" w:type="dxa"/>
            <w:shd w:val="clear" w:color="auto" w:fill="F2F5F7"/>
            <w:tcMar>
              <w:top w:w="60" w:type="dxa"/>
              <w:left w:w="90" w:type="dxa"/>
              <w:bottom w:w="60" w:type="dxa"/>
              <w:right w:w="90" w:type="dxa"/>
            </w:tcMar>
          </w:tcPr>
          <w:p w14:paraId="5A4B5319" w14:textId="77777777" w:rsidR="00E8466D" w:rsidRDefault="00C47C5D">
            <w:pPr>
              <w:jc w:val="center"/>
            </w:pPr>
            <w:r>
              <w:rPr>
                <w:b/>
                <w:bCs/>
                <w:sz w:val="17"/>
                <w:szCs w:val="17"/>
              </w:rPr>
              <w:t>20 %</w:t>
            </w:r>
          </w:p>
        </w:tc>
      </w:tr>
      <w:tr w:rsidR="00E8466D" w14:paraId="1493A983" w14:textId="77777777">
        <w:tc>
          <w:tcPr>
            <w:tcW w:w="3727" w:type="dxa"/>
            <w:tcMar>
              <w:top w:w="60" w:type="dxa"/>
              <w:left w:w="90" w:type="dxa"/>
              <w:bottom w:w="60" w:type="dxa"/>
              <w:right w:w="90" w:type="dxa"/>
            </w:tcMar>
          </w:tcPr>
          <w:p w14:paraId="57C1F4EB" w14:textId="77777777" w:rsidR="00E8466D" w:rsidRDefault="00C47C5D">
            <w:r>
              <w:rPr>
                <w:sz w:val="17"/>
                <w:szCs w:val="17"/>
              </w:rPr>
              <w:t>No acreditados 9 % (valor S1)</w:t>
            </w:r>
          </w:p>
        </w:tc>
        <w:tc>
          <w:tcPr>
            <w:tcW w:w="1973" w:type="dxa"/>
            <w:tcMar>
              <w:top w:w="60" w:type="dxa"/>
              <w:left w:w="90" w:type="dxa"/>
              <w:bottom w:w="60" w:type="dxa"/>
              <w:right w:w="90" w:type="dxa"/>
            </w:tcMar>
          </w:tcPr>
          <w:p w14:paraId="46DDC83E" w14:textId="77777777" w:rsidR="00E8466D" w:rsidRDefault="00C47C5D">
            <w:pPr>
              <w:jc w:val="center"/>
            </w:pPr>
            <w:r>
              <w:rPr>
                <w:sz w:val="17"/>
                <w:szCs w:val="17"/>
              </w:rPr>
              <w:t>+44,1</w:t>
            </w:r>
          </w:p>
        </w:tc>
        <w:tc>
          <w:tcPr>
            <w:tcW w:w="1425" w:type="dxa"/>
            <w:tcMar>
              <w:top w:w="60" w:type="dxa"/>
              <w:left w:w="90" w:type="dxa"/>
              <w:bottom w:w="60" w:type="dxa"/>
              <w:right w:w="90" w:type="dxa"/>
            </w:tcMar>
          </w:tcPr>
          <w:p w14:paraId="4557C971" w14:textId="77777777" w:rsidR="00E8466D" w:rsidRDefault="00C47C5D">
            <w:pPr>
              <w:jc w:val="center"/>
            </w:pPr>
            <w:r>
              <w:rPr>
                <w:sz w:val="17"/>
                <w:szCs w:val="17"/>
              </w:rPr>
              <w:t>+38,8</w:t>
            </w:r>
          </w:p>
        </w:tc>
        <w:tc>
          <w:tcPr>
            <w:tcW w:w="1425" w:type="dxa"/>
            <w:tcMar>
              <w:top w:w="60" w:type="dxa"/>
              <w:left w:w="90" w:type="dxa"/>
              <w:bottom w:w="60" w:type="dxa"/>
              <w:right w:w="90" w:type="dxa"/>
            </w:tcMar>
          </w:tcPr>
          <w:p w14:paraId="53D7C280" w14:textId="77777777" w:rsidR="00E8466D" w:rsidRDefault="00C47C5D">
            <w:pPr>
              <w:jc w:val="center"/>
            </w:pPr>
            <w:r>
              <w:rPr>
                <w:sz w:val="17"/>
                <w:szCs w:val="17"/>
              </w:rPr>
              <w:t>+43,6</w:t>
            </w:r>
          </w:p>
        </w:tc>
        <w:tc>
          <w:tcPr>
            <w:tcW w:w="1425" w:type="dxa"/>
            <w:tcMar>
              <w:top w:w="60" w:type="dxa"/>
              <w:left w:w="90" w:type="dxa"/>
              <w:bottom w:w="60" w:type="dxa"/>
              <w:right w:w="90" w:type="dxa"/>
            </w:tcMar>
          </w:tcPr>
          <w:p w14:paraId="174D8929" w14:textId="77777777" w:rsidR="00E8466D" w:rsidRDefault="00C47C5D">
            <w:pPr>
              <w:jc w:val="center"/>
            </w:pPr>
            <w:r>
              <w:rPr>
                <w:sz w:val="17"/>
                <w:szCs w:val="17"/>
              </w:rPr>
              <w:t>+44,1</w:t>
            </w:r>
          </w:p>
        </w:tc>
      </w:tr>
      <w:tr w:rsidR="00E8466D" w14:paraId="7AE37FBF" w14:textId="77777777">
        <w:tc>
          <w:tcPr>
            <w:tcW w:w="3727" w:type="dxa"/>
            <w:tcMar>
              <w:top w:w="60" w:type="dxa"/>
              <w:left w:w="90" w:type="dxa"/>
              <w:bottom w:w="60" w:type="dxa"/>
              <w:right w:w="90" w:type="dxa"/>
            </w:tcMar>
          </w:tcPr>
          <w:p w14:paraId="7FDAC23B" w14:textId="77777777" w:rsidR="00E8466D" w:rsidRDefault="00C47C5D">
            <w:r>
              <w:rPr>
                <w:sz w:val="17"/>
                <w:szCs w:val="17"/>
              </w:rPr>
              <w:t>No acreditados 20 %</w:t>
            </w:r>
          </w:p>
        </w:tc>
        <w:tc>
          <w:tcPr>
            <w:tcW w:w="1973" w:type="dxa"/>
            <w:tcMar>
              <w:top w:w="60" w:type="dxa"/>
              <w:left w:w="90" w:type="dxa"/>
              <w:bottom w:w="60" w:type="dxa"/>
              <w:right w:w="90" w:type="dxa"/>
            </w:tcMar>
          </w:tcPr>
          <w:p w14:paraId="065A41C1" w14:textId="77777777" w:rsidR="00E8466D" w:rsidRDefault="00C47C5D">
            <w:pPr>
              <w:jc w:val="center"/>
            </w:pPr>
            <w:r>
              <w:rPr>
                <w:sz w:val="17"/>
                <w:szCs w:val="17"/>
              </w:rPr>
              <w:t>+47,0</w:t>
            </w:r>
          </w:p>
        </w:tc>
        <w:tc>
          <w:tcPr>
            <w:tcW w:w="1425" w:type="dxa"/>
            <w:tcMar>
              <w:top w:w="60" w:type="dxa"/>
              <w:left w:w="90" w:type="dxa"/>
              <w:bottom w:w="60" w:type="dxa"/>
              <w:right w:w="90" w:type="dxa"/>
            </w:tcMar>
          </w:tcPr>
          <w:p w14:paraId="4F994761" w14:textId="77777777" w:rsidR="00E8466D" w:rsidRDefault="00C47C5D">
            <w:pPr>
              <w:jc w:val="center"/>
            </w:pPr>
            <w:r>
              <w:rPr>
                <w:sz w:val="17"/>
                <w:szCs w:val="17"/>
              </w:rPr>
              <w:t>+38,9</w:t>
            </w:r>
          </w:p>
        </w:tc>
        <w:tc>
          <w:tcPr>
            <w:tcW w:w="1425" w:type="dxa"/>
            <w:tcMar>
              <w:top w:w="60" w:type="dxa"/>
              <w:left w:w="90" w:type="dxa"/>
              <w:bottom w:w="60" w:type="dxa"/>
              <w:right w:w="90" w:type="dxa"/>
            </w:tcMar>
          </w:tcPr>
          <w:p w14:paraId="46542BE8" w14:textId="77777777" w:rsidR="00E8466D" w:rsidRDefault="00C47C5D">
            <w:pPr>
              <w:jc w:val="center"/>
            </w:pPr>
            <w:r>
              <w:rPr>
                <w:sz w:val="17"/>
                <w:szCs w:val="17"/>
              </w:rPr>
              <w:t>+32,7</w:t>
            </w:r>
          </w:p>
        </w:tc>
        <w:tc>
          <w:tcPr>
            <w:tcW w:w="1425" w:type="dxa"/>
            <w:tcMar>
              <w:top w:w="60" w:type="dxa"/>
              <w:left w:w="90" w:type="dxa"/>
              <w:bottom w:w="60" w:type="dxa"/>
              <w:right w:w="90" w:type="dxa"/>
            </w:tcMar>
          </w:tcPr>
          <w:p w14:paraId="26252AB1" w14:textId="77777777" w:rsidR="00E8466D" w:rsidRDefault="00C47C5D">
            <w:pPr>
              <w:jc w:val="center"/>
            </w:pPr>
            <w:r>
              <w:rPr>
                <w:sz w:val="17"/>
                <w:szCs w:val="17"/>
              </w:rPr>
              <w:t>+27,8</w:t>
            </w:r>
          </w:p>
        </w:tc>
      </w:tr>
      <w:tr w:rsidR="00E8466D" w14:paraId="64EE4E1A" w14:textId="77777777">
        <w:tc>
          <w:tcPr>
            <w:tcW w:w="3727" w:type="dxa"/>
            <w:tcMar>
              <w:top w:w="60" w:type="dxa"/>
              <w:left w:w="90" w:type="dxa"/>
              <w:bottom w:w="60" w:type="dxa"/>
              <w:right w:w="90" w:type="dxa"/>
            </w:tcMar>
          </w:tcPr>
          <w:p w14:paraId="04A8AC1D" w14:textId="77777777" w:rsidR="00E8466D" w:rsidRDefault="00C47C5D">
            <w:r>
              <w:rPr>
                <w:sz w:val="17"/>
                <w:szCs w:val="17"/>
              </w:rPr>
              <w:t>No acreditados 35 %</w:t>
            </w:r>
          </w:p>
        </w:tc>
        <w:tc>
          <w:tcPr>
            <w:tcW w:w="1973" w:type="dxa"/>
            <w:tcMar>
              <w:top w:w="60" w:type="dxa"/>
              <w:left w:w="90" w:type="dxa"/>
              <w:bottom w:w="60" w:type="dxa"/>
              <w:right w:w="90" w:type="dxa"/>
            </w:tcMar>
          </w:tcPr>
          <w:p w14:paraId="55DF9366" w14:textId="77777777" w:rsidR="00E8466D" w:rsidRDefault="00C47C5D">
            <w:pPr>
              <w:jc w:val="center"/>
            </w:pPr>
            <w:r>
              <w:rPr>
                <w:sz w:val="17"/>
                <w:szCs w:val="17"/>
              </w:rPr>
              <w:t>+49,9</w:t>
            </w:r>
          </w:p>
        </w:tc>
        <w:tc>
          <w:tcPr>
            <w:tcW w:w="1425" w:type="dxa"/>
            <w:tcMar>
              <w:top w:w="60" w:type="dxa"/>
              <w:left w:w="90" w:type="dxa"/>
              <w:bottom w:w="60" w:type="dxa"/>
              <w:right w:w="90" w:type="dxa"/>
            </w:tcMar>
          </w:tcPr>
          <w:p w14:paraId="7D26991A" w14:textId="77777777" w:rsidR="00E8466D" w:rsidRDefault="00C47C5D">
            <w:pPr>
              <w:jc w:val="center"/>
            </w:pPr>
            <w:r>
              <w:rPr>
                <w:sz w:val="17"/>
                <w:szCs w:val="17"/>
              </w:rPr>
              <w:t>+42,7</w:t>
            </w:r>
          </w:p>
        </w:tc>
        <w:tc>
          <w:tcPr>
            <w:tcW w:w="1425" w:type="dxa"/>
            <w:tcMar>
              <w:top w:w="60" w:type="dxa"/>
              <w:left w:w="90" w:type="dxa"/>
              <w:bottom w:w="60" w:type="dxa"/>
              <w:right w:w="90" w:type="dxa"/>
            </w:tcMar>
          </w:tcPr>
          <w:p w14:paraId="4CCC6D9C" w14:textId="77777777" w:rsidR="00E8466D" w:rsidRDefault="00C47C5D">
            <w:pPr>
              <w:jc w:val="center"/>
            </w:pPr>
            <w:r>
              <w:rPr>
                <w:sz w:val="17"/>
                <w:szCs w:val="17"/>
              </w:rPr>
              <w:t>+36,8</w:t>
            </w:r>
          </w:p>
        </w:tc>
        <w:tc>
          <w:tcPr>
            <w:tcW w:w="1425" w:type="dxa"/>
            <w:tcMar>
              <w:top w:w="60" w:type="dxa"/>
              <w:left w:w="90" w:type="dxa"/>
              <w:bottom w:w="60" w:type="dxa"/>
              <w:right w:w="90" w:type="dxa"/>
            </w:tcMar>
          </w:tcPr>
          <w:p w14:paraId="5995DA8E" w14:textId="77777777" w:rsidR="00E8466D" w:rsidRDefault="00C47C5D">
            <w:pPr>
              <w:jc w:val="center"/>
            </w:pPr>
            <w:r>
              <w:rPr>
                <w:sz w:val="17"/>
                <w:szCs w:val="17"/>
              </w:rPr>
              <w:t>+32,0</w:t>
            </w:r>
          </w:p>
        </w:tc>
      </w:tr>
      <w:tr w:rsidR="00E8466D" w14:paraId="3BC17300" w14:textId="77777777">
        <w:tc>
          <w:tcPr>
            <w:tcW w:w="3727" w:type="dxa"/>
            <w:tcMar>
              <w:top w:w="60" w:type="dxa"/>
              <w:left w:w="90" w:type="dxa"/>
              <w:bottom w:w="60" w:type="dxa"/>
              <w:right w:w="90" w:type="dxa"/>
            </w:tcMar>
          </w:tcPr>
          <w:p w14:paraId="25373774" w14:textId="77777777" w:rsidR="00E8466D" w:rsidRDefault="00C47C5D">
            <w:r>
              <w:rPr>
                <w:sz w:val="17"/>
                <w:szCs w:val="17"/>
              </w:rPr>
              <w:t>No acreditados 50 %</w:t>
            </w:r>
          </w:p>
        </w:tc>
        <w:tc>
          <w:tcPr>
            <w:tcW w:w="1973" w:type="dxa"/>
            <w:tcMar>
              <w:top w:w="60" w:type="dxa"/>
              <w:left w:w="90" w:type="dxa"/>
              <w:bottom w:w="60" w:type="dxa"/>
              <w:right w:w="90" w:type="dxa"/>
            </w:tcMar>
          </w:tcPr>
          <w:p w14:paraId="52572838" w14:textId="77777777" w:rsidR="00E8466D" w:rsidRDefault="00C47C5D">
            <w:pPr>
              <w:jc w:val="center"/>
            </w:pPr>
            <w:r>
              <w:rPr>
                <w:sz w:val="17"/>
                <w:szCs w:val="17"/>
              </w:rPr>
              <w:t>+51,3</w:t>
            </w:r>
          </w:p>
        </w:tc>
        <w:tc>
          <w:tcPr>
            <w:tcW w:w="1425" w:type="dxa"/>
            <w:tcMar>
              <w:top w:w="60" w:type="dxa"/>
              <w:left w:w="90" w:type="dxa"/>
              <w:bottom w:w="60" w:type="dxa"/>
              <w:right w:w="90" w:type="dxa"/>
            </w:tcMar>
          </w:tcPr>
          <w:p w14:paraId="74AEC654" w14:textId="77777777" w:rsidR="00E8466D" w:rsidRDefault="00C47C5D">
            <w:pPr>
              <w:jc w:val="center"/>
            </w:pPr>
            <w:r>
              <w:rPr>
                <w:sz w:val="17"/>
                <w:szCs w:val="17"/>
              </w:rPr>
              <w:t>+45,6</w:t>
            </w:r>
          </w:p>
        </w:tc>
        <w:tc>
          <w:tcPr>
            <w:tcW w:w="1425" w:type="dxa"/>
            <w:tcMar>
              <w:top w:w="60" w:type="dxa"/>
              <w:left w:w="90" w:type="dxa"/>
              <w:bottom w:w="60" w:type="dxa"/>
              <w:right w:w="90" w:type="dxa"/>
            </w:tcMar>
          </w:tcPr>
          <w:p w14:paraId="6FFB8A7C" w14:textId="77777777" w:rsidR="00E8466D" w:rsidRDefault="00C47C5D">
            <w:pPr>
              <w:jc w:val="center"/>
            </w:pPr>
            <w:r>
              <w:rPr>
                <w:sz w:val="17"/>
                <w:szCs w:val="17"/>
              </w:rPr>
              <w:t>+40,1</w:t>
            </w:r>
          </w:p>
        </w:tc>
        <w:tc>
          <w:tcPr>
            <w:tcW w:w="1425" w:type="dxa"/>
            <w:tcMar>
              <w:top w:w="60" w:type="dxa"/>
              <w:left w:w="90" w:type="dxa"/>
              <w:bottom w:w="60" w:type="dxa"/>
              <w:right w:w="90" w:type="dxa"/>
            </w:tcMar>
          </w:tcPr>
          <w:p w14:paraId="1FFCAE8F" w14:textId="77777777" w:rsidR="00E8466D" w:rsidRDefault="00C47C5D">
            <w:pPr>
              <w:jc w:val="center"/>
            </w:pPr>
            <w:r>
              <w:rPr>
                <w:sz w:val="17"/>
                <w:szCs w:val="17"/>
              </w:rPr>
              <w:t>+35,6</w:t>
            </w:r>
          </w:p>
        </w:tc>
      </w:tr>
    </w:tbl>
    <w:p w14:paraId="076592AE" w14:textId="77777777" w:rsidR="00E8466D" w:rsidRDefault="00E8466D">
      <w:pPr>
        <w:spacing w:after="110"/>
      </w:pPr>
    </w:p>
    <w:p w14:paraId="5EB8E238" w14:textId="77777777" w:rsidR="00E8466D" w:rsidRDefault="00C47C5D">
      <w:pPr>
        <w:spacing w:before="140" w:after="40"/>
        <w:jc w:val="center"/>
      </w:pPr>
      <w:r>
        <w:rPr>
          <w:noProof/>
        </w:rPr>
        <w:drawing>
          <wp:inline distT="0" distB="0" distL="0" distR="0" wp14:anchorId="4771B168" wp14:editId="6FAFCA68">
            <wp:extent cx="4104000" cy="2529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ensibilidad.png"/>
                    <pic:cNvPicPr/>
                  </pic:nvPicPr>
                  <pic:blipFill>
                    <a:blip r:embed="rId12"/>
                    <a:stretch>
                      <a:fillRect/>
                    </a:stretch>
                  </pic:blipFill>
                  <pic:spPr>
                    <a:xfrm>
                      <a:off x="0" y="0"/>
                      <a:ext cx="4104000" cy="2529669"/>
                    </a:xfrm>
                    <a:prstGeom prst="rect">
                      <a:avLst/>
                    </a:prstGeom>
                  </pic:spPr>
                </pic:pic>
              </a:graphicData>
            </a:graphic>
          </wp:inline>
        </w:drawing>
      </w:r>
    </w:p>
    <w:p w14:paraId="75CB6358" w14:textId="77777777" w:rsidR="00E8466D" w:rsidRDefault="00C47C5D">
      <w:pPr>
        <w:spacing w:after="160"/>
        <w:jc w:val="center"/>
      </w:pPr>
      <w:r>
        <w:rPr>
          <w:i/>
          <w:color w:val="555555"/>
          <w:sz w:val="16"/>
        </w:rPr>
        <w:t>Figura 5. Ventaja relativa de focalizar por abandono en los dieciséis escenarios examinados.</w:t>
      </w:r>
    </w:p>
    <w:p w14:paraId="16AF217B" w14:textId="77777777" w:rsidR="00E8466D" w:rsidRDefault="00C47C5D">
      <w:pPr>
        <w:spacing w:after="120" w:line="264" w:lineRule="auto"/>
        <w:jc w:val="both"/>
      </w:pPr>
      <w:r>
        <w:rPr>
          <w:b/>
          <w:bCs/>
        </w:rPr>
        <w:t>La ventaja se mantiene entre el 28 y el 51 % en los dieciséis escenarios.</w:t>
      </w:r>
      <w:r>
        <w:t xml:space="preserve"> Ni siquiera multiplicando por cinco la proporción de programas no acreditados la estrategia por acreditación llega a competir. Sustituir además la distribución generadora, de normal truncada a Beta ajustada por momentos a las mismas medias y desviaciones, reduce la ventaja de 8.462 a 7.958 estudiantes —un 6 %— y la estrategia B sigue ganando en el 100 % de las iteraciones: </w:t>
      </w:r>
      <w:r>
        <w:rPr>
          <w:b/>
          <w:bCs/>
        </w:rPr>
        <w:t>el resultado no es un artefacto de la forma supuesta</w:t>
      </w:r>
      <w:r>
        <w:t xml:space="preserve"> sino una consecuencia de la dispersión del abandono.</w:t>
      </w:r>
    </w:p>
    <w:p w14:paraId="57A41E8F" w14:textId="77777777" w:rsidR="00E8466D" w:rsidRDefault="00C47C5D">
      <w:pPr>
        <w:spacing w:before="60" w:after="140"/>
        <w:jc w:val="both"/>
      </w:pPr>
      <w:r>
        <w:rPr>
          <w:i/>
          <w:iCs/>
          <w:color w:val="444444"/>
          <w:sz w:val="17"/>
          <w:szCs w:val="17"/>
        </w:rPr>
        <w:t>Todo lo anterior valida el procedimiento, no el dato. El abandono sigue siendo aparente, la unidad sigue siendo el programa y las asociaciones siguen sin ser causas. Ningún método de remuestreo puede corregir un sesgo de construcción, porque remuestrea exactamente los mismos datos que lo contienen.</w:t>
      </w:r>
    </w:p>
    <w:p w14:paraId="4E353A9A" w14:textId="77777777" w:rsidR="00E8466D" w:rsidRDefault="00C47C5D">
      <w:pPr>
        <w:pStyle w:val="Heading1"/>
        <w:spacing w:before="260" w:after="130"/>
      </w:pPr>
      <w:bookmarkStart w:id="8" w:name="_Toc242818263"/>
      <w:r>
        <w:rPr>
          <w:b/>
          <w:bCs/>
          <w:color w:val="1F3864"/>
          <w:sz w:val="26"/>
          <w:szCs w:val="26"/>
        </w:rPr>
        <w:t>7. Resultados validados para la Sumativa 3</w:t>
      </w:r>
      <w:bookmarkEnd w:id="8"/>
    </w:p>
    <w:p w14:paraId="6B15F9F0" w14:textId="77777777" w:rsidR="00E8466D" w:rsidRDefault="00C47C5D">
      <w:pPr>
        <w:spacing w:after="120" w:line="264" w:lineRule="auto"/>
        <w:jc w:val="both"/>
      </w:pPr>
      <w:r>
        <w:t xml:space="preserve">El archivo </w:t>
      </w:r>
      <w:r>
        <w:rPr>
          <w:rFonts w:ascii="Consolas" w:eastAsia="Consolas" w:hAnsi="Consolas" w:cs="Consolas"/>
          <w:sz w:val="18"/>
          <w:szCs w:val="18"/>
        </w:rPr>
        <w:t>resultados_validados.csv</w:t>
      </w:r>
      <w:r>
        <w:t>, en la raíz del repositorio, recoge en forma legible por máquina el veredicto de cada resultado sometido a validación, junto con los intervalos clásico y bootstrap y las recomendaciones metodológicas. Su contenido se resume así:</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4142"/>
        <w:gridCol w:w="1488"/>
        <w:gridCol w:w="4338"/>
      </w:tblGrid>
      <w:tr w:rsidR="00E8466D" w14:paraId="17D26204" w14:textId="77777777">
        <w:trPr>
          <w:tblHeader/>
        </w:trPr>
        <w:tc>
          <w:tcPr>
            <w:tcW w:w="4200" w:type="dxa"/>
            <w:shd w:val="clear" w:color="auto" w:fill="F2F5F7"/>
            <w:tcMar>
              <w:top w:w="60" w:type="dxa"/>
              <w:left w:w="90" w:type="dxa"/>
              <w:bottom w:w="60" w:type="dxa"/>
              <w:right w:w="90" w:type="dxa"/>
            </w:tcMar>
          </w:tcPr>
          <w:p w14:paraId="45225DC7" w14:textId="77777777" w:rsidR="00E8466D" w:rsidRDefault="00C47C5D">
            <w:r>
              <w:rPr>
                <w:b/>
                <w:bCs/>
                <w:sz w:val="17"/>
                <w:szCs w:val="17"/>
              </w:rPr>
              <w:t>Resultado</w:t>
            </w:r>
          </w:p>
        </w:tc>
        <w:tc>
          <w:tcPr>
            <w:tcW w:w="1500" w:type="dxa"/>
            <w:shd w:val="clear" w:color="auto" w:fill="F2F5F7"/>
            <w:tcMar>
              <w:top w:w="60" w:type="dxa"/>
              <w:left w:w="90" w:type="dxa"/>
              <w:bottom w:w="60" w:type="dxa"/>
              <w:right w:w="90" w:type="dxa"/>
            </w:tcMar>
          </w:tcPr>
          <w:p w14:paraId="52748338" w14:textId="77777777" w:rsidR="00E8466D" w:rsidRDefault="00C47C5D">
            <w:pPr>
              <w:jc w:val="center"/>
            </w:pPr>
            <w:r>
              <w:rPr>
                <w:b/>
                <w:bCs/>
                <w:sz w:val="17"/>
                <w:szCs w:val="17"/>
              </w:rPr>
              <w:t>Veredicto</w:t>
            </w:r>
          </w:p>
        </w:tc>
        <w:tc>
          <w:tcPr>
            <w:tcW w:w="4400" w:type="dxa"/>
            <w:shd w:val="clear" w:color="auto" w:fill="F2F5F7"/>
            <w:tcMar>
              <w:top w:w="60" w:type="dxa"/>
              <w:left w:w="90" w:type="dxa"/>
              <w:bottom w:w="60" w:type="dxa"/>
              <w:right w:w="90" w:type="dxa"/>
            </w:tcMar>
          </w:tcPr>
          <w:p w14:paraId="5ADAD2B5" w14:textId="77777777" w:rsidR="00E8466D" w:rsidRDefault="00C47C5D">
            <w:r>
              <w:rPr>
                <w:b/>
                <w:bCs/>
                <w:sz w:val="17"/>
                <w:szCs w:val="17"/>
              </w:rPr>
              <w:t>Base de la decisión</w:t>
            </w:r>
          </w:p>
        </w:tc>
      </w:tr>
      <w:tr w:rsidR="00E8466D" w14:paraId="2E48157A" w14:textId="77777777">
        <w:tc>
          <w:tcPr>
            <w:tcW w:w="4200" w:type="dxa"/>
            <w:tcMar>
              <w:top w:w="60" w:type="dxa"/>
              <w:left w:w="90" w:type="dxa"/>
              <w:bottom w:w="60" w:type="dxa"/>
              <w:right w:w="90" w:type="dxa"/>
            </w:tcMar>
          </w:tcPr>
          <w:p w14:paraId="7D06FB62" w14:textId="77777777" w:rsidR="00E8466D" w:rsidRDefault="00C47C5D">
            <w:r>
              <w:rPr>
                <w:sz w:val="17"/>
                <w:szCs w:val="17"/>
              </w:rPr>
              <w:t>Las cuatro medias y proporciones estimadas</w:t>
            </w:r>
          </w:p>
        </w:tc>
        <w:tc>
          <w:tcPr>
            <w:tcW w:w="1500" w:type="dxa"/>
            <w:tcMar>
              <w:top w:w="60" w:type="dxa"/>
              <w:left w:w="90" w:type="dxa"/>
              <w:bottom w:w="60" w:type="dxa"/>
              <w:right w:w="90" w:type="dxa"/>
            </w:tcMar>
          </w:tcPr>
          <w:p w14:paraId="0FE6C6D5" w14:textId="77777777" w:rsidR="00E8466D" w:rsidRDefault="00C47C5D">
            <w:pPr>
              <w:jc w:val="center"/>
            </w:pPr>
            <w:r>
              <w:rPr>
                <w:sz w:val="17"/>
                <w:szCs w:val="17"/>
              </w:rPr>
              <w:t>Robustos</w:t>
            </w:r>
          </w:p>
        </w:tc>
        <w:tc>
          <w:tcPr>
            <w:tcW w:w="4400" w:type="dxa"/>
            <w:tcMar>
              <w:top w:w="60" w:type="dxa"/>
              <w:left w:w="90" w:type="dxa"/>
              <w:bottom w:w="60" w:type="dxa"/>
              <w:right w:w="90" w:type="dxa"/>
            </w:tcMar>
          </w:tcPr>
          <w:p w14:paraId="23667FF8" w14:textId="77777777" w:rsidR="00E8466D" w:rsidRDefault="00C47C5D">
            <w:r>
              <w:rPr>
                <w:sz w:val="17"/>
                <w:szCs w:val="17"/>
              </w:rPr>
              <w:t>IC bootstrap coincide con el clásico, discrepancia &lt; 0,9 %</w:t>
            </w:r>
          </w:p>
        </w:tc>
      </w:tr>
      <w:tr w:rsidR="00E8466D" w14:paraId="25E23BD8" w14:textId="77777777">
        <w:tc>
          <w:tcPr>
            <w:tcW w:w="4200" w:type="dxa"/>
            <w:tcMar>
              <w:top w:w="60" w:type="dxa"/>
              <w:left w:w="90" w:type="dxa"/>
              <w:bottom w:w="60" w:type="dxa"/>
              <w:right w:w="90" w:type="dxa"/>
            </w:tcMar>
          </w:tcPr>
          <w:p w14:paraId="1E6CAEA2" w14:textId="77777777" w:rsidR="00E8466D" w:rsidRDefault="00C47C5D">
            <w:r>
              <w:rPr>
                <w:sz w:val="17"/>
                <w:szCs w:val="17"/>
              </w:rPr>
              <w:lastRenderedPageBreak/>
              <w:t>Contraste sobre la acreditación</w:t>
            </w:r>
          </w:p>
        </w:tc>
        <w:tc>
          <w:tcPr>
            <w:tcW w:w="1500" w:type="dxa"/>
            <w:tcMar>
              <w:top w:w="60" w:type="dxa"/>
              <w:left w:w="90" w:type="dxa"/>
              <w:bottom w:w="60" w:type="dxa"/>
              <w:right w:w="90" w:type="dxa"/>
            </w:tcMar>
          </w:tcPr>
          <w:p w14:paraId="4A743100" w14:textId="77777777" w:rsidR="00E8466D" w:rsidRDefault="00C47C5D">
            <w:pPr>
              <w:jc w:val="center"/>
            </w:pPr>
            <w:r>
              <w:rPr>
                <w:sz w:val="17"/>
                <w:szCs w:val="17"/>
              </w:rPr>
              <w:t>Robusto</w:t>
            </w:r>
          </w:p>
        </w:tc>
        <w:tc>
          <w:tcPr>
            <w:tcW w:w="4400" w:type="dxa"/>
            <w:tcMar>
              <w:top w:w="60" w:type="dxa"/>
              <w:left w:w="90" w:type="dxa"/>
              <w:bottom w:w="60" w:type="dxa"/>
              <w:right w:w="90" w:type="dxa"/>
            </w:tcMar>
          </w:tcPr>
          <w:p w14:paraId="6688B706" w14:textId="77777777" w:rsidR="00E8466D" w:rsidRDefault="00C47C5D">
            <w:r>
              <w:rPr>
                <w:sz w:val="17"/>
                <w:szCs w:val="17"/>
              </w:rPr>
              <w:t>Permutación y Welch concuerdan sin supuestos</w:t>
            </w:r>
          </w:p>
        </w:tc>
      </w:tr>
      <w:tr w:rsidR="00E8466D" w14:paraId="37CEC1EA" w14:textId="77777777">
        <w:tc>
          <w:tcPr>
            <w:tcW w:w="4200" w:type="dxa"/>
            <w:tcMar>
              <w:top w:w="60" w:type="dxa"/>
              <w:left w:w="90" w:type="dxa"/>
              <w:bottom w:w="60" w:type="dxa"/>
              <w:right w:w="90" w:type="dxa"/>
            </w:tcMar>
          </w:tcPr>
          <w:p w14:paraId="731E9F10" w14:textId="77777777" w:rsidR="00E8466D" w:rsidRDefault="00C47C5D">
            <w:r>
              <w:rPr>
                <w:sz w:val="17"/>
                <w:szCs w:val="17"/>
              </w:rPr>
              <w:t>Tres correlaciones fuertes</w:t>
            </w:r>
          </w:p>
        </w:tc>
        <w:tc>
          <w:tcPr>
            <w:tcW w:w="1500" w:type="dxa"/>
            <w:tcMar>
              <w:top w:w="60" w:type="dxa"/>
              <w:left w:w="90" w:type="dxa"/>
              <w:bottom w:w="60" w:type="dxa"/>
              <w:right w:w="90" w:type="dxa"/>
            </w:tcMar>
          </w:tcPr>
          <w:p w14:paraId="78C92198" w14:textId="77777777" w:rsidR="00E8466D" w:rsidRDefault="00C47C5D">
            <w:pPr>
              <w:jc w:val="center"/>
            </w:pPr>
            <w:r>
              <w:rPr>
                <w:sz w:val="17"/>
                <w:szCs w:val="17"/>
              </w:rPr>
              <w:t>Estables</w:t>
            </w:r>
          </w:p>
        </w:tc>
        <w:tc>
          <w:tcPr>
            <w:tcW w:w="4400" w:type="dxa"/>
            <w:tcMar>
              <w:top w:w="60" w:type="dxa"/>
              <w:left w:w="90" w:type="dxa"/>
              <w:bottom w:w="60" w:type="dxa"/>
              <w:right w:w="90" w:type="dxa"/>
            </w:tcMar>
          </w:tcPr>
          <w:p w14:paraId="571ABCED" w14:textId="77777777" w:rsidR="00E8466D" w:rsidRDefault="00C47C5D">
            <w:r>
              <w:rPr>
                <w:sz w:val="17"/>
                <w:szCs w:val="17"/>
              </w:rPr>
              <w:t>IC bootstrap estrecho y lejos del cero</w:t>
            </w:r>
          </w:p>
        </w:tc>
      </w:tr>
      <w:tr w:rsidR="00E8466D" w14:paraId="5579D1B7" w14:textId="77777777">
        <w:tc>
          <w:tcPr>
            <w:tcW w:w="4200" w:type="dxa"/>
            <w:tcMar>
              <w:top w:w="60" w:type="dxa"/>
              <w:left w:w="90" w:type="dxa"/>
              <w:bottom w:w="60" w:type="dxa"/>
              <w:right w:w="90" w:type="dxa"/>
            </w:tcMar>
          </w:tcPr>
          <w:p w14:paraId="11F2047A" w14:textId="77777777" w:rsidR="00E8466D" w:rsidRDefault="00C47C5D">
            <w:r>
              <w:rPr>
                <w:sz w:val="17"/>
                <w:szCs w:val="17"/>
              </w:rPr>
              <w:t>Correlación con egreso municipal</w:t>
            </w:r>
          </w:p>
        </w:tc>
        <w:tc>
          <w:tcPr>
            <w:tcW w:w="1500" w:type="dxa"/>
            <w:tcMar>
              <w:top w:w="60" w:type="dxa"/>
              <w:left w:w="90" w:type="dxa"/>
              <w:bottom w:w="60" w:type="dxa"/>
              <w:right w:w="90" w:type="dxa"/>
            </w:tcMar>
          </w:tcPr>
          <w:p w14:paraId="0CA28754" w14:textId="77777777" w:rsidR="00E8466D" w:rsidRDefault="00C47C5D">
            <w:pPr>
              <w:jc w:val="center"/>
            </w:pPr>
            <w:r>
              <w:rPr>
                <w:sz w:val="17"/>
                <w:szCs w:val="17"/>
              </w:rPr>
              <w:t>Débil</w:t>
            </w:r>
          </w:p>
        </w:tc>
        <w:tc>
          <w:tcPr>
            <w:tcW w:w="4400" w:type="dxa"/>
            <w:tcMar>
              <w:top w:w="60" w:type="dxa"/>
              <w:left w:w="90" w:type="dxa"/>
              <w:bottom w:w="60" w:type="dxa"/>
              <w:right w:w="90" w:type="dxa"/>
            </w:tcMar>
          </w:tcPr>
          <w:p w14:paraId="522E4E2C" w14:textId="77777777" w:rsidR="00E8466D" w:rsidRDefault="00C47C5D">
            <w:r>
              <w:rPr>
                <w:sz w:val="17"/>
                <w:szCs w:val="17"/>
              </w:rPr>
              <w:t>Signo definido, magnitud irrelevante</w:t>
            </w:r>
          </w:p>
        </w:tc>
      </w:tr>
      <w:tr w:rsidR="00E8466D" w14:paraId="7EF563AA" w14:textId="77777777">
        <w:tc>
          <w:tcPr>
            <w:tcW w:w="4200" w:type="dxa"/>
            <w:tcMar>
              <w:top w:w="60" w:type="dxa"/>
              <w:left w:w="90" w:type="dxa"/>
              <w:bottom w:w="60" w:type="dxa"/>
              <w:right w:w="90" w:type="dxa"/>
            </w:tcMar>
          </w:tcPr>
          <w:p w14:paraId="3D6F2A41" w14:textId="77777777" w:rsidR="00E8466D" w:rsidRDefault="00C47C5D">
            <w:r>
              <w:rPr>
                <w:sz w:val="17"/>
                <w:szCs w:val="17"/>
              </w:rPr>
              <w:t>Ventaja de focalizar por abandono</w:t>
            </w:r>
          </w:p>
        </w:tc>
        <w:tc>
          <w:tcPr>
            <w:tcW w:w="1500" w:type="dxa"/>
            <w:tcMar>
              <w:top w:w="60" w:type="dxa"/>
              <w:left w:w="90" w:type="dxa"/>
              <w:bottom w:w="60" w:type="dxa"/>
              <w:right w:w="90" w:type="dxa"/>
            </w:tcMar>
          </w:tcPr>
          <w:p w14:paraId="6CB4D21B" w14:textId="77777777" w:rsidR="00E8466D" w:rsidRDefault="00C47C5D">
            <w:pPr>
              <w:jc w:val="center"/>
            </w:pPr>
            <w:r>
              <w:rPr>
                <w:sz w:val="17"/>
                <w:szCs w:val="17"/>
              </w:rPr>
              <w:t>Robusta</w:t>
            </w:r>
          </w:p>
        </w:tc>
        <w:tc>
          <w:tcPr>
            <w:tcW w:w="4400" w:type="dxa"/>
            <w:tcMar>
              <w:top w:w="60" w:type="dxa"/>
              <w:left w:w="90" w:type="dxa"/>
              <w:bottom w:w="60" w:type="dxa"/>
              <w:right w:w="90" w:type="dxa"/>
            </w:tcMar>
          </w:tcPr>
          <w:p w14:paraId="6FED557C" w14:textId="77777777" w:rsidR="00E8466D" w:rsidRDefault="00C47C5D">
            <w:r>
              <w:rPr>
                <w:sz w:val="17"/>
                <w:szCs w:val="17"/>
              </w:rPr>
              <w:t>Persiste en 16 escenarios y con otra distribución</w:t>
            </w:r>
          </w:p>
        </w:tc>
      </w:tr>
      <w:tr w:rsidR="00E8466D" w14:paraId="770FAF87" w14:textId="77777777">
        <w:tc>
          <w:tcPr>
            <w:tcW w:w="4200" w:type="dxa"/>
            <w:tcMar>
              <w:top w:w="60" w:type="dxa"/>
              <w:left w:w="90" w:type="dxa"/>
              <w:bottom w:w="60" w:type="dxa"/>
              <w:right w:w="90" w:type="dxa"/>
            </w:tcMar>
          </w:tcPr>
          <w:p w14:paraId="26FD6712" w14:textId="77777777" w:rsidR="00E8466D" w:rsidRDefault="00C47C5D">
            <w:r>
              <w:rPr>
                <w:sz w:val="17"/>
                <w:szCs w:val="17"/>
              </w:rPr>
              <w:t>465 programas censurados</w:t>
            </w:r>
          </w:p>
        </w:tc>
        <w:tc>
          <w:tcPr>
            <w:tcW w:w="1500" w:type="dxa"/>
            <w:tcMar>
              <w:top w:w="60" w:type="dxa"/>
              <w:left w:w="90" w:type="dxa"/>
              <w:bottom w:w="60" w:type="dxa"/>
              <w:right w:w="90" w:type="dxa"/>
            </w:tcMar>
          </w:tcPr>
          <w:p w14:paraId="6267F02F" w14:textId="77777777" w:rsidR="00E8466D" w:rsidRDefault="00C47C5D">
            <w:pPr>
              <w:jc w:val="center"/>
            </w:pPr>
            <w:r>
              <w:rPr>
                <w:sz w:val="17"/>
                <w:szCs w:val="17"/>
              </w:rPr>
              <w:t>Sensible</w:t>
            </w:r>
          </w:p>
        </w:tc>
        <w:tc>
          <w:tcPr>
            <w:tcW w:w="4400" w:type="dxa"/>
            <w:tcMar>
              <w:top w:w="60" w:type="dxa"/>
              <w:left w:w="90" w:type="dxa"/>
              <w:bottom w:w="60" w:type="dxa"/>
              <w:right w:w="90" w:type="dxa"/>
            </w:tcMar>
          </w:tcPr>
          <w:p w14:paraId="48762253" w14:textId="77777777" w:rsidR="00E8466D" w:rsidRDefault="00C47C5D">
            <w:r>
              <w:rPr>
                <w:sz w:val="17"/>
                <w:szCs w:val="17"/>
              </w:rPr>
              <w:t>Desplazan la media 0,009; conservar y declarar</w:t>
            </w:r>
          </w:p>
        </w:tc>
      </w:tr>
    </w:tbl>
    <w:p w14:paraId="2FCDC508" w14:textId="77777777" w:rsidR="00E8466D" w:rsidRDefault="00E8466D">
      <w:pPr>
        <w:spacing w:after="110"/>
      </w:pPr>
    </w:p>
    <w:p w14:paraId="040C8878" w14:textId="77777777" w:rsidR="00E8466D" w:rsidRDefault="00C47C5D">
      <w:pPr>
        <w:spacing w:after="120" w:line="264" w:lineRule="auto"/>
        <w:jc w:val="both"/>
      </w:pPr>
      <w:r>
        <w:rPr>
          <w:b/>
          <w:bCs/>
        </w:rPr>
        <w:t>Recomendaciones metodológicas para la fase siguiente.</w:t>
      </w:r>
      <w:r>
        <w:t xml:space="preserve"> Reportar los intervalos BCa en lugar de los clásicos: coinciden, de modo que no hay costo, y no dependen de supuestos. Construir el modelo multivariado sobre las tres correlaciones estables y fuertes, dejando las débiles como controles sin interpretación propia. Agrupar los errores estándar por institución, porque los programas de una misma institución no son observaciones independientes. Conservar los 465 programas censurados y declarar su efecto, en lugar de excluirlos. Y declarar siempre como supuesto de política, no como estimación, cualquier parámetro de eficacia de una intervención.</w:t>
      </w:r>
    </w:p>
    <w:p w14:paraId="6FDC1EC9" w14:textId="77777777" w:rsidR="00E8466D" w:rsidRDefault="00C47C5D">
      <w:pPr>
        <w:pStyle w:val="Heading1"/>
        <w:spacing w:before="260" w:after="130"/>
      </w:pPr>
      <w:bookmarkStart w:id="9" w:name="_Toc242818264"/>
      <w:r>
        <w:rPr>
          <w:b/>
          <w:bCs/>
          <w:color w:val="1F3864"/>
          <w:sz w:val="26"/>
          <w:szCs w:val="26"/>
        </w:rPr>
        <w:t>8. Reproducibilidad</w:t>
      </w:r>
      <w:bookmarkEnd w:id="9"/>
    </w:p>
    <w:p w14:paraId="6A95F1E3" w14:textId="77777777" w:rsidR="00E8466D" w:rsidRDefault="00C47C5D">
      <w:pPr>
        <w:spacing w:after="120" w:line="264" w:lineRule="auto"/>
        <w:jc w:val="both"/>
      </w:pPr>
      <w:r>
        <w:t xml:space="preserve">Todas las cifras de este informe se generan al ejecutar </w:t>
      </w:r>
      <w:r>
        <w:rPr>
          <w:rFonts w:ascii="Consolas" w:eastAsia="Consolas" w:hAnsi="Consolas" w:cs="Consolas"/>
          <w:sz w:val="18"/>
          <w:szCs w:val="18"/>
        </w:rPr>
        <w:t>S2/Sumativa2_Validacion_Remuestreo.ipynb</w:t>
      </w:r>
      <w:r>
        <w:t xml:space="preserve">, que corre de principio a fin sin errores en poco más de un minuto y deja sus salidas en </w:t>
      </w:r>
      <w:r>
        <w:rPr>
          <w:rFonts w:ascii="Consolas" w:eastAsia="Consolas" w:hAnsi="Consolas" w:cs="Consolas"/>
          <w:sz w:val="18"/>
          <w:szCs w:val="18"/>
        </w:rPr>
        <w:t>S2/resultados/</w:t>
      </w:r>
      <w:r>
        <w:t xml:space="preserve">. Cada procedimiento emplea 10.000 repeticiones y la semilla fijada en 42. El repositorio contiene las carpetas </w:t>
      </w:r>
      <w:r>
        <w:rPr>
          <w:rFonts w:ascii="Consolas" w:eastAsia="Consolas" w:hAnsi="Consolas" w:cs="Consolas"/>
          <w:sz w:val="18"/>
          <w:szCs w:val="18"/>
        </w:rPr>
        <w:t>S1</w:t>
      </w:r>
      <w:r>
        <w:t xml:space="preserve"> y </w:t>
      </w:r>
      <w:r>
        <w:rPr>
          <w:rFonts w:ascii="Consolas" w:eastAsia="Consolas" w:hAnsi="Consolas" w:cs="Consolas"/>
          <w:sz w:val="18"/>
          <w:szCs w:val="18"/>
        </w:rPr>
        <w:t>S2</w:t>
      </w:r>
      <w:r>
        <w:t xml:space="preserve"> con los entregables de cada fase, el conjunto analítico versionado y los scripts que lo construyeron. Repositorio: https://github.com/santunez75/analisis-desercion</w:t>
      </w:r>
    </w:p>
    <w:sectPr w:rsidR="00E8466D">
      <w:footerReference w:type="default" r:id="rId13"/>
      <w:pgSz w:w="12240" w:h="15840"/>
      <w:pgMar w:top="1133"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046EEF" w14:textId="77777777" w:rsidR="00C47C5D" w:rsidRDefault="00C47C5D">
      <w:r>
        <w:separator/>
      </w:r>
    </w:p>
  </w:endnote>
  <w:endnote w:type="continuationSeparator" w:id="0">
    <w:p w14:paraId="3FEF1767" w14:textId="77777777" w:rsidR="00C47C5D" w:rsidRDefault="00C47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8A9FC" w14:textId="77777777" w:rsidR="00E8466D" w:rsidRDefault="00C47C5D">
    <w:pPr>
      <w:jc w:val="center"/>
    </w:pPr>
    <w:r>
      <w:rPr>
        <w:color w:val="888888"/>
        <w:sz w:val="15"/>
        <w:szCs w:val="15"/>
      </w:rPr>
      <w:t xml:space="preserve">Grupo 4 · Estadística Computacional · Sumativa 2 · </w:t>
    </w:r>
    <w:r>
      <w:rPr>
        <w:color w:val="888888"/>
        <w:sz w:val="15"/>
        <w:szCs w:val="15"/>
      </w:rPr>
      <w:fldChar w:fldCharType="begin"/>
    </w:r>
    <w:r>
      <w:rPr>
        <w:color w:val="888888"/>
        <w:sz w:val="15"/>
        <w:szCs w:val="15"/>
      </w:rPr>
      <w:instrText>PAGE</w:instrText>
    </w:r>
    <w:r>
      <w:rPr>
        <w:color w:val="888888"/>
        <w:sz w:val="15"/>
        <w:szCs w:val="15"/>
      </w:rPr>
      <w:fldChar w:fldCharType="separate"/>
    </w:r>
    <w:r>
      <w:rPr>
        <w:noProof/>
        <w:color w:val="888888"/>
        <w:sz w:val="15"/>
        <w:szCs w:val="15"/>
      </w:rPr>
      <w:t>3</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E24BE" w14:textId="77777777" w:rsidR="00C47C5D" w:rsidRDefault="00C47C5D">
      <w:r>
        <w:separator/>
      </w:r>
    </w:p>
  </w:footnote>
  <w:footnote w:type="continuationSeparator" w:id="0">
    <w:p w14:paraId="6F38E52E" w14:textId="77777777" w:rsidR="00C47C5D" w:rsidRDefault="00C47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C3671"/>
    <w:multiLevelType w:val="hybridMultilevel"/>
    <w:tmpl w:val="B42436BC"/>
    <w:lvl w:ilvl="0" w:tplc="2F5E72B2" w:tentative="1">
      <w:start w:val="1"/>
      <w:numFmt w:val="bullet"/>
      <w:lvlText w:val="●"/>
      <w:lvlJc w:val="left"/>
      <w:pPr>
        <w:ind w:left="720" w:hanging="360"/>
      </w:pPr>
    </w:lvl>
    <w:lvl w:ilvl="1" w:tplc="B5981E64" w:tentative="1">
      <w:start w:val="1"/>
      <w:numFmt w:val="bullet"/>
      <w:lvlText w:val="○"/>
      <w:lvlJc w:val="left"/>
      <w:pPr>
        <w:ind w:left="1440" w:hanging="360"/>
      </w:pPr>
    </w:lvl>
    <w:lvl w:ilvl="2" w:tplc="4BF2EA12" w:tentative="1">
      <w:start w:val="1"/>
      <w:numFmt w:val="bullet"/>
      <w:lvlText w:val="■"/>
      <w:lvlJc w:val="left"/>
      <w:pPr>
        <w:ind w:left="2160" w:hanging="360"/>
      </w:pPr>
    </w:lvl>
    <w:lvl w:ilvl="3" w:tplc="6AD84C98" w:tentative="1">
      <w:start w:val="1"/>
      <w:numFmt w:val="bullet"/>
      <w:lvlText w:val="●"/>
      <w:lvlJc w:val="left"/>
      <w:pPr>
        <w:ind w:left="2880" w:hanging="360"/>
      </w:pPr>
    </w:lvl>
    <w:lvl w:ilvl="4" w:tplc="E16CA74C" w:tentative="1">
      <w:start w:val="1"/>
      <w:numFmt w:val="bullet"/>
      <w:lvlText w:val="○"/>
      <w:lvlJc w:val="left"/>
      <w:pPr>
        <w:ind w:left="3600" w:hanging="360"/>
      </w:pPr>
    </w:lvl>
    <w:lvl w:ilvl="5" w:tplc="94306D96" w:tentative="1">
      <w:start w:val="1"/>
      <w:numFmt w:val="bullet"/>
      <w:lvlText w:val="■"/>
      <w:lvlJc w:val="left"/>
      <w:pPr>
        <w:ind w:left="4320" w:hanging="360"/>
      </w:pPr>
    </w:lvl>
    <w:lvl w:ilvl="6" w:tplc="8902BAA8" w:tentative="1">
      <w:start w:val="1"/>
      <w:numFmt w:val="bullet"/>
      <w:lvlText w:val="●"/>
      <w:lvlJc w:val="left"/>
      <w:pPr>
        <w:ind w:left="5040" w:hanging="360"/>
      </w:pPr>
    </w:lvl>
    <w:lvl w:ilvl="7" w:tplc="4B7E8620" w:tentative="1">
      <w:start w:val="1"/>
      <w:numFmt w:val="bullet"/>
      <w:lvlText w:val="●"/>
      <w:lvlJc w:val="left"/>
      <w:pPr>
        <w:ind w:left="5760" w:hanging="360"/>
      </w:pPr>
    </w:lvl>
    <w:lvl w:ilvl="8" w:tplc="07C67B6A" w:tentative="1">
      <w:start w:val="1"/>
      <w:numFmt w:val="bullet"/>
      <w:lvlText w:val="●"/>
      <w:lvlJc w:val="left"/>
      <w:pPr>
        <w:ind w:left="6480" w:hanging="360"/>
      </w:pPr>
    </w:lvl>
  </w:abstractNum>
  <w:num w:numId="1" w16cid:durableId="420180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D"/>
    <w:rsid w:val="00240342"/>
    <w:rsid w:val="0034181C"/>
    <w:rsid w:val="00BA3E97"/>
    <w:rsid w:val="00C47C5D"/>
    <w:rsid w:val="00E846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02793"/>
  <w15:docId w15:val="{E580C9D5-71E1-45DA-884D-1EA0B2AC1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7C5D"/>
    <w:pPr>
      <w:spacing w:after="100"/>
    </w:pPr>
  </w:style>
  <w:style w:type="paragraph" w:styleId="TOC2">
    <w:name w:val="toc 2"/>
    <w:basedOn w:val="Normal"/>
    <w:next w:val="Normal"/>
    <w:autoRedefine/>
    <w:uiPriority w:val="39"/>
    <w:unhideWhenUsed/>
    <w:rsid w:val="00C47C5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2381</Words>
  <Characters>13100</Characters>
  <Application>Microsoft Office Word</Application>
  <DocSecurity>0</DocSecurity>
  <Lines>109</Lines>
  <Paragraphs>30</Paragraphs>
  <ScaleCrop>false</ScaleCrop>
  <Company/>
  <LinksUpToDate>false</LinksUpToDate>
  <CharactersWithSpaces>15451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 por remuestreo y simulacion del analisis de desercion</dc:title>
  <dc:creator>María Fassler Neumann; Sebastian Antunez Noguera</dc:creator>
  <dc:description>Informe tecnico de validacion - Sumativa 2, Estadistica Computacional</dc:description>
  <cp:lastModifiedBy>ANTUNEZ NOGUERA SEBASTIAN H</cp:lastModifiedBy>
  <cp:revision>3</cp:revision>
  <dcterms:created xsi:type="dcterms:W3CDTF">2026-10-14T00:08:00Z</dcterms:created>
  <dcterms:modified xsi:type="dcterms:W3CDTF">2026-10-14T00:10:00Z</dcterms:modified>
</cp:coreProperties>
</file>