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0" w:line="360"/>
        <w:jc w:val="center"/>
      </w:pPr>
      <w:r>
        <w:rPr>
          <w:rFonts w:ascii="Arial" w:cs="Arial" w:eastAsia="Arial" w:hAnsi="Arial"/>
          <w:b w:val="false"/>
          <w:bCs w:val="false"/>
          <w:sz w:val="24"/>
          <w:szCs w:val="24"/>
        </w:rPr>
        <w:t xml:space="preserve">Facultad de Ingeniería</w:t>
      </w:r>
    </w:p>
    <w:p>
      <w:pPr>
        <w:spacing w:after="0" w:line="360"/>
        <w:jc w:val="center"/>
      </w:pPr>
      <w:r>
        <w:rPr>
          <w:rFonts w:ascii="Arial" w:cs="Arial" w:eastAsia="Arial" w:hAnsi="Arial"/>
          <w:b w:val="false"/>
          <w:bCs w:val="false"/>
          <w:sz w:val="24"/>
          <w:szCs w:val="24"/>
        </w:rPr>
        <w:t xml:space="preserve">Magíster en Ciencia de Datos e Inteligencia Artificial</w:t>
      </w:r>
    </w:p>
    <w:p>
      <w:pPr>
        <w:spacing w:after="0" w:line="360"/>
      </w:pPr>
      <w:r>
        <w:rPr>
          <w:rFonts w:ascii="Arial" w:cs="Arial" w:eastAsia="Arial" w:hAnsi="Arial"/>
          <w:sz w:val="24"/>
          <w:szCs w:val="24"/>
        </w:rPr>
        <w:t xml:space="preserve"/>
      </w:r>
    </w:p>
    <w:p>
      <w:pPr>
        <w:spacing w:after="0" w:line="360"/>
      </w:pPr>
      <w:r>
        <w:rPr>
          <w:rFonts w:ascii="Arial" w:cs="Arial" w:eastAsia="Arial" w:hAnsi="Arial"/>
          <w:sz w:val="24"/>
          <w:szCs w:val="24"/>
        </w:rPr>
        <w:t xml:space="preserve"/>
      </w:r>
    </w:p>
    <w:p>
      <w:pPr>
        <w:spacing w:after="0" w:line="360"/>
      </w:pPr>
      <w:r>
        <w:rPr>
          <w:rFonts w:ascii="Arial" w:cs="Arial" w:eastAsia="Arial" w:hAnsi="Arial"/>
          <w:sz w:val="24"/>
          <w:szCs w:val="24"/>
        </w:rPr>
        <w:t xml:space="preserve"/>
      </w:r>
    </w:p>
    <w:p>
      <w:pPr>
        <w:spacing w:after="0" w:line="360"/>
        <w:jc w:val="center"/>
      </w:pPr>
      <w:r>
        <w:rPr>
          <w:rFonts w:ascii="Arial" w:cs="Arial" w:eastAsia="Arial" w:hAnsi="Arial"/>
          <w:b/>
          <w:bCs/>
          <w:sz w:val="24"/>
          <w:szCs w:val="24"/>
        </w:rPr>
        <w:t xml:space="preserve">ANÁLISIS DE LA DESERCIÓN EN LA EDUCACIÓN SUPERIOR CHILENA</w:t>
      </w:r>
    </w:p>
    <w:p>
      <w:pPr>
        <w:spacing w:after="0" w:line="360"/>
        <w:jc w:val="center"/>
      </w:pPr>
      <w:r>
        <w:rPr>
          <w:rFonts w:ascii="Arial" w:cs="Arial" w:eastAsia="Arial" w:hAnsi="Arial"/>
          <w:b w:val="false"/>
          <w:bCs w:val="false"/>
          <w:sz w:val="24"/>
          <w:szCs w:val="24"/>
        </w:rPr>
        <w:t xml:space="preserve">Informe técnico de avance</w:t>
      </w:r>
    </w:p>
    <w:p>
      <w:pPr>
        <w:spacing w:after="0" w:line="360"/>
      </w:pPr>
      <w:r>
        <w:rPr>
          <w:rFonts w:ascii="Arial" w:cs="Arial" w:eastAsia="Arial" w:hAnsi="Arial"/>
          <w:sz w:val="24"/>
          <w:szCs w:val="24"/>
        </w:rPr>
        <w:t xml:space="preserve"/>
      </w:r>
    </w:p>
    <w:p>
      <w:pPr>
        <w:spacing w:after="0" w:line="360"/>
      </w:pPr>
      <w:r>
        <w:rPr>
          <w:rFonts w:ascii="Arial" w:cs="Arial" w:eastAsia="Arial" w:hAnsi="Arial"/>
          <w:sz w:val="24"/>
          <w:szCs w:val="24"/>
        </w:rPr>
        <w:t xml:space="preserve"/>
      </w:r>
    </w:p>
    <w:p>
      <w:pPr>
        <w:spacing w:after="0" w:line="360"/>
        <w:jc w:val="center"/>
      </w:pPr>
      <w:r>
        <w:rPr>
          <w:rFonts w:ascii="Arial" w:cs="Arial" w:eastAsia="Arial" w:hAnsi="Arial"/>
          <w:b w:val="false"/>
          <w:bCs w:val="false"/>
          <w:sz w:val="24"/>
          <w:szCs w:val="24"/>
        </w:rPr>
        <w:t xml:space="preserve">Evaluación Sumativa 1</w:t>
      </w:r>
    </w:p>
    <w:p>
      <w:pPr>
        <w:spacing w:after="0" w:line="360"/>
        <w:jc w:val="center"/>
      </w:pPr>
      <w:r>
        <w:rPr>
          <w:rFonts w:ascii="Arial" w:cs="Arial" w:eastAsia="Arial" w:hAnsi="Arial"/>
          <w:b w:val="false"/>
          <w:bCs w:val="false"/>
          <w:sz w:val="24"/>
          <w:szCs w:val="24"/>
        </w:rPr>
        <w:t xml:space="preserve">Estadística Computacional</w:t>
      </w:r>
    </w:p>
    <w:p>
      <w:pPr>
        <w:spacing w:after="0" w:line="360"/>
      </w:pPr>
      <w:r>
        <w:rPr>
          <w:rFonts w:ascii="Arial" w:cs="Arial" w:eastAsia="Arial" w:hAnsi="Arial"/>
          <w:sz w:val="24"/>
          <w:szCs w:val="24"/>
        </w:rPr>
        <w:t xml:space="preserve"/>
      </w:r>
    </w:p>
    <w:p>
      <w:pPr>
        <w:spacing w:after="0" w:line="360"/>
      </w:pPr>
      <w:r>
        <w:rPr>
          <w:rFonts w:ascii="Arial" w:cs="Arial" w:eastAsia="Arial" w:hAnsi="Arial"/>
          <w:sz w:val="24"/>
          <w:szCs w:val="24"/>
        </w:rPr>
        <w:t xml:space="preserve"/>
      </w:r>
    </w:p>
    <w:p>
      <w:pPr>
        <w:spacing w:after="0" w:line="360"/>
      </w:pPr>
      <w:r>
        <w:rPr>
          <w:rFonts w:ascii="Arial" w:cs="Arial" w:eastAsia="Arial" w:hAnsi="Arial"/>
          <w:sz w:val="24"/>
          <w:szCs w:val="24"/>
        </w:rPr>
        <w:t xml:space="preserve"/>
      </w:r>
    </w:p>
    <w:p>
      <w:pPr>
        <w:spacing w:after="0" w:line="360"/>
        <w:jc w:val="center"/>
      </w:pPr>
      <w:r>
        <w:rPr>
          <w:rFonts w:ascii="Arial" w:cs="Arial" w:eastAsia="Arial" w:hAnsi="Arial"/>
          <w:b w:val="false"/>
          <w:bCs w:val="false"/>
          <w:sz w:val="24"/>
          <w:szCs w:val="24"/>
        </w:rPr>
        <w:t xml:space="preserve">Autor:</w:t>
      </w:r>
    </w:p>
    <w:p>
      <w:pPr>
        <w:spacing w:after="0" w:line="360"/>
        <w:jc w:val="center"/>
      </w:pPr>
      <w:r>
        <w:rPr>
          <w:rFonts w:ascii="Arial" w:cs="Arial" w:eastAsia="Arial" w:hAnsi="Arial"/>
          <w:b w:val="false"/>
          <w:bCs w:val="false"/>
          <w:sz w:val="24"/>
          <w:szCs w:val="24"/>
        </w:rPr>
        <w:t xml:space="preserve">Sebastian Antunez Noguera</w:t>
      </w:r>
    </w:p>
    <w:p>
      <w:pPr>
        <w:spacing w:after="0" w:line="360"/>
      </w:pPr>
      <w:r>
        <w:rPr>
          <w:rFonts w:ascii="Arial" w:cs="Arial" w:eastAsia="Arial" w:hAnsi="Arial"/>
          <w:sz w:val="24"/>
          <w:szCs w:val="24"/>
        </w:rPr>
        <w:t xml:space="preserve"/>
      </w:r>
    </w:p>
    <w:p>
      <w:pPr>
        <w:spacing w:after="0" w:line="360"/>
      </w:pPr>
      <w:r>
        <w:rPr>
          <w:rFonts w:ascii="Arial" w:cs="Arial" w:eastAsia="Arial" w:hAnsi="Arial"/>
          <w:sz w:val="24"/>
          <w:szCs w:val="24"/>
        </w:rPr>
        <w:t xml:space="preserve"/>
      </w:r>
    </w:p>
    <w:p>
      <w:pPr>
        <w:spacing w:after="0" w:line="360"/>
        <w:jc w:val="center"/>
      </w:pPr>
      <w:r>
        <w:rPr>
          <w:rFonts w:ascii="Arial" w:cs="Arial" w:eastAsia="Arial" w:hAnsi="Arial"/>
          <w:b w:val="false"/>
          <w:bCs w:val="false"/>
          <w:sz w:val="24"/>
          <w:szCs w:val="24"/>
        </w:rPr>
        <w:t xml:space="preserve">Profesor/a:</w:t>
      </w:r>
    </w:p>
    <w:p>
      <w:pPr>
        <w:spacing w:after="0" w:line="360"/>
        <w:jc w:val="center"/>
      </w:pPr>
      <w:r>
        <w:rPr>
          <w:rFonts w:ascii="Arial" w:cs="Arial" w:eastAsia="Arial" w:hAnsi="Arial"/>
          <w:b w:val="false"/>
          <w:bCs w:val="false"/>
          <w:sz w:val="24"/>
          <w:szCs w:val="24"/>
        </w:rPr>
        <w:t xml:space="preserve">[indicar nombre del docente]</w:t>
      </w:r>
    </w:p>
    <w:p>
      <w:pPr>
        <w:spacing w:after="0" w:line="360"/>
      </w:pPr>
      <w:r>
        <w:rPr>
          <w:rFonts w:ascii="Arial" w:cs="Arial" w:eastAsia="Arial" w:hAnsi="Arial"/>
          <w:sz w:val="24"/>
          <w:szCs w:val="24"/>
        </w:rPr>
        <w:t xml:space="preserve"/>
      </w:r>
    </w:p>
    <w:p>
      <w:pPr>
        <w:spacing w:after="0" w:line="360"/>
      </w:pPr>
      <w:r>
        <w:rPr>
          <w:rFonts w:ascii="Arial" w:cs="Arial" w:eastAsia="Arial" w:hAnsi="Arial"/>
          <w:sz w:val="24"/>
          <w:szCs w:val="24"/>
        </w:rPr>
        <w:t xml:space="preserve"/>
      </w:r>
    </w:p>
    <w:p>
      <w:pPr>
        <w:spacing w:after="0" w:line="360"/>
      </w:pPr>
      <w:r>
        <w:rPr>
          <w:rFonts w:ascii="Arial" w:cs="Arial" w:eastAsia="Arial" w:hAnsi="Arial"/>
          <w:sz w:val="24"/>
          <w:szCs w:val="24"/>
        </w:rPr>
        <w:t xml:space="preserve"/>
      </w:r>
    </w:p>
    <w:p>
      <w:pPr>
        <w:spacing w:after="0" w:line="360"/>
        <w:jc w:val="center"/>
      </w:pPr>
      <w:r>
        <w:rPr>
          <w:rFonts w:ascii="Arial" w:cs="Arial" w:eastAsia="Arial" w:hAnsi="Arial"/>
          <w:b w:val="false"/>
          <w:bCs w:val="false"/>
          <w:sz w:val="24"/>
          <w:szCs w:val="24"/>
        </w:rPr>
        <w:t xml:space="preserve">Santiago, Chile</w:t>
      </w:r>
    </w:p>
    <w:p>
      <w:pPr>
        <w:spacing w:after="0" w:line="360"/>
        <w:jc w:val="center"/>
        <w:sectPr>
          <w:pgSz w:w="12240" w:h="15840" w:orient="portrait"/>
          <w:pgMar w:top="1417" w:right="1417" w:bottom="1417" w:left="1417" w:header="708" w:footer="708" w:gutter="0"/>
          <w:pgNumType/>
          <w:docGrid w:linePitch="360"/>
        </w:sectPr>
      </w:pPr>
      <w:r>
        <w:rPr>
          <w:rFonts w:ascii="Arial" w:cs="Arial" w:eastAsia="Arial" w:hAnsi="Arial"/>
          <w:b w:val="false"/>
          <w:bCs w:val="false"/>
          <w:sz w:val="24"/>
          <w:szCs w:val="24"/>
        </w:rPr>
        <w:t xml:space="preserve">2026</w:t>
      </w:r>
    </w:p>
    <w:p>
      <w:pPr>
        <w:pStyle w:val="Heading1"/>
        <w:spacing w:after="130" w:before="260"/>
      </w:pPr>
      <w:r>
        <w:rPr>
          <w:b/>
          <w:bCs/>
          <w:color w:val="1F3864"/>
          <w:sz w:val="26"/>
          <w:szCs w:val="26"/>
        </w:rPr>
        <w:t xml:space="preserve">1. Problema de decisión y objetivo</w:t>
      </w:r>
    </w:p>
    <w:p>
      <w:pPr>
        <w:spacing w:after="120" w:line="264"/>
        <w:jc w:val="both"/>
      </w:pPr>
      <w:r>
        <w:t xml:space="preserve">Más de la mitad de quienes ingresan a un programa de pregrado en Chile no llega a titularse de él. El hecho tiene consecuencias para el estudiante, que pierde tiempo y dinero; para la institución, que sostiene vacantes que no rinden; y para el Estado, que subsidia matrículas sin contrapartida.</w:t>
      </w:r>
    </w:p>
    <w:p>
      <w:pPr>
        <w:spacing w:after="120" w:line="264"/>
        <w:jc w:val="both"/>
      </w:pPr>
      <w:r>
        <w:t xml:space="preserve">Este informe aborda una situación concreta de decisión bajo incertidumbre: </w:t>
      </w:r>
      <w:r>
        <w:rPr>
          <w:b/>
          <w:bCs/>
        </w:rPr>
        <w:t xml:space="preserve">una autoridad dispone de presupuesto para un programa de retención que solo alcanza a cubrir una fracción de los programas del sistema, y debe decidir dónde concentrarlo.</w:t>
      </w:r>
      <w:r>
        <w:t xml:space="preserve"> La incertidumbre es doble. Por un lado, el abandono de cada programa no se observa directamente, sino que se estima a partir de registros agregados. Por otro, no se sabe de antemano qué criterio de focalización separa mejor a los programas problemáticos de los demás.</w:t>
      </w:r>
    </w:p>
    <w:p>
      <w:pPr>
        <w:spacing w:after="120" w:line="264"/>
        <w:jc w:val="both"/>
      </w:pPr>
      <w:r>
        <w:t xml:space="preserve">De ahí las tres preguntas que estructuran el trabajo, cada una asociada a un procedimiento estadístico: (i) cuál es la magnitud del abandono y cuánto varía entre programas, que responde la estadística descriptiva; (ii) con qué precisión puede estimarse el abandono del sistema, que responden los intervalos de confianza; y (iii) qué características distinguen a los programas con más abandono y cuáles de esas diferencias son lo bastante grandes como para orientar la decisión, que responden los contrastes de hipótesis junto al tamaño del efecto.</w:t>
      </w:r>
    </w:p>
    <w:p>
      <w:pPr>
        <w:pStyle w:val="Heading1"/>
        <w:spacing w:after="130" w:before="260"/>
      </w:pPr>
      <w:r>
        <w:rPr>
          <w:b/>
          <w:bCs/>
          <w:color w:val="1F3864"/>
          <w:sz w:val="26"/>
          <w:szCs w:val="26"/>
        </w:rPr>
        <w:t xml:space="preserve">2. Datos y metodología</w:t>
      </w:r>
    </w:p>
    <w:p>
      <w:pPr>
        <w:pStyle w:val="Heading2"/>
        <w:spacing w:after="90" w:before="180"/>
      </w:pPr>
      <w:r>
        <w:rPr>
          <w:b/>
          <w:bCs/>
          <w:color w:val="2E5496"/>
          <w:sz w:val="22"/>
          <w:szCs w:val="22"/>
        </w:rPr>
        <w:t xml:space="preserve">2.1 Origen y construcción de la variable respuesta</w:t>
      </w:r>
    </w:p>
    <w:p>
      <w:pPr>
        <w:spacing w:after="120" w:line="264"/>
        <w:jc w:val="both"/>
      </w:pPr>
      <w:r>
        <w:t xml:space="preserve">El conjunto proviene de dos bases abiertas del Servicio de Información de Educación Superior (SIES) del Ministerio de Educación: matrícula 2007–2026 y titulados 2007–2025. Ambas se publican agregadas por programa y año, sin registros individuales.</w:t>
      </w:r>
    </w:p>
    <w:p>
      <w:pPr>
        <w:spacing w:after="120" w:line="264"/>
        <w:jc w:val="both"/>
      </w:pPr>
      <w:r>
        <w:t xml:space="preserve">Para cada programa se compara el número de titulados del año </w:t>
      </w:r>
      <w:r>
        <w:rPr>
          <w:i/>
          <w:iCs/>
        </w:rPr>
        <w:t xml:space="preserve">y</w:t>
      </w:r>
      <w:r>
        <w:t xml:space="preserve"> con el ingreso a primer año de la cohorte que debió entrar en </w:t>
      </w:r>
      <w:r>
        <w:rPr>
          <w:i/>
          <w:iCs/>
        </w:rPr>
        <w:t xml:space="preserve">y − L</w:t>
      </w:r>
      <w:r>
        <w:t xml:space="preserve">, donde </w:t>
      </w:r>
      <w:r>
        <w:rPr>
          <w:i/>
          <w:iCs/>
        </w:rPr>
        <w:t xml:space="preserve">L</w:t>
      </w:r>
      <w:r>
        <w:t xml:space="preserve"> es la duración formal de la carrera en años. La titulación aparente es el cociente entre ambas sumas acumuladas entre 2010 y 2025, y el </w:t>
      </w:r>
      <w:r>
        <w:rPr>
          <w:b/>
          <w:bCs/>
        </w:rPr>
        <w:t xml:space="preserve">abandono</w:t>
      </w:r>
      <w:r>
        <w:t xml:space="preserve"> es su complemento. Se conservan solo los programas con al menos 100 estudiantes de ingreso acumulado, para que el cociente no dependa de unas pocas personas.</w:t>
      </w:r>
    </w:p>
    <w:p>
      <w:pPr>
        <w:spacing w:after="140" w:before="60" w:line="240"/>
        <w:jc w:val="both"/>
      </w:pPr>
      <w:r>
        <w:rPr>
          <w:i/>
          <w:iCs/>
          <w:color w:val="444444"/>
          <w:sz w:val="17"/>
          <w:szCs w:val="17"/>
        </w:rPr>
        <w:t xml:space="preserve">El adjetivo «aparente» no es un adorno. Con datos agregados, quien se cambia de carrera o de institución y se titula en otra parte cuenta aquí como abandono, y quien se titula muy tarde puede quedar fuera de la ventana observada. La cifra estimada es, por tanto, una cota superior del abandono real.</w:t>
      </w:r>
    </w:p>
    <w:p>
      <w:pPr>
        <w:pStyle w:val="Heading2"/>
        <w:spacing w:after="90" w:before="180"/>
      </w:pPr>
      <w:r>
        <w:rPr>
          <w:b/>
          <w:bCs/>
          <w:color w:val="2E5496"/>
          <w:sz w:val="22"/>
          <w:szCs w:val="22"/>
        </w:rPr>
        <w:t xml:space="preserve">2.2 Unidad de análisis y variables</w:t>
      </w:r>
    </w:p>
    <w:p>
      <w:pPr>
        <w:spacing w:after="120" w:line="264"/>
        <w:jc w:val="both"/>
      </w:pPr>
      <w:r>
        <w:t xml:space="preserve">Cada observación es un </w:t>
      </w:r>
      <w:r>
        <w:rPr>
          <w:b/>
          <w:bCs/>
        </w:rPr>
        <w:t xml:space="preserve">programa</w:t>
      </w:r>
      <w:r>
        <w:t xml:space="preserve"> —la combinación de carrera, institución, sede, jornada y modalidad—, no un estudiante. El conjunto reúne </w:t>
      </w:r>
      <w:r>
        <w:rPr>
          <w:b/>
          <w:bCs/>
        </w:rPr>
        <w:t xml:space="preserve">9.678 programas</w:t>
      </w:r>
      <w:r>
        <w:t xml:space="preserve">, que representan 3.925.426 estudiantes de ingreso acumulado, y no presenta valores faltantes. Las 25 variables se clasifican así:</w:t>
      </w:r>
    </w:p>
    <w:tbl>
      <w:tblPr>
        <w:tblW w:type="pct" w:w="5000"/>
        <w:tblBorders>
          <w:top w:val="single" w:color="BFCDD8" w:sz="2"/>
          <w:left w:val="single" w:color="BFCDD8" w:sz="2"/>
          <w:bottom w:val="single" w:color="BFCDD8" w:sz="2"/>
          <w:right w:val="single" w:color="BFCDD8" w:sz="2"/>
          <w:insideH w:val="single" w:color="BFCDD8" w:sz="2"/>
          <w:insideV w:val="single" w:color="BFCDD8" w:sz="2"/>
        </w:tblBorders>
      </w:tblPr>
      <w:tblGrid>
        <w:gridCol w:w="2400"/>
        <w:gridCol w:w="800"/>
        <w:gridCol w:w="6600"/>
      </w:tblGrid>
      <w:tr>
        <w:trPr>
          <w:tblHeader/>
        </w:trPr>
        <w:tc>
          <w:tcPr>
            <w:tcW w:type="dxa" w:w="2443"/>
            <w:shd w:fill="F2F5F7" w:val="clear"/>
            <w:tcMar>
              <w:top w:type="dxa" w:w="60"/>
              <w:left w:type="dxa" w:w="90"/>
              <w:bottom w:type="dxa" w:w="60"/>
              <w:right w:type="dxa" w:w="90"/>
            </w:tcMar>
          </w:tcPr>
          <w:p>
            <w:pPr>
              <w:spacing w:after="0" w:line="240"/>
              <w:jc w:val="left"/>
            </w:pPr>
            <w:r>
              <w:rPr>
                <w:b/>
                <w:bCs/>
                <w:sz w:val="17"/>
                <w:szCs w:val="17"/>
              </w:rPr>
              <w:t xml:space="preserve">Tipo</w:t>
            </w:r>
          </w:p>
        </w:tc>
        <w:tc>
          <w:tcPr>
            <w:tcW w:type="dxa" w:w="814"/>
            <w:shd w:fill="F2F5F7" w:val="clear"/>
            <w:tcMar>
              <w:top w:type="dxa" w:w="60"/>
              <w:left w:type="dxa" w:w="90"/>
              <w:bottom w:type="dxa" w:w="60"/>
              <w:right w:type="dxa" w:w="90"/>
            </w:tcMar>
          </w:tcPr>
          <w:p>
            <w:pPr>
              <w:spacing w:after="0" w:line="240"/>
              <w:jc w:val="center"/>
            </w:pPr>
            <w:r>
              <w:rPr>
                <w:b/>
                <w:bCs/>
                <w:sz w:val="17"/>
                <w:szCs w:val="17"/>
              </w:rPr>
              <w:t xml:space="preserve">N.º</w:t>
            </w:r>
          </w:p>
        </w:tc>
        <w:tc>
          <w:tcPr>
            <w:tcW w:type="dxa" w:w="6717"/>
            <w:shd w:fill="F2F5F7" w:val="clear"/>
            <w:tcMar>
              <w:top w:type="dxa" w:w="60"/>
              <w:left w:type="dxa" w:w="90"/>
              <w:bottom w:type="dxa" w:w="60"/>
              <w:right w:type="dxa" w:w="90"/>
            </w:tcMar>
          </w:tcPr>
          <w:p>
            <w:pPr>
              <w:spacing w:after="0" w:line="240"/>
              <w:jc w:val="left"/>
            </w:pPr>
            <w:r>
              <w:rPr>
                <w:b/>
                <w:bCs/>
                <w:sz w:val="17"/>
                <w:szCs w:val="17"/>
              </w:rPr>
              <w:t xml:space="preserve">Ejemplos</w:t>
            </w:r>
          </w:p>
        </w:tc>
      </w:tr>
      <w:tr>
        <w:tc>
          <w:tcPr>
            <w:tcW w:type="dxa" w:w="2443"/>
            <w:tcMar>
              <w:top w:type="dxa" w:w="60"/>
              <w:left w:type="dxa" w:w="90"/>
              <w:bottom w:type="dxa" w:w="60"/>
              <w:right w:type="dxa" w:w="90"/>
            </w:tcMar>
          </w:tcPr>
          <w:p>
            <w:pPr>
              <w:spacing w:after="0" w:line="240"/>
              <w:jc w:val="left"/>
            </w:pPr>
            <w:r>
              <w:rPr>
                <w:b w:val="false"/>
                <w:bCs w:val="false"/>
                <w:sz w:val="17"/>
                <w:szCs w:val="17"/>
              </w:rPr>
              <w:t xml:space="preserve">Cuantitativa continua</w:t>
            </w:r>
          </w:p>
        </w:tc>
        <w:tc>
          <w:tcPr>
            <w:tcW w:type="dxa" w:w="814"/>
            <w:tcMar>
              <w:top w:type="dxa" w:w="60"/>
              <w:left w:type="dxa" w:w="90"/>
              <w:bottom w:type="dxa" w:w="60"/>
              <w:right w:type="dxa" w:w="90"/>
            </w:tcMar>
          </w:tcPr>
          <w:p>
            <w:pPr>
              <w:spacing w:after="0" w:line="240"/>
              <w:jc w:val="center"/>
            </w:pPr>
            <w:r>
              <w:rPr>
                <w:b w:val="false"/>
                <w:bCs w:val="false"/>
                <w:sz w:val="17"/>
                <w:szCs w:val="17"/>
              </w:rPr>
              <w:t xml:space="preserve">10</w:t>
            </w:r>
          </w:p>
        </w:tc>
        <w:tc>
          <w:tcPr>
            <w:tcW w:type="dxa" w:w="6717"/>
            <w:tcMar>
              <w:top w:type="dxa" w:w="60"/>
              <w:left w:type="dxa" w:w="90"/>
              <w:bottom w:type="dxa" w:w="60"/>
              <w:right w:type="dxa" w:w="90"/>
            </w:tcMar>
          </w:tcPr>
          <w:p>
            <w:pPr>
              <w:spacing w:after="0" w:line="240"/>
              <w:jc w:val="left"/>
            </w:pPr>
            <w:r>
              <w:rPr>
                <w:b w:val="false"/>
                <w:bCs w:val="false"/>
                <w:sz w:val="17"/>
                <w:szCs w:val="17"/>
              </w:rPr>
              <w:t xml:space="preserve">abandono (respuesta), inst_acreditada, pct_mujeres, edad_promedio</w:t>
            </w:r>
          </w:p>
        </w:tc>
      </w:tr>
      <w:tr>
        <w:tc>
          <w:tcPr>
            <w:tcW w:type="dxa" w:w="2443"/>
            <w:tcMar>
              <w:top w:type="dxa" w:w="60"/>
              <w:left w:type="dxa" w:w="90"/>
              <w:bottom w:type="dxa" w:w="60"/>
              <w:right w:type="dxa" w:w="90"/>
            </w:tcMar>
          </w:tcPr>
          <w:p>
            <w:pPr>
              <w:spacing w:after="0" w:line="240"/>
              <w:jc w:val="left"/>
            </w:pPr>
            <w:r>
              <w:rPr>
                <w:b w:val="false"/>
                <w:bCs w:val="false"/>
                <w:sz w:val="17"/>
                <w:szCs w:val="17"/>
              </w:rPr>
              <w:t xml:space="preserve">Cuantitativa discreta</w:t>
            </w:r>
          </w:p>
        </w:tc>
        <w:tc>
          <w:tcPr>
            <w:tcW w:type="dxa" w:w="814"/>
            <w:tcMar>
              <w:top w:type="dxa" w:w="60"/>
              <w:left w:type="dxa" w:w="90"/>
              <w:bottom w:type="dxa" w:w="60"/>
              <w:right w:type="dxa" w:w="90"/>
            </w:tcMar>
          </w:tcPr>
          <w:p>
            <w:pPr>
              <w:spacing w:after="0" w:line="240"/>
              <w:jc w:val="center"/>
            </w:pPr>
            <w:r>
              <w:rPr>
                <w:b w:val="false"/>
                <w:bCs w:val="false"/>
                <w:sz w:val="17"/>
                <w:szCs w:val="17"/>
              </w:rPr>
              <w:t xml:space="preserve">4</w:t>
            </w:r>
          </w:p>
        </w:tc>
        <w:tc>
          <w:tcPr>
            <w:tcW w:type="dxa" w:w="6717"/>
            <w:tcMar>
              <w:top w:type="dxa" w:w="60"/>
              <w:left w:type="dxa" w:w="90"/>
              <w:bottom w:type="dxa" w:w="60"/>
              <w:right w:type="dxa" w:w="90"/>
            </w:tcMar>
          </w:tcPr>
          <w:p>
            <w:pPr>
              <w:spacing w:after="0" w:line="240"/>
              <w:jc w:val="left"/>
            </w:pPr>
            <w:r>
              <w:rPr>
                <w:b w:val="false"/>
                <w:bCs w:val="false"/>
                <w:sz w:val="17"/>
                <w:szCs w:val="17"/>
              </w:rPr>
              <w:t xml:space="preserve">ingreso, titulados, duracion_estudio_carrera</w:t>
            </w:r>
          </w:p>
        </w:tc>
      </w:tr>
      <w:tr>
        <w:tc>
          <w:tcPr>
            <w:tcW w:type="dxa" w:w="2443"/>
            <w:tcMar>
              <w:top w:type="dxa" w:w="60"/>
              <w:left w:type="dxa" w:w="90"/>
              <w:bottom w:type="dxa" w:w="60"/>
              <w:right w:type="dxa" w:w="90"/>
            </w:tcMar>
          </w:tcPr>
          <w:p>
            <w:pPr>
              <w:spacing w:after="0" w:line="240"/>
              <w:jc w:val="left"/>
            </w:pPr>
            <w:r>
              <w:rPr>
                <w:b w:val="false"/>
                <w:bCs w:val="false"/>
                <w:sz w:val="17"/>
                <w:szCs w:val="17"/>
              </w:rPr>
              <w:t xml:space="preserve">Cualitativa nominal</w:t>
            </w:r>
          </w:p>
        </w:tc>
        <w:tc>
          <w:tcPr>
            <w:tcW w:type="dxa" w:w="814"/>
            <w:tcMar>
              <w:top w:type="dxa" w:w="60"/>
              <w:left w:type="dxa" w:w="90"/>
              <w:bottom w:type="dxa" w:w="60"/>
              <w:right w:type="dxa" w:w="90"/>
            </w:tcMar>
          </w:tcPr>
          <w:p>
            <w:pPr>
              <w:spacing w:after="0" w:line="240"/>
              <w:jc w:val="center"/>
            </w:pPr>
            <w:r>
              <w:rPr>
                <w:b w:val="false"/>
                <w:bCs w:val="false"/>
                <w:sz w:val="17"/>
                <w:szCs w:val="17"/>
              </w:rPr>
              <w:t xml:space="preserve">7</w:t>
            </w:r>
          </w:p>
        </w:tc>
        <w:tc>
          <w:tcPr>
            <w:tcW w:type="dxa" w:w="6717"/>
            <w:tcMar>
              <w:top w:type="dxa" w:w="60"/>
              <w:left w:type="dxa" w:w="90"/>
              <w:bottom w:type="dxa" w:w="60"/>
              <w:right w:type="dxa" w:w="90"/>
            </w:tcMar>
          </w:tcPr>
          <w:p>
            <w:pPr>
              <w:spacing w:after="0" w:line="240"/>
              <w:jc w:val="left"/>
            </w:pPr>
            <w:r>
              <w:rPr>
                <w:b w:val="false"/>
                <w:bCs w:val="false"/>
                <w:sz w:val="17"/>
                <w:szCs w:val="17"/>
              </w:rPr>
              <w:t xml:space="preserve">tipo de institución, área del conocimiento, región, jornada</w:t>
            </w:r>
          </w:p>
        </w:tc>
      </w:tr>
      <w:tr>
        <w:tc>
          <w:tcPr>
            <w:tcW w:type="dxa" w:w="2443"/>
            <w:tcMar>
              <w:top w:type="dxa" w:w="60"/>
              <w:left w:type="dxa" w:w="90"/>
              <w:bottom w:type="dxa" w:w="60"/>
              <w:right w:type="dxa" w:w="90"/>
            </w:tcMar>
          </w:tcPr>
          <w:p>
            <w:pPr>
              <w:spacing w:after="0" w:line="240"/>
              <w:jc w:val="left"/>
            </w:pPr>
            <w:r>
              <w:rPr>
                <w:b w:val="false"/>
                <w:bCs w:val="false"/>
                <w:sz w:val="17"/>
                <w:szCs w:val="17"/>
              </w:rPr>
              <w:t xml:space="preserve">Cualitativa dicotómica</w:t>
            </w:r>
          </w:p>
        </w:tc>
        <w:tc>
          <w:tcPr>
            <w:tcW w:type="dxa" w:w="814"/>
            <w:tcMar>
              <w:top w:type="dxa" w:w="60"/>
              <w:left w:type="dxa" w:w="90"/>
              <w:bottom w:type="dxa" w:w="60"/>
              <w:right w:type="dxa" w:w="90"/>
            </w:tcMar>
          </w:tcPr>
          <w:p>
            <w:pPr>
              <w:spacing w:after="0" w:line="240"/>
              <w:jc w:val="center"/>
            </w:pPr>
            <w:r>
              <w:rPr>
                <w:b w:val="false"/>
                <w:bCs w:val="false"/>
                <w:sz w:val="17"/>
                <w:szCs w:val="17"/>
              </w:rPr>
              <w:t xml:space="preserve">2</w:t>
            </w:r>
          </w:p>
        </w:tc>
        <w:tc>
          <w:tcPr>
            <w:tcW w:type="dxa" w:w="6717"/>
            <w:tcMar>
              <w:top w:type="dxa" w:w="60"/>
              <w:left w:type="dxa" w:w="90"/>
              <w:bottom w:type="dxa" w:w="60"/>
              <w:right w:type="dxa" w:w="90"/>
            </w:tcMar>
          </w:tcPr>
          <w:p>
            <w:pPr>
              <w:spacing w:after="0" w:line="240"/>
              <w:jc w:val="left"/>
            </w:pPr>
            <w:r>
              <w:rPr>
                <w:b w:val="false"/>
                <w:bCs w:val="false"/>
                <w:sz w:val="17"/>
                <w:szCs w:val="17"/>
              </w:rPr>
              <w:t xml:space="preserve">metropolitana, inst_cerrada</w:t>
            </w:r>
          </w:p>
        </w:tc>
      </w:tr>
      <w:tr>
        <w:tc>
          <w:tcPr>
            <w:tcW w:type="dxa" w:w="2443"/>
            <w:tcMar>
              <w:top w:type="dxa" w:w="60"/>
              <w:left w:type="dxa" w:w="90"/>
              <w:bottom w:type="dxa" w:w="60"/>
              <w:right w:type="dxa" w:w="90"/>
            </w:tcMar>
          </w:tcPr>
          <w:p>
            <w:pPr>
              <w:spacing w:after="0" w:line="240"/>
              <w:jc w:val="left"/>
            </w:pPr>
            <w:r>
              <w:rPr>
                <w:b w:val="false"/>
                <w:bCs w:val="false"/>
                <w:sz w:val="17"/>
                <w:szCs w:val="17"/>
              </w:rPr>
              <w:t xml:space="preserve">Identificador</w:t>
            </w:r>
          </w:p>
        </w:tc>
        <w:tc>
          <w:tcPr>
            <w:tcW w:type="dxa" w:w="814"/>
            <w:tcMar>
              <w:top w:type="dxa" w:w="60"/>
              <w:left w:type="dxa" w:w="90"/>
              <w:bottom w:type="dxa" w:w="60"/>
              <w:right w:type="dxa" w:w="90"/>
            </w:tcMar>
          </w:tcPr>
          <w:p>
            <w:pPr>
              <w:spacing w:after="0" w:line="240"/>
              <w:jc w:val="center"/>
            </w:pPr>
            <w:r>
              <w:rPr>
                <w:b w:val="false"/>
                <w:bCs w:val="false"/>
                <w:sz w:val="17"/>
                <w:szCs w:val="17"/>
              </w:rPr>
              <w:t xml:space="preserve">2</w:t>
            </w:r>
          </w:p>
        </w:tc>
        <w:tc>
          <w:tcPr>
            <w:tcW w:type="dxa" w:w="6717"/>
            <w:tcMar>
              <w:top w:type="dxa" w:w="60"/>
              <w:left w:type="dxa" w:w="90"/>
              <w:bottom w:type="dxa" w:w="60"/>
              <w:right w:type="dxa" w:w="90"/>
            </w:tcMar>
          </w:tcPr>
          <w:p>
            <w:pPr>
              <w:spacing w:after="0" w:line="240"/>
              <w:jc w:val="left"/>
            </w:pPr>
            <w:r>
              <w:rPr>
                <w:b w:val="false"/>
                <w:bCs w:val="false"/>
                <w:sz w:val="17"/>
                <w:szCs w:val="17"/>
              </w:rPr>
              <w:t xml:space="preserve">codigo_carrera, codigo_de_institucion</w:t>
            </w:r>
          </w:p>
        </w:tc>
      </w:tr>
    </w:tbl>
    <w:p>
      <w:pPr>
        <w:spacing w:after="110"/>
      </w:pPr>
      <w:r>
        <w:rPr>
          <w:sz w:val="8"/>
          <w:szCs w:val="8"/>
        </w:rPr>
        <w:t xml:space="preserve"/>
      </w:r>
    </w:p>
    <w:p>
      <w:pPr>
        <w:spacing w:after="140" w:before="60" w:line="240"/>
        <w:jc w:val="both"/>
      </w:pPr>
      <w:r>
        <w:rPr>
          <w:i/>
          <w:iCs/>
          <w:color w:val="444444"/>
          <w:sz w:val="17"/>
          <w:szCs w:val="17"/>
        </w:rPr>
        <w:t xml:space="preserve">Conviene advertir que inst_acreditada parece dicotómica y no lo es: toma 1.195 valores distintos entre 0 y 1 porque promedia el estado de acreditación a lo largo de los años de cohorte. Por eso los contrastes del apartado 5 comparan los dos extremos inequívocos —siempre acreditada (7.672 programas) frente a nunca acreditada (757)— y excluyen los 1.249 programas en transición.</w:t>
      </w:r>
    </w:p>
    <w:p>
      <w:pPr>
        <w:pStyle w:val="Heading2"/>
        <w:spacing w:after="90" w:before="180"/>
      </w:pPr>
      <w:r>
        <w:rPr>
          <w:b/>
          <w:bCs/>
          <w:color w:val="2E5496"/>
          <w:sz w:val="22"/>
          <w:szCs w:val="22"/>
        </w:rPr>
        <w:t xml:space="preserve">2.3 Calidad de los datos</w:t>
      </w:r>
    </w:p>
    <w:p>
      <w:pPr>
        <w:spacing w:after="120" w:line="264"/>
        <w:jc w:val="both"/>
      </w:pPr>
      <w:r>
        <w:t xml:space="preserve">Antes de describir nada se auditó el conjunto en las cuatro familias de problemas que podrían invalidar el análisis: registros repetidos, información ausente, valores fuera del dominio admisible e inconsistencias aritméticas.</w:t>
      </w:r>
    </w:p>
    <w:tbl>
      <w:tblPr>
        <w:tblW w:type="pct" w:w="5000"/>
        <w:tblBorders>
          <w:top w:val="single" w:color="BFCDD8" w:sz="2"/>
          <w:left w:val="single" w:color="BFCDD8" w:sz="2"/>
          <w:bottom w:val="single" w:color="BFCDD8" w:sz="2"/>
          <w:right w:val="single" w:color="BFCDD8" w:sz="2"/>
          <w:insideH w:val="single" w:color="BFCDD8" w:sz="2"/>
          <w:insideV w:val="single" w:color="BFCDD8" w:sz="2"/>
        </w:tblBorders>
      </w:tblPr>
      <w:tblGrid>
        <w:gridCol w:w="6400"/>
        <w:gridCol w:w="1200"/>
        <w:gridCol w:w="2200"/>
      </w:tblGrid>
      <w:tr>
        <w:trPr>
          <w:tblHeader/>
        </w:trPr>
        <w:tc>
          <w:tcPr>
            <w:tcW w:type="dxa" w:w="6514"/>
            <w:shd w:fill="F2F5F7" w:val="clear"/>
            <w:tcMar>
              <w:top w:type="dxa" w:w="60"/>
              <w:left w:type="dxa" w:w="90"/>
              <w:bottom w:type="dxa" w:w="60"/>
              <w:right w:type="dxa" w:w="90"/>
            </w:tcMar>
          </w:tcPr>
          <w:p>
            <w:pPr>
              <w:spacing w:after="0" w:line="240"/>
              <w:jc w:val="left"/>
            </w:pPr>
            <w:r>
              <w:rPr>
                <w:b/>
                <w:bCs/>
                <w:sz w:val="17"/>
                <w:szCs w:val="17"/>
              </w:rPr>
              <w:t xml:space="preserve">Control</w:t>
            </w:r>
          </w:p>
        </w:tc>
        <w:tc>
          <w:tcPr>
            <w:tcW w:type="dxa" w:w="1221"/>
            <w:shd w:fill="F2F5F7" w:val="clear"/>
            <w:tcMar>
              <w:top w:type="dxa" w:w="60"/>
              <w:left w:type="dxa" w:w="90"/>
              <w:bottom w:type="dxa" w:w="60"/>
              <w:right w:type="dxa" w:w="90"/>
            </w:tcMar>
          </w:tcPr>
          <w:p>
            <w:pPr>
              <w:spacing w:after="0" w:line="240"/>
              <w:jc w:val="center"/>
            </w:pPr>
            <w:r>
              <w:rPr>
                <w:b/>
                <w:bCs/>
                <w:sz w:val="17"/>
                <w:szCs w:val="17"/>
              </w:rPr>
              <w:t xml:space="preserve">Casos</w:t>
            </w:r>
          </w:p>
        </w:tc>
        <w:tc>
          <w:tcPr>
            <w:tcW w:type="dxa" w:w="2239"/>
            <w:shd w:fill="F2F5F7" w:val="clear"/>
            <w:tcMar>
              <w:top w:type="dxa" w:w="60"/>
              <w:left w:type="dxa" w:w="90"/>
              <w:bottom w:type="dxa" w:w="60"/>
              <w:right w:type="dxa" w:w="90"/>
            </w:tcMar>
          </w:tcPr>
          <w:p>
            <w:pPr>
              <w:spacing w:after="0" w:line="240"/>
              <w:jc w:val="center"/>
            </w:pPr>
            <w:r>
              <w:rPr>
                <w:b/>
                <w:bCs/>
                <w:sz w:val="17"/>
                <w:szCs w:val="17"/>
              </w:rPr>
              <w:t xml:space="preserve">Resultado</w:t>
            </w:r>
          </w:p>
        </w:tc>
      </w:tr>
      <w:tr>
        <w:tc>
          <w:tcPr>
            <w:tcW w:type="dxa" w:w="6514"/>
            <w:tcMar>
              <w:top w:type="dxa" w:w="60"/>
              <w:left w:type="dxa" w:w="90"/>
              <w:bottom w:type="dxa" w:w="60"/>
              <w:right w:type="dxa" w:w="90"/>
            </w:tcMar>
          </w:tcPr>
          <w:p>
            <w:pPr>
              <w:spacing w:after="0" w:line="240"/>
              <w:jc w:val="left"/>
            </w:pPr>
            <w:r>
              <w:rPr>
                <w:b w:val="false"/>
                <w:bCs w:val="false"/>
                <w:sz w:val="17"/>
                <w:szCs w:val="17"/>
              </w:rPr>
              <w:t xml:space="preserve">Filas completamente duplicadas</w:t>
            </w:r>
          </w:p>
        </w:tc>
        <w:tc>
          <w:tcPr>
            <w:tcW w:type="dxa" w:w="1221"/>
            <w:tcMar>
              <w:top w:type="dxa" w:w="60"/>
              <w:left w:type="dxa" w:w="90"/>
              <w:bottom w:type="dxa" w:w="60"/>
              <w:right w:type="dxa" w:w="90"/>
            </w:tcMar>
          </w:tcPr>
          <w:p>
            <w:pPr>
              <w:spacing w:after="0" w:line="240"/>
              <w:jc w:val="center"/>
            </w:pPr>
            <w:r>
              <w:rPr>
                <w:b w:val="false"/>
                <w:bCs w:val="false"/>
                <w:sz w:val="17"/>
                <w:szCs w:val="17"/>
              </w:rPr>
              <w:t xml:space="preserve">0</w:t>
            </w:r>
          </w:p>
        </w:tc>
        <w:tc>
          <w:tcPr>
            <w:tcW w:type="dxa" w:w="2239"/>
            <w:tcMar>
              <w:top w:type="dxa" w:w="60"/>
              <w:left w:type="dxa" w:w="90"/>
              <w:bottom w:type="dxa" w:w="60"/>
              <w:right w:type="dxa" w:w="90"/>
            </w:tcMar>
          </w:tcPr>
          <w:p>
            <w:pPr>
              <w:spacing w:after="0" w:line="240"/>
              <w:jc w:val="center"/>
            </w:pPr>
            <w:r>
              <w:rPr>
                <w:b w:val="false"/>
                <w:bCs w:val="false"/>
                <w:sz w:val="17"/>
                <w:szCs w:val="17"/>
              </w:rPr>
              <w:t xml:space="preserve">correcto</w:t>
            </w:r>
          </w:p>
        </w:tc>
      </w:tr>
      <w:tr>
        <w:tc>
          <w:tcPr>
            <w:tcW w:type="dxa" w:w="6514"/>
            <w:tcMar>
              <w:top w:type="dxa" w:w="60"/>
              <w:left w:type="dxa" w:w="90"/>
              <w:bottom w:type="dxa" w:w="60"/>
              <w:right w:type="dxa" w:w="90"/>
            </w:tcMar>
          </w:tcPr>
          <w:p>
            <w:pPr>
              <w:spacing w:after="0" w:line="240"/>
              <w:jc w:val="left"/>
            </w:pPr>
            <w:r>
              <w:rPr>
                <w:b w:val="false"/>
                <w:bCs w:val="false"/>
                <w:sz w:val="17"/>
                <w:szCs w:val="17"/>
              </w:rPr>
              <w:t xml:space="preserve">Programas con código repetido</w:t>
            </w:r>
          </w:p>
        </w:tc>
        <w:tc>
          <w:tcPr>
            <w:tcW w:type="dxa" w:w="1221"/>
            <w:tcMar>
              <w:top w:type="dxa" w:w="60"/>
              <w:left w:type="dxa" w:w="90"/>
              <w:bottom w:type="dxa" w:w="60"/>
              <w:right w:type="dxa" w:w="90"/>
            </w:tcMar>
          </w:tcPr>
          <w:p>
            <w:pPr>
              <w:spacing w:after="0" w:line="240"/>
              <w:jc w:val="center"/>
            </w:pPr>
            <w:r>
              <w:rPr>
                <w:b w:val="false"/>
                <w:bCs w:val="false"/>
                <w:sz w:val="17"/>
                <w:szCs w:val="17"/>
              </w:rPr>
              <w:t xml:space="preserve">0</w:t>
            </w:r>
          </w:p>
        </w:tc>
        <w:tc>
          <w:tcPr>
            <w:tcW w:type="dxa" w:w="2239"/>
            <w:tcMar>
              <w:top w:type="dxa" w:w="60"/>
              <w:left w:type="dxa" w:w="90"/>
              <w:bottom w:type="dxa" w:w="60"/>
              <w:right w:type="dxa" w:w="90"/>
            </w:tcMar>
          </w:tcPr>
          <w:p>
            <w:pPr>
              <w:spacing w:after="0" w:line="240"/>
              <w:jc w:val="center"/>
            </w:pPr>
            <w:r>
              <w:rPr>
                <w:b w:val="false"/>
                <w:bCs w:val="false"/>
                <w:sz w:val="17"/>
                <w:szCs w:val="17"/>
              </w:rPr>
              <w:t xml:space="preserve">correcto</w:t>
            </w:r>
          </w:p>
        </w:tc>
      </w:tr>
      <w:tr>
        <w:tc>
          <w:tcPr>
            <w:tcW w:type="dxa" w:w="6514"/>
            <w:tcMar>
              <w:top w:type="dxa" w:w="60"/>
              <w:left w:type="dxa" w:w="90"/>
              <w:bottom w:type="dxa" w:w="60"/>
              <w:right w:type="dxa" w:w="90"/>
            </w:tcMar>
          </w:tcPr>
          <w:p>
            <w:pPr>
              <w:spacing w:after="0" w:line="240"/>
              <w:jc w:val="left"/>
            </w:pPr>
            <w:r>
              <w:rPr>
                <w:b w:val="false"/>
                <w:bCs w:val="false"/>
                <w:sz w:val="17"/>
                <w:szCs w:val="17"/>
              </w:rPr>
              <w:t xml:space="preserve">Valores faltantes</w:t>
            </w:r>
          </w:p>
        </w:tc>
        <w:tc>
          <w:tcPr>
            <w:tcW w:type="dxa" w:w="1221"/>
            <w:tcMar>
              <w:top w:type="dxa" w:w="60"/>
              <w:left w:type="dxa" w:w="90"/>
              <w:bottom w:type="dxa" w:w="60"/>
              <w:right w:type="dxa" w:w="90"/>
            </w:tcMar>
          </w:tcPr>
          <w:p>
            <w:pPr>
              <w:spacing w:after="0" w:line="240"/>
              <w:jc w:val="center"/>
            </w:pPr>
            <w:r>
              <w:rPr>
                <w:b w:val="false"/>
                <w:bCs w:val="false"/>
                <w:sz w:val="17"/>
                <w:szCs w:val="17"/>
              </w:rPr>
              <w:t xml:space="preserve">0</w:t>
            </w:r>
          </w:p>
        </w:tc>
        <w:tc>
          <w:tcPr>
            <w:tcW w:type="dxa" w:w="2239"/>
            <w:tcMar>
              <w:top w:type="dxa" w:w="60"/>
              <w:left w:type="dxa" w:w="90"/>
              <w:bottom w:type="dxa" w:w="60"/>
              <w:right w:type="dxa" w:w="90"/>
            </w:tcMar>
          </w:tcPr>
          <w:p>
            <w:pPr>
              <w:spacing w:after="0" w:line="240"/>
              <w:jc w:val="center"/>
            </w:pPr>
            <w:r>
              <w:rPr>
                <w:b w:val="false"/>
                <w:bCs w:val="false"/>
                <w:sz w:val="17"/>
                <w:szCs w:val="17"/>
              </w:rPr>
              <w:t xml:space="preserve">correcto</w:t>
            </w:r>
          </w:p>
        </w:tc>
      </w:tr>
      <w:tr>
        <w:tc>
          <w:tcPr>
            <w:tcW w:type="dxa" w:w="6514"/>
            <w:tcMar>
              <w:top w:type="dxa" w:w="60"/>
              <w:left w:type="dxa" w:w="90"/>
              <w:bottom w:type="dxa" w:w="60"/>
              <w:right w:type="dxa" w:w="90"/>
            </w:tcMar>
          </w:tcPr>
          <w:p>
            <w:pPr>
              <w:spacing w:after="0" w:line="240"/>
              <w:jc w:val="left"/>
            </w:pPr>
            <w:r>
              <w:rPr>
                <w:b w:val="false"/>
                <w:bCs w:val="false"/>
                <w:sz w:val="17"/>
                <w:szCs w:val="17"/>
              </w:rPr>
              <w:t xml:space="preserve">Proporciones fuera de [0, 1]</w:t>
            </w:r>
          </w:p>
        </w:tc>
        <w:tc>
          <w:tcPr>
            <w:tcW w:type="dxa" w:w="1221"/>
            <w:tcMar>
              <w:top w:type="dxa" w:w="60"/>
              <w:left w:type="dxa" w:w="90"/>
              <w:bottom w:type="dxa" w:w="60"/>
              <w:right w:type="dxa" w:w="90"/>
            </w:tcMar>
          </w:tcPr>
          <w:p>
            <w:pPr>
              <w:spacing w:after="0" w:line="240"/>
              <w:jc w:val="center"/>
            </w:pPr>
            <w:r>
              <w:rPr>
                <w:b w:val="false"/>
                <w:bCs w:val="false"/>
                <w:sz w:val="17"/>
                <w:szCs w:val="17"/>
              </w:rPr>
              <w:t xml:space="preserve">0</w:t>
            </w:r>
          </w:p>
        </w:tc>
        <w:tc>
          <w:tcPr>
            <w:tcW w:type="dxa" w:w="2239"/>
            <w:tcMar>
              <w:top w:type="dxa" w:w="60"/>
              <w:left w:type="dxa" w:w="90"/>
              <w:bottom w:type="dxa" w:w="60"/>
              <w:right w:type="dxa" w:w="90"/>
            </w:tcMar>
          </w:tcPr>
          <w:p>
            <w:pPr>
              <w:spacing w:after="0" w:line="240"/>
              <w:jc w:val="center"/>
            </w:pPr>
            <w:r>
              <w:rPr>
                <w:b w:val="false"/>
                <w:bCs w:val="false"/>
                <w:sz w:val="17"/>
                <w:szCs w:val="17"/>
              </w:rPr>
              <w:t xml:space="preserve">correcto</w:t>
            </w:r>
          </w:p>
        </w:tc>
      </w:tr>
      <w:tr>
        <w:tc>
          <w:tcPr>
            <w:tcW w:type="dxa" w:w="6514"/>
            <w:tcMar>
              <w:top w:type="dxa" w:w="60"/>
              <w:left w:type="dxa" w:w="90"/>
              <w:bottom w:type="dxa" w:w="60"/>
              <w:right w:type="dxa" w:w="90"/>
            </w:tcMar>
          </w:tcPr>
          <w:p>
            <w:pPr>
              <w:spacing w:after="0" w:line="240"/>
              <w:jc w:val="left"/>
            </w:pPr>
            <w:r>
              <w:rPr>
                <w:b w:val="false"/>
                <w:bCs w:val="false"/>
                <w:sz w:val="17"/>
                <w:szCs w:val="17"/>
              </w:rPr>
              <w:t xml:space="preserve">Abandono fuera de [0, 1]</w:t>
            </w:r>
          </w:p>
        </w:tc>
        <w:tc>
          <w:tcPr>
            <w:tcW w:type="dxa" w:w="1221"/>
            <w:tcMar>
              <w:top w:type="dxa" w:w="60"/>
              <w:left w:type="dxa" w:w="90"/>
              <w:bottom w:type="dxa" w:w="60"/>
              <w:right w:type="dxa" w:w="90"/>
            </w:tcMar>
          </w:tcPr>
          <w:p>
            <w:pPr>
              <w:spacing w:after="0" w:line="240"/>
              <w:jc w:val="center"/>
            </w:pPr>
            <w:r>
              <w:rPr>
                <w:b w:val="false"/>
                <w:bCs w:val="false"/>
                <w:sz w:val="17"/>
                <w:szCs w:val="17"/>
              </w:rPr>
              <w:t xml:space="preserve">0</w:t>
            </w:r>
          </w:p>
        </w:tc>
        <w:tc>
          <w:tcPr>
            <w:tcW w:type="dxa" w:w="2239"/>
            <w:tcMar>
              <w:top w:type="dxa" w:w="60"/>
              <w:left w:type="dxa" w:w="90"/>
              <w:bottom w:type="dxa" w:w="60"/>
              <w:right w:type="dxa" w:w="90"/>
            </w:tcMar>
          </w:tcPr>
          <w:p>
            <w:pPr>
              <w:spacing w:after="0" w:line="240"/>
              <w:jc w:val="center"/>
            </w:pPr>
            <w:r>
              <w:rPr>
                <w:b w:val="false"/>
                <w:bCs w:val="false"/>
                <w:sz w:val="17"/>
                <w:szCs w:val="17"/>
              </w:rPr>
              <w:t xml:space="preserve">correcto</w:t>
            </w:r>
          </w:p>
        </w:tc>
      </w:tr>
      <w:tr>
        <w:tc>
          <w:tcPr>
            <w:tcW w:type="dxa" w:w="6514"/>
            <w:tcMar>
              <w:top w:type="dxa" w:w="60"/>
              <w:left w:type="dxa" w:w="90"/>
              <w:bottom w:type="dxa" w:w="60"/>
              <w:right w:type="dxa" w:w="90"/>
            </w:tcMar>
          </w:tcPr>
          <w:p>
            <w:pPr>
              <w:spacing w:after="0" w:line="240"/>
              <w:jc w:val="left"/>
            </w:pPr>
            <w:r>
              <w:rPr>
                <w:b w:val="false"/>
                <w:bCs w:val="false"/>
                <w:sz w:val="17"/>
                <w:szCs w:val="17"/>
              </w:rPr>
              <w:t xml:space="preserve">Edad media fuera de 16 a 60 años</w:t>
            </w:r>
          </w:p>
        </w:tc>
        <w:tc>
          <w:tcPr>
            <w:tcW w:type="dxa" w:w="1221"/>
            <w:tcMar>
              <w:top w:type="dxa" w:w="60"/>
              <w:left w:type="dxa" w:w="90"/>
              <w:bottom w:type="dxa" w:w="60"/>
              <w:right w:type="dxa" w:w="90"/>
            </w:tcMar>
          </w:tcPr>
          <w:p>
            <w:pPr>
              <w:spacing w:after="0" w:line="240"/>
              <w:jc w:val="center"/>
            </w:pPr>
            <w:r>
              <w:rPr>
                <w:b w:val="false"/>
                <w:bCs w:val="false"/>
                <w:sz w:val="17"/>
                <w:szCs w:val="17"/>
              </w:rPr>
              <w:t xml:space="preserve">0</w:t>
            </w:r>
          </w:p>
        </w:tc>
        <w:tc>
          <w:tcPr>
            <w:tcW w:type="dxa" w:w="2239"/>
            <w:tcMar>
              <w:top w:type="dxa" w:w="60"/>
              <w:left w:type="dxa" w:w="90"/>
              <w:bottom w:type="dxa" w:w="60"/>
              <w:right w:type="dxa" w:w="90"/>
            </w:tcMar>
          </w:tcPr>
          <w:p>
            <w:pPr>
              <w:spacing w:after="0" w:line="240"/>
              <w:jc w:val="center"/>
            </w:pPr>
            <w:r>
              <w:rPr>
                <w:b w:val="false"/>
                <w:bCs w:val="false"/>
                <w:sz w:val="17"/>
                <w:szCs w:val="17"/>
              </w:rPr>
              <w:t xml:space="preserve">correcto</w:t>
            </w:r>
          </w:p>
        </w:tc>
      </w:tr>
      <w:tr>
        <w:tc>
          <w:tcPr>
            <w:tcW w:type="dxa" w:w="6514"/>
            <w:tcMar>
              <w:top w:type="dxa" w:w="60"/>
              <w:left w:type="dxa" w:w="90"/>
              <w:bottom w:type="dxa" w:w="60"/>
              <w:right w:type="dxa" w:w="90"/>
            </w:tcMar>
          </w:tcPr>
          <w:p>
            <w:pPr>
              <w:spacing w:after="0" w:line="240"/>
              <w:jc w:val="left"/>
            </w:pPr>
            <w:r>
              <w:rPr>
                <w:b w:val="false"/>
                <w:bCs w:val="false"/>
                <w:sz w:val="17"/>
                <w:szCs w:val="17"/>
              </w:rPr>
              <w:t xml:space="preserve">Programas bajo el umbral declarado de 100 de ingreso</w:t>
            </w:r>
          </w:p>
        </w:tc>
        <w:tc>
          <w:tcPr>
            <w:tcW w:type="dxa" w:w="1221"/>
            <w:tcMar>
              <w:top w:type="dxa" w:w="60"/>
              <w:left w:type="dxa" w:w="90"/>
              <w:bottom w:type="dxa" w:w="60"/>
              <w:right w:type="dxa" w:w="90"/>
            </w:tcMar>
          </w:tcPr>
          <w:p>
            <w:pPr>
              <w:spacing w:after="0" w:line="240"/>
              <w:jc w:val="center"/>
            </w:pPr>
            <w:r>
              <w:rPr>
                <w:b w:val="false"/>
                <w:bCs w:val="false"/>
                <w:sz w:val="17"/>
                <w:szCs w:val="17"/>
              </w:rPr>
              <w:t xml:space="preserve">0</w:t>
            </w:r>
          </w:p>
        </w:tc>
        <w:tc>
          <w:tcPr>
            <w:tcW w:type="dxa" w:w="2239"/>
            <w:tcMar>
              <w:top w:type="dxa" w:w="60"/>
              <w:left w:type="dxa" w:w="90"/>
              <w:bottom w:type="dxa" w:w="60"/>
              <w:right w:type="dxa" w:w="90"/>
            </w:tcMar>
          </w:tcPr>
          <w:p>
            <w:pPr>
              <w:spacing w:after="0" w:line="240"/>
              <w:jc w:val="center"/>
            </w:pPr>
            <w:r>
              <w:rPr>
                <w:b w:val="false"/>
                <w:bCs w:val="false"/>
                <w:sz w:val="17"/>
                <w:szCs w:val="17"/>
              </w:rPr>
              <w:t xml:space="preserve">correcto</w:t>
            </w:r>
          </w:p>
        </w:tc>
      </w:tr>
      <w:tr>
        <w:tc>
          <w:tcPr>
            <w:tcW w:type="dxa" w:w="6514"/>
            <w:tcMar>
              <w:top w:type="dxa" w:w="60"/>
              <w:left w:type="dxa" w:w="90"/>
              <w:bottom w:type="dxa" w:w="60"/>
              <w:right w:type="dxa" w:w="90"/>
            </w:tcMar>
          </w:tcPr>
          <w:p>
            <w:pPr>
              <w:spacing w:after="0" w:line="240"/>
              <w:jc w:val="left"/>
            </w:pPr>
            <w:r>
              <w:rPr>
                <w:b w:val="false"/>
                <w:bCs w:val="false"/>
                <w:sz w:val="17"/>
                <w:szCs w:val="17"/>
              </w:rPr>
              <w:t xml:space="preserve">Duración fuera de 1 a 10 años</w:t>
            </w:r>
          </w:p>
        </w:tc>
        <w:tc>
          <w:tcPr>
            <w:tcW w:type="dxa" w:w="1221"/>
            <w:tcMar>
              <w:top w:type="dxa" w:w="60"/>
              <w:left w:type="dxa" w:w="90"/>
              <w:bottom w:type="dxa" w:w="60"/>
              <w:right w:type="dxa" w:w="90"/>
            </w:tcMar>
          </w:tcPr>
          <w:p>
            <w:pPr>
              <w:spacing w:after="0" w:line="240"/>
              <w:jc w:val="center"/>
            </w:pPr>
            <w:r>
              <w:rPr>
                <w:b w:val="false"/>
                <w:bCs w:val="false"/>
                <w:sz w:val="17"/>
                <w:szCs w:val="17"/>
              </w:rPr>
              <w:t xml:space="preserve">1</w:t>
            </w:r>
          </w:p>
        </w:tc>
        <w:tc>
          <w:tcPr>
            <w:tcW w:type="dxa" w:w="2239"/>
            <w:tcMar>
              <w:top w:type="dxa" w:w="60"/>
              <w:left w:type="dxa" w:w="90"/>
              <w:bottom w:type="dxa" w:w="60"/>
              <w:right w:type="dxa" w:w="90"/>
            </w:tcMar>
          </w:tcPr>
          <w:p>
            <w:pPr>
              <w:spacing w:after="0" w:line="240"/>
              <w:jc w:val="center"/>
            </w:pPr>
            <w:r>
              <w:rPr>
                <w:b w:val="false"/>
                <w:bCs w:val="false"/>
                <w:sz w:val="17"/>
                <w:szCs w:val="17"/>
              </w:rPr>
              <w:t xml:space="preserve">revisar</w:t>
            </w:r>
          </w:p>
        </w:tc>
      </w:tr>
      <w:tr>
        <w:tc>
          <w:tcPr>
            <w:tcW w:type="dxa" w:w="6514"/>
            <w:tcMar>
              <w:top w:type="dxa" w:w="60"/>
              <w:left w:type="dxa" w:w="90"/>
              <w:bottom w:type="dxa" w:w="60"/>
              <w:right w:type="dxa" w:w="90"/>
            </w:tcMar>
          </w:tcPr>
          <w:p>
            <w:pPr>
              <w:spacing w:after="0" w:line="240"/>
              <w:jc w:val="left"/>
            </w:pPr>
            <w:r>
              <w:rPr>
                <w:b w:val="false"/>
                <w:bCs w:val="false"/>
                <w:sz w:val="17"/>
                <w:szCs w:val="17"/>
              </w:rPr>
              <w:t xml:space="preserve">Titulados por sobre el ingreso de la cohorte</w:t>
            </w:r>
          </w:p>
        </w:tc>
        <w:tc>
          <w:tcPr>
            <w:tcW w:type="dxa" w:w="1221"/>
            <w:tcMar>
              <w:top w:type="dxa" w:w="60"/>
              <w:left w:type="dxa" w:w="90"/>
              <w:bottom w:type="dxa" w:w="60"/>
              <w:right w:type="dxa" w:w="90"/>
            </w:tcMar>
          </w:tcPr>
          <w:p>
            <w:pPr>
              <w:spacing w:after="0" w:line="240"/>
              <w:jc w:val="center"/>
            </w:pPr>
            <w:r>
              <w:rPr>
                <w:b w:val="false"/>
                <w:bCs w:val="false"/>
                <w:sz w:val="17"/>
                <w:szCs w:val="17"/>
              </w:rPr>
              <w:t xml:space="preserve">299</w:t>
            </w:r>
          </w:p>
        </w:tc>
        <w:tc>
          <w:tcPr>
            <w:tcW w:type="dxa" w:w="2239"/>
            <w:tcMar>
              <w:top w:type="dxa" w:w="60"/>
              <w:left w:type="dxa" w:w="90"/>
              <w:bottom w:type="dxa" w:w="60"/>
              <w:right w:type="dxa" w:w="90"/>
            </w:tcMar>
          </w:tcPr>
          <w:p>
            <w:pPr>
              <w:spacing w:after="0" w:line="240"/>
              <w:jc w:val="center"/>
            </w:pPr>
            <w:r>
              <w:rPr>
                <w:b w:val="false"/>
                <w:bCs w:val="false"/>
                <w:sz w:val="17"/>
                <w:szCs w:val="17"/>
              </w:rPr>
              <w:t xml:space="preserve">revisar</w:t>
            </w:r>
          </w:p>
        </w:tc>
      </w:tr>
    </w:tbl>
    <w:p>
      <w:pPr>
        <w:spacing w:after="110"/>
      </w:pPr>
      <w:r>
        <w:rPr>
          <w:sz w:val="8"/>
          <w:szCs w:val="8"/>
        </w:rPr>
        <w:t xml:space="preserve"/>
      </w:r>
    </w:p>
    <w:p>
      <w:pPr>
        <w:spacing w:after="120" w:line="264"/>
        <w:jc w:val="both"/>
      </w:pPr>
      <w:r>
        <w:t xml:space="preserve">El conjunto llega limpio y </w:t>
      </w:r>
      <w:r>
        <w:rPr>
          <w:b/>
          <w:bCs/>
        </w:rPr>
        <w:t xml:space="preserve">no requiere limpieza</w:t>
      </w:r>
      <w:r>
        <w:t xml:space="preserve">, lo que es esperable porque ya es el resultado de un proceso de agregación y filtrado documentado. Dos controles quedan marcados y ninguno exige corregir el dato. Un programa declara doce años de duración formal: es un caso real de Arte y Arquitectura, no un error de captura. Y 299 programas titulan a más personas de las que ingresaron en la ventana, lo que no es una inconsistencia del dato sino una consecuencia del método, al recoger la cohorte de egreso a quienes llegaron por convalidación o traslado; es el origen del apilamiento en cero que se examina más adelante.</w:t>
      </w:r>
    </w:p>
    <w:p>
      <w:pPr>
        <w:pStyle w:val="Heading1"/>
        <w:spacing w:after="130" w:before="260"/>
      </w:pPr>
      <w:r>
        <w:rPr>
          <w:b/>
          <w:bCs/>
          <w:color w:val="1F3864"/>
          <w:sz w:val="26"/>
          <w:szCs w:val="26"/>
        </w:rPr>
        <w:t xml:space="preserve">3. Estadística descriptiva</w:t>
      </w:r>
    </w:p>
    <w:p>
      <w:pPr>
        <w:spacing w:after="120" w:line="264"/>
        <w:jc w:val="both"/>
      </w:pPr>
      <w:r>
        <w:t xml:space="preserve">La descripción de la variable respuesta combina medidas de tendencia central, de dispersión y de forma. Las tres familias son necesarias: la primera sitúa el centro, la segunda indica cuánto se alejan de él los programas —que es justamente lo que interesa a quien debe focalizar— y la tercera dice si las medidas centrales son representativas.</w:t>
      </w:r>
    </w:p>
    <w:tbl>
      <w:tblPr>
        <w:tblW w:type="pct" w:w="5000"/>
        <w:tblBorders>
          <w:top w:val="single" w:color="BFCDD8" w:sz="2"/>
          <w:left w:val="single" w:color="BFCDD8" w:sz="2"/>
          <w:bottom w:val="single" w:color="BFCDD8" w:sz="2"/>
          <w:right w:val="single" w:color="BFCDD8" w:sz="2"/>
          <w:insideH w:val="single" w:color="BFCDD8" w:sz="2"/>
          <w:insideV w:val="single" w:color="BFCDD8" w:sz="2"/>
        </w:tblBorders>
      </w:tblPr>
      <w:tblGrid>
        <w:gridCol w:w="2100"/>
        <w:gridCol w:w="1100"/>
        <w:gridCol w:w="2400"/>
        <w:gridCol w:w="1100"/>
        <w:gridCol w:w="2100"/>
        <w:gridCol w:w="1100"/>
      </w:tblGrid>
      <w:tr>
        <w:trPr>
          <w:tblHeader/>
        </w:trPr>
        <w:tc>
          <w:tcPr>
            <w:tcW w:type="dxa" w:w="2116"/>
            <w:shd w:fill="F2F5F7" w:val="clear"/>
            <w:tcMar>
              <w:top w:type="dxa" w:w="60"/>
              <w:left w:type="dxa" w:w="90"/>
              <w:bottom w:type="dxa" w:w="60"/>
              <w:right w:type="dxa" w:w="90"/>
            </w:tcMar>
          </w:tcPr>
          <w:p>
            <w:pPr>
              <w:spacing w:after="0" w:line="240"/>
              <w:jc w:val="left"/>
            </w:pPr>
            <w:r>
              <w:rPr>
                <w:b/>
                <w:bCs/>
                <w:sz w:val="17"/>
                <w:szCs w:val="17"/>
              </w:rPr>
              <w:t xml:space="preserve">Tendencia central</w:t>
            </w:r>
          </w:p>
        </w:tc>
        <w:tc>
          <w:tcPr>
            <w:tcW w:type="dxa" w:w="1108"/>
            <w:shd w:fill="F2F5F7" w:val="clear"/>
            <w:tcMar>
              <w:top w:type="dxa" w:w="60"/>
              <w:left w:type="dxa" w:w="90"/>
              <w:bottom w:type="dxa" w:w="60"/>
              <w:right w:type="dxa" w:w="90"/>
            </w:tcMar>
          </w:tcPr>
          <w:p>
            <w:pPr>
              <w:spacing w:after="0" w:line="240"/>
              <w:jc w:val="center"/>
            </w:pPr>
            <w:r>
              <w:rPr>
                <w:b/>
                <w:bCs/>
                <w:sz w:val="17"/>
                <w:szCs w:val="17"/>
              </w:rPr>
              <w:t xml:space="preserve">Valor</w:t>
            </w:r>
          </w:p>
        </w:tc>
        <w:tc>
          <w:tcPr>
            <w:tcW w:type="dxa" w:w="2418"/>
            <w:shd w:fill="F2F5F7" w:val="clear"/>
            <w:tcMar>
              <w:top w:type="dxa" w:w="60"/>
              <w:left w:type="dxa" w:w="90"/>
              <w:bottom w:type="dxa" w:w="60"/>
              <w:right w:type="dxa" w:w="90"/>
            </w:tcMar>
          </w:tcPr>
          <w:p>
            <w:pPr>
              <w:spacing w:after="0" w:line="240"/>
              <w:jc w:val="left"/>
            </w:pPr>
            <w:r>
              <w:rPr>
                <w:b/>
                <w:bCs/>
                <w:sz w:val="17"/>
                <w:szCs w:val="17"/>
              </w:rPr>
              <w:t xml:space="preserve">Dispersión</w:t>
            </w:r>
          </w:p>
        </w:tc>
        <w:tc>
          <w:tcPr>
            <w:tcW w:type="dxa" w:w="1108"/>
            <w:shd w:fill="F2F5F7" w:val="clear"/>
            <w:tcMar>
              <w:top w:type="dxa" w:w="60"/>
              <w:left w:type="dxa" w:w="90"/>
              <w:bottom w:type="dxa" w:w="60"/>
              <w:right w:type="dxa" w:w="90"/>
            </w:tcMar>
          </w:tcPr>
          <w:p>
            <w:pPr>
              <w:spacing w:after="0" w:line="240"/>
              <w:jc w:val="center"/>
            </w:pPr>
            <w:r>
              <w:rPr>
                <w:b/>
                <w:bCs/>
                <w:sz w:val="17"/>
                <w:szCs w:val="17"/>
              </w:rPr>
              <w:t xml:space="preserve">Valor</w:t>
            </w:r>
          </w:p>
        </w:tc>
        <w:tc>
          <w:tcPr>
            <w:tcW w:type="dxa" w:w="2116"/>
            <w:shd w:fill="F2F5F7" w:val="clear"/>
            <w:tcMar>
              <w:top w:type="dxa" w:w="60"/>
              <w:left w:type="dxa" w:w="90"/>
              <w:bottom w:type="dxa" w:w="60"/>
              <w:right w:type="dxa" w:w="90"/>
            </w:tcMar>
          </w:tcPr>
          <w:p>
            <w:pPr>
              <w:spacing w:after="0" w:line="240"/>
              <w:jc w:val="left"/>
            </w:pPr>
            <w:r>
              <w:rPr>
                <w:b/>
                <w:bCs/>
                <w:sz w:val="17"/>
                <w:szCs w:val="17"/>
              </w:rPr>
              <w:t xml:space="preserve">Forma</w:t>
            </w:r>
          </w:p>
        </w:tc>
        <w:tc>
          <w:tcPr>
            <w:tcW w:type="dxa" w:w="1108"/>
            <w:shd w:fill="F2F5F7" w:val="clear"/>
            <w:tcMar>
              <w:top w:type="dxa" w:w="60"/>
              <w:left w:type="dxa" w:w="90"/>
              <w:bottom w:type="dxa" w:w="60"/>
              <w:right w:type="dxa" w:w="90"/>
            </w:tcMar>
          </w:tcPr>
          <w:p>
            <w:pPr>
              <w:spacing w:after="0" w:line="240"/>
              <w:jc w:val="center"/>
            </w:pPr>
            <w:r>
              <w:rPr>
                <w:b/>
                <w:bCs/>
                <w:sz w:val="17"/>
                <w:szCs w:val="17"/>
              </w:rPr>
              <w:t xml:space="preserve">Valor</w:t>
            </w:r>
          </w:p>
        </w:tc>
      </w:tr>
      <w:tr>
        <w:tc>
          <w:tcPr>
            <w:tcW w:type="dxa" w:w="2116"/>
            <w:tcMar>
              <w:top w:type="dxa" w:w="60"/>
              <w:left w:type="dxa" w:w="90"/>
              <w:bottom w:type="dxa" w:w="60"/>
              <w:right w:type="dxa" w:w="90"/>
            </w:tcMar>
          </w:tcPr>
          <w:p>
            <w:pPr>
              <w:spacing w:after="0" w:line="240"/>
              <w:jc w:val="left"/>
            </w:pPr>
            <w:r>
              <w:rPr>
                <w:b w:val="false"/>
                <w:bCs w:val="false"/>
                <w:sz w:val="17"/>
                <w:szCs w:val="17"/>
              </w:rPr>
              <w:t xml:space="preserve">Media</w:t>
            </w:r>
          </w:p>
        </w:tc>
        <w:tc>
          <w:tcPr>
            <w:tcW w:type="dxa" w:w="1108"/>
            <w:tcMar>
              <w:top w:type="dxa" w:w="60"/>
              <w:left w:type="dxa" w:w="90"/>
              <w:bottom w:type="dxa" w:w="60"/>
              <w:right w:type="dxa" w:w="90"/>
            </w:tcMar>
          </w:tcPr>
          <w:p>
            <w:pPr>
              <w:spacing w:after="0" w:line="240"/>
              <w:jc w:val="center"/>
            </w:pPr>
            <w:r>
              <w:rPr>
                <w:b w:val="false"/>
                <w:bCs w:val="false"/>
                <w:sz w:val="17"/>
                <w:szCs w:val="17"/>
              </w:rPr>
              <w:t xml:space="preserve">0,5183</w:t>
            </w:r>
          </w:p>
        </w:tc>
        <w:tc>
          <w:tcPr>
            <w:tcW w:type="dxa" w:w="2418"/>
            <w:tcMar>
              <w:top w:type="dxa" w:w="60"/>
              <w:left w:type="dxa" w:w="90"/>
              <w:bottom w:type="dxa" w:w="60"/>
              <w:right w:type="dxa" w:w="90"/>
            </w:tcMar>
          </w:tcPr>
          <w:p>
            <w:pPr>
              <w:spacing w:after="0" w:line="240"/>
              <w:jc w:val="left"/>
            </w:pPr>
            <w:r>
              <w:rPr>
                <w:b w:val="false"/>
                <w:bCs w:val="false"/>
                <w:sz w:val="17"/>
                <w:szCs w:val="17"/>
              </w:rPr>
              <w:t xml:space="preserve">Desviación estándar</w:t>
            </w:r>
          </w:p>
        </w:tc>
        <w:tc>
          <w:tcPr>
            <w:tcW w:type="dxa" w:w="1108"/>
            <w:tcMar>
              <w:top w:type="dxa" w:w="60"/>
              <w:left w:type="dxa" w:w="90"/>
              <w:bottom w:type="dxa" w:w="60"/>
              <w:right w:type="dxa" w:w="90"/>
            </w:tcMar>
          </w:tcPr>
          <w:p>
            <w:pPr>
              <w:spacing w:after="0" w:line="240"/>
              <w:jc w:val="center"/>
            </w:pPr>
            <w:r>
              <w:rPr>
                <w:b w:val="false"/>
                <w:bCs w:val="false"/>
                <w:sz w:val="17"/>
                <w:szCs w:val="17"/>
              </w:rPr>
              <w:t xml:space="preserve">0,2239</w:t>
            </w:r>
          </w:p>
        </w:tc>
        <w:tc>
          <w:tcPr>
            <w:tcW w:type="dxa" w:w="2116"/>
            <w:tcMar>
              <w:top w:type="dxa" w:w="60"/>
              <w:left w:type="dxa" w:w="90"/>
              <w:bottom w:type="dxa" w:w="60"/>
              <w:right w:type="dxa" w:w="90"/>
            </w:tcMar>
          </w:tcPr>
          <w:p>
            <w:pPr>
              <w:spacing w:after="0" w:line="240"/>
              <w:jc w:val="left"/>
            </w:pPr>
            <w:r>
              <w:rPr>
                <w:b w:val="false"/>
                <w:bCs w:val="false"/>
                <w:sz w:val="17"/>
                <w:szCs w:val="17"/>
              </w:rPr>
              <w:t xml:space="preserve">Asimetría</w:t>
            </w:r>
          </w:p>
        </w:tc>
        <w:tc>
          <w:tcPr>
            <w:tcW w:type="dxa" w:w="1108"/>
            <w:tcMar>
              <w:top w:type="dxa" w:w="60"/>
              <w:left w:type="dxa" w:w="90"/>
              <w:bottom w:type="dxa" w:w="60"/>
              <w:right w:type="dxa" w:w="90"/>
            </w:tcMar>
          </w:tcPr>
          <w:p>
            <w:pPr>
              <w:spacing w:after="0" w:line="240"/>
              <w:jc w:val="center"/>
            </w:pPr>
            <w:r>
              <w:rPr>
                <w:b w:val="false"/>
                <w:bCs w:val="false"/>
                <w:sz w:val="17"/>
                <w:szCs w:val="17"/>
              </w:rPr>
              <w:t xml:space="preserve">−0,182</w:t>
            </w:r>
          </w:p>
        </w:tc>
      </w:tr>
      <w:tr>
        <w:tc>
          <w:tcPr>
            <w:tcW w:type="dxa" w:w="2116"/>
            <w:tcMar>
              <w:top w:type="dxa" w:w="60"/>
              <w:left w:type="dxa" w:w="90"/>
              <w:bottom w:type="dxa" w:w="60"/>
              <w:right w:type="dxa" w:w="90"/>
            </w:tcMar>
          </w:tcPr>
          <w:p>
            <w:pPr>
              <w:spacing w:after="0" w:line="240"/>
              <w:jc w:val="left"/>
            </w:pPr>
            <w:r>
              <w:rPr>
                <w:b w:val="false"/>
                <w:bCs w:val="false"/>
                <w:sz w:val="17"/>
                <w:szCs w:val="17"/>
              </w:rPr>
              <w:t xml:space="preserve">Mediana</w:t>
            </w:r>
          </w:p>
        </w:tc>
        <w:tc>
          <w:tcPr>
            <w:tcW w:type="dxa" w:w="1108"/>
            <w:tcMar>
              <w:top w:type="dxa" w:w="60"/>
              <w:left w:type="dxa" w:w="90"/>
              <w:bottom w:type="dxa" w:w="60"/>
              <w:right w:type="dxa" w:w="90"/>
            </w:tcMar>
          </w:tcPr>
          <w:p>
            <w:pPr>
              <w:spacing w:after="0" w:line="240"/>
              <w:jc w:val="center"/>
            </w:pPr>
            <w:r>
              <w:rPr>
                <w:b w:val="false"/>
                <w:bCs w:val="false"/>
                <w:sz w:val="17"/>
                <w:szCs w:val="17"/>
              </w:rPr>
              <w:t xml:space="preserve">0,5250</w:t>
            </w:r>
          </w:p>
        </w:tc>
        <w:tc>
          <w:tcPr>
            <w:tcW w:type="dxa" w:w="2418"/>
            <w:tcMar>
              <w:top w:type="dxa" w:w="60"/>
              <w:left w:type="dxa" w:w="90"/>
              <w:bottom w:type="dxa" w:w="60"/>
              <w:right w:type="dxa" w:w="90"/>
            </w:tcMar>
          </w:tcPr>
          <w:p>
            <w:pPr>
              <w:spacing w:after="0" w:line="240"/>
              <w:jc w:val="left"/>
            </w:pPr>
            <w:r>
              <w:rPr>
                <w:b w:val="false"/>
                <w:bCs w:val="false"/>
                <w:sz w:val="17"/>
                <w:szCs w:val="17"/>
              </w:rPr>
              <w:t xml:space="preserve">Rango intercuartílico</w:t>
            </w:r>
          </w:p>
        </w:tc>
        <w:tc>
          <w:tcPr>
            <w:tcW w:type="dxa" w:w="1108"/>
            <w:tcMar>
              <w:top w:type="dxa" w:w="60"/>
              <w:left w:type="dxa" w:w="90"/>
              <w:bottom w:type="dxa" w:w="60"/>
              <w:right w:type="dxa" w:w="90"/>
            </w:tcMar>
          </w:tcPr>
          <w:p>
            <w:pPr>
              <w:spacing w:after="0" w:line="240"/>
              <w:jc w:val="center"/>
            </w:pPr>
            <w:r>
              <w:rPr>
                <w:b w:val="false"/>
                <w:bCs w:val="false"/>
                <w:sz w:val="17"/>
                <w:szCs w:val="17"/>
              </w:rPr>
              <w:t xml:space="preserve">0,2927</w:t>
            </w:r>
          </w:p>
        </w:tc>
        <w:tc>
          <w:tcPr>
            <w:tcW w:type="dxa" w:w="2116"/>
            <w:tcMar>
              <w:top w:type="dxa" w:w="60"/>
              <w:left w:type="dxa" w:w="90"/>
              <w:bottom w:type="dxa" w:w="60"/>
              <w:right w:type="dxa" w:w="90"/>
            </w:tcMar>
          </w:tcPr>
          <w:p>
            <w:pPr>
              <w:spacing w:after="0" w:line="240"/>
              <w:jc w:val="left"/>
            </w:pPr>
            <w:r>
              <w:rPr>
                <w:b w:val="false"/>
                <w:bCs w:val="false"/>
                <w:sz w:val="17"/>
                <w:szCs w:val="17"/>
              </w:rPr>
              <w:t xml:space="preserve">Curtosis (exceso)</w:t>
            </w:r>
          </w:p>
        </w:tc>
        <w:tc>
          <w:tcPr>
            <w:tcW w:type="dxa" w:w="1108"/>
            <w:tcMar>
              <w:top w:type="dxa" w:w="60"/>
              <w:left w:type="dxa" w:w="90"/>
              <w:bottom w:type="dxa" w:w="60"/>
              <w:right w:type="dxa" w:w="90"/>
            </w:tcMar>
          </w:tcPr>
          <w:p>
            <w:pPr>
              <w:spacing w:after="0" w:line="240"/>
              <w:jc w:val="center"/>
            </w:pPr>
            <w:r>
              <w:rPr>
                <w:b w:val="false"/>
                <w:bCs w:val="false"/>
                <w:sz w:val="17"/>
                <w:szCs w:val="17"/>
              </w:rPr>
              <w:t xml:space="preserve">−0,184</w:t>
            </w:r>
          </w:p>
        </w:tc>
      </w:tr>
      <w:tr>
        <w:tc>
          <w:tcPr>
            <w:tcW w:type="dxa" w:w="2116"/>
            <w:tcMar>
              <w:top w:type="dxa" w:w="60"/>
              <w:left w:type="dxa" w:w="90"/>
              <w:bottom w:type="dxa" w:w="60"/>
              <w:right w:type="dxa" w:w="90"/>
            </w:tcMar>
          </w:tcPr>
          <w:p>
            <w:pPr>
              <w:spacing w:after="0" w:line="240"/>
              <w:jc w:val="left"/>
            </w:pPr>
            <w:r>
              <w:rPr>
                <w:b w:val="false"/>
                <w:bCs w:val="false"/>
                <w:sz w:val="17"/>
                <w:szCs w:val="17"/>
              </w:rPr>
              <w:t xml:space="preserve">Primer cuartil</w:t>
            </w:r>
          </w:p>
        </w:tc>
        <w:tc>
          <w:tcPr>
            <w:tcW w:type="dxa" w:w="1108"/>
            <w:tcMar>
              <w:top w:type="dxa" w:w="60"/>
              <w:left w:type="dxa" w:w="90"/>
              <w:bottom w:type="dxa" w:w="60"/>
              <w:right w:type="dxa" w:w="90"/>
            </w:tcMar>
          </w:tcPr>
          <w:p>
            <w:pPr>
              <w:spacing w:after="0" w:line="240"/>
              <w:jc w:val="center"/>
            </w:pPr>
            <w:r>
              <w:rPr>
                <w:b w:val="false"/>
                <w:bCs w:val="false"/>
                <w:sz w:val="17"/>
                <w:szCs w:val="17"/>
              </w:rPr>
              <w:t xml:space="preserve">0,3764</w:t>
            </w:r>
          </w:p>
        </w:tc>
        <w:tc>
          <w:tcPr>
            <w:tcW w:type="dxa" w:w="2418"/>
            <w:tcMar>
              <w:top w:type="dxa" w:w="60"/>
              <w:left w:type="dxa" w:w="90"/>
              <w:bottom w:type="dxa" w:w="60"/>
              <w:right w:type="dxa" w:w="90"/>
            </w:tcMar>
          </w:tcPr>
          <w:p>
            <w:pPr>
              <w:spacing w:after="0" w:line="240"/>
              <w:jc w:val="left"/>
            </w:pPr>
            <w:r>
              <w:rPr>
                <w:b w:val="false"/>
                <w:bCs w:val="false"/>
                <w:sz w:val="17"/>
                <w:szCs w:val="17"/>
              </w:rPr>
              <w:t xml:space="preserve">Coef. de variación</w:t>
            </w:r>
          </w:p>
        </w:tc>
        <w:tc>
          <w:tcPr>
            <w:tcW w:type="dxa" w:w="1108"/>
            <w:tcMar>
              <w:top w:type="dxa" w:w="60"/>
              <w:left w:type="dxa" w:w="90"/>
              <w:bottom w:type="dxa" w:w="60"/>
              <w:right w:type="dxa" w:w="90"/>
            </w:tcMar>
          </w:tcPr>
          <w:p>
            <w:pPr>
              <w:spacing w:after="0" w:line="240"/>
              <w:jc w:val="center"/>
            </w:pPr>
            <w:r>
              <w:rPr>
                <w:b w:val="false"/>
                <w:bCs w:val="false"/>
                <w:sz w:val="17"/>
                <w:szCs w:val="17"/>
              </w:rPr>
              <w:t xml:space="preserve">0,4320</w:t>
            </w:r>
          </w:p>
        </w:tc>
        <w:tc>
          <w:tcPr>
            <w:tcW w:type="dxa" w:w="2116"/>
            <w:tcMar>
              <w:top w:type="dxa" w:w="60"/>
              <w:left w:type="dxa" w:w="90"/>
              <w:bottom w:type="dxa" w:w="60"/>
              <w:right w:type="dxa" w:w="90"/>
            </w:tcMar>
          </w:tcPr>
          <w:p>
            <w:pPr>
              <w:spacing w:after="0" w:line="240"/>
              <w:jc w:val="left"/>
            </w:pPr>
            <w:r>
              <w:rPr>
                <w:b w:val="false"/>
                <w:bCs w:val="false"/>
                <w:sz w:val="17"/>
                <w:szCs w:val="17"/>
              </w:rPr>
              <w:t xml:space="preserve">Mínimo</w:t>
            </w:r>
          </w:p>
        </w:tc>
        <w:tc>
          <w:tcPr>
            <w:tcW w:type="dxa" w:w="1108"/>
            <w:tcMar>
              <w:top w:type="dxa" w:w="60"/>
              <w:left w:type="dxa" w:w="90"/>
              <w:bottom w:type="dxa" w:w="60"/>
              <w:right w:type="dxa" w:w="90"/>
            </w:tcMar>
          </w:tcPr>
          <w:p>
            <w:pPr>
              <w:spacing w:after="0" w:line="240"/>
              <w:jc w:val="center"/>
            </w:pPr>
            <w:r>
              <w:rPr>
                <w:b w:val="false"/>
                <w:bCs w:val="false"/>
                <w:sz w:val="17"/>
                <w:szCs w:val="17"/>
              </w:rPr>
              <w:t xml:space="preserve">0,000</w:t>
            </w:r>
          </w:p>
        </w:tc>
      </w:tr>
      <w:tr>
        <w:tc>
          <w:tcPr>
            <w:tcW w:type="dxa" w:w="2116"/>
            <w:tcMar>
              <w:top w:type="dxa" w:w="60"/>
              <w:left w:type="dxa" w:w="90"/>
              <w:bottom w:type="dxa" w:w="60"/>
              <w:right w:type="dxa" w:w="90"/>
            </w:tcMar>
          </w:tcPr>
          <w:p>
            <w:pPr>
              <w:spacing w:after="0" w:line="240"/>
              <w:jc w:val="left"/>
            </w:pPr>
            <w:r>
              <w:rPr>
                <w:b w:val="false"/>
                <w:bCs w:val="false"/>
                <w:sz w:val="17"/>
                <w:szCs w:val="17"/>
              </w:rPr>
              <w:t xml:space="preserve">Tercer cuartil</w:t>
            </w:r>
          </w:p>
        </w:tc>
        <w:tc>
          <w:tcPr>
            <w:tcW w:type="dxa" w:w="1108"/>
            <w:tcMar>
              <w:top w:type="dxa" w:w="60"/>
              <w:left w:type="dxa" w:w="90"/>
              <w:bottom w:type="dxa" w:w="60"/>
              <w:right w:type="dxa" w:w="90"/>
            </w:tcMar>
          </w:tcPr>
          <w:p>
            <w:pPr>
              <w:spacing w:after="0" w:line="240"/>
              <w:jc w:val="center"/>
            </w:pPr>
            <w:r>
              <w:rPr>
                <w:b w:val="false"/>
                <w:bCs w:val="false"/>
                <w:sz w:val="17"/>
                <w:szCs w:val="17"/>
              </w:rPr>
              <w:t xml:space="preserve">0,6692</w:t>
            </w:r>
          </w:p>
        </w:tc>
        <w:tc>
          <w:tcPr>
            <w:tcW w:type="dxa" w:w="2418"/>
            <w:tcMar>
              <w:top w:type="dxa" w:w="60"/>
              <w:left w:type="dxa" w:w="90"/>
              <w:bottom w:type="dxa" w:w="60"/>
              <w:right w:type="dxa" w:w="90"/>
            </w:tcMar>
          </w:tcPr>
          <w:p>
            <w:pPr>
              <w:spacing w:after="0" w:line="240"/>
              <w:jc w:val="left"/>
            </w:pPr>
            <w:r>
              <w:rPr>
                <w:b w:val="false"/>
                <w:bCs w:val="false"/>
                <w:sz w:val="17"/>
                <w:szCs w:val="17"/>
              </w:rPr>
              <w:t xml:space="preserve">Varianza</w:t>
            </w:r>
          </w:p>
        </w:tc>
        <w:tc>
          <w:tcPr>
            <w:tcW w:type="dxa" w:w="1108"/>
            <w:tcMar>
              <w:top w:type="dxa" w:w="60"/>
              <w:left w:type="dxa" w:w="90"/>
              <w:bottom w:type="dxa" w:w="60"/>
              <w:right w:type="dxa" w:w="90"/>
            </w:tcMar>
          </w:tcPr>
          <w:p>
            <w:pPr>
              <w:spacing w:after="0" w:line="240"/>
              <w:jc w:val="center"/>
            </w:pPr>
            <w:r>
              <w:rPr>
                <w:b w:val="false"/>
                <w:bCs w:val="false"/>
                <w:sz w:val="17"/>
                <w:szCs w:val="17"/>
              </w:rPr>
              <w:t xml:space="preserve">0,0501</w:t>
            </w:r>
          </w:p>
        </w:tc>
        <w:tc>
          <w:tcPr>
            <w:tcW w:type="dxa" w:w="2116"/>
            <w:tcMar>
              <w:top w:type="dxa" w:w="60"/>
              <w:left w:type="dxa" w:w="90"/>
              <w:bottom w:type="dxa" w:w="60"/>
              <w:right w:type="dxa" w:w="90"/>
            </w:tcMar>
          </w:tcPr>
          <w:p>
            <w:pPr>
              <w:spacing w:after="0" w:line="240"/>
              <w:jc w:val="left"/>
            </w:pPr>
            <w:r>
              <w:rPr>
                <w:b w:val="false"/>
                <w:bCs w:val="false"/>
                <w:sz w:val="17"/>
                <w:szCs w:val="17"/>
              </w:rPr>
              <w:t xml:space="preserve">Máximo</w:t>
            </w:r>
          </w:p>
        </w:tc>
        <w:tc>
          <w:tcPr>
            <w:tcW w:type="dxa" w:w="1108"/>
            <w:tcMar>
              <w:top w:type="dxa" w:w="60"/>
              <w:left w:type="dxa" w:w="90"/>
              <w:bottom w:type="dxa" w:w="60"/>
              <w:right w:type="dxa" w:w="90"/>
            </w:tcMar>
          </w:tcPr>
          <w:p>
            <w:pPr>
              <w:spacing w:after="0" w:line="240"/>
              <w:jc w:val="center"/>
            </w:pPr>
            <w:r>
              <w:rPr>
                <w:b w:val="false"/>
                <w:bCs w:val="false"/>
                <w:sz w:val="17"/>
                <w:szCs w:val="17"/>
              </w:rPr>
              <w:t xml:space="preserve">1,000</w:t>
            </w:r>
          </w:p>
        </w:tc>
      </w:tr>
    </w:tbl>
    <w:p>
      <w:pPr>
        <w:spacing w:after="110"/>
      </w:pPr>
      <w:r>
        <w:rPr>
          <w:sz w:val="8"/>
          <w:szCs w:val="8"/>
        </w:rPr>
        <w:t xml:space="preserve"/>
      </w:r>
    </w:p>
    <w:p>
      <w:pPr>
        <w:spacing w:after="120" w:line="264"/>
        <w:jc w:val="both"/>
      </w:pPr>
      <w:r>
        <w:rPr>
          <w:b/>
          <w:bCs/>
        </w:rPr>
        <w:t xml:space="preserve">El centro.</w:t>
      </w:r>
      <w:r>
        <w:t xml:space="preserve"> Media y mediana casi coinciden, de modo que ninguna cola arrastra el promedio: en el programa típico, algo más de la mitad de la cohorte no llega a titularse.</w:t>
      </w:r>
    </w:p>
    <w:p>
      <w:pPr>
        <w:spacing w:after="120" w:line="264"/>
        <w:jc w:val="both"/>
      </w:pPr>
      <w:r>
        <w:rPr>
          <w:b/>
          <w:bCs/>
        </w:rPr>
        <w:t xml:space="preserve">La dispersión.</w:t>
      </w:r>
      <w:r>
        <w:t xml:space="preserve"> Un coeficiente de variación de 0,43 y una mitad central que va de 0,376 a 0,669 revelan que el abandono varía enormemente entre programas. Esa heterogeneidad es precisamente lo que da sentido a focalizar: si todos los programas se parecieran, daría igual dónde intervenir.</w:t>
      </w:r>
    </w:p>
    <w:p>
      <w:pPr>
        <w:spacing w:after="120" w:line="264"/>
        <w:jc w:val="both"/>
      </w:pPr>
      <w:r>
        <w:rPr>
          <w:b/>
          <w:bCs/>
        </w:rPr>
        <w:t xml:space="preserve">La forma.</w:t>
      </w:r>
      <w:r>
        <w:t xml:space="preserve"> Con asimetría y curtosis en torno a −0,18, la distribución es casi simétrica y ligeramente más plana que la normal. No hay valores extremos que distorsionen el análisis, lo que habilita el uso de la media y de los procedimientos paramétricos del apartado 5.</w:t>
      </w:r>
    </w:p>
    <w:p>
      <w:pPr>
        <w:spacing w:after="50" w:before="140"/>
        <w:jc w:val="center"/>
      </w:pPr>
      <w:r>
        <w:drawing>
          <wp:inline distT="0" distB="0" distL="0" distR="0">
            <wp:extent cx="4752594" cy="288251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594" cy="2882518"/>
                    </a:xfrm>
                    <a:prstGeom prst="rect">
                      <a:avLst/>
                    </a:prstGeom>
                  </pic:spPr>
                </pic:pic>
              </a:graphicData>
            </a:graphic>
          </wp:inline>
        </w:drawing>
      </w:r>
    </w:p>
    <w:p>
      <w:pPr>
        <w:spacing w:after="160"/>
        <w:jc w:val="center"/>
      </w:pPr>
      <w:r>
        <w:rPr>
          <w:i/>
          <w:iCs/>
          <w:color w:val="555555"/>
          <w:sz w:val="16"/>
          <w:szCs w:val="16"/>
        </w:rPr>
        <w:t xml:space="preserve">Figura 1. Distribución del abandono aparente en los 9.678 programas analizados.</w:t>
      </w:r>
    </w:p>
    <w:p>
      <w:pPr>
        <w:spacing w:after="120" w:line="264"/>
        <w:jc w:val="both"/>
      </w:pPr>
      <w:r>
        <w:t xml:space="preserve">La figura 1 muestra además dos acumulaciones en los extremos: </w:t>
      </w:r>
      <w:r>
        <w:rPr>
          <w:b/>
          <w:bCs/>
        </w:rPr>
        <w:t xml:space="preserve">305 programas (3,2 %) con abandono exactamente cero</w:t>
      </w:r>
      <w:r>
        <w:t xml:space="preserve"> y </w:t>
      </w:r>
      <w:r>
        <w:rPr>
          <w:b/>
          <w:bCs/>
        </w:rPr>
        <w:t xml:space="preserve">160 (1,7 %) con abandono uno</w:t>
      </w:r>
      <w:r>
        <w:t xml:space="preserve">. Conviene averiguar si describen el fenómeno o delatan un desajuste entre las dos bases de origen, porque la interpretación cambia por completo. Se cruzó cada uno de esos 465 programas con el último año en que registró matrícula y con las titulaciones acumuladas en cualquier año.</w:t>
      </w:r>
    </w:p>
    <w:p>
      <w:pPr>
        <w:spacing w:after="120" w:line="264"/>
        <w:jc w:val="both"/>
      </w:pPr>
      <w:r>
        <w:t xml:space="preserve">El diagnóstico separa dos situaciones. </w:t>
      </w:r>
      <w:r>
        <w:rPr>
          <w:b/>
          <w:bCs/>
        </w:rPr>
        <w:t xml:space="preserve">Los 160 programas con abandono uno son, en su gran mayoría, programas que cerraron</w:t>
      </w:r>
      <w:r>
        <w:t xml:space="preserve">: el 91 % dejó de matricular antes o durante el año de egreso esperado, lo que es coherente con un programa discontinuado antes de titular a su primera cohorte. Solo 14 seguían activos después de esa fecha y 11 de ellos sí registran titulaciones en algún año; en esos casos el cero no describe la realidad, sino el desfase entre la ventana de observación y el egreso efectivo. </w:t>
      </w:r>
      <w:r>
        <w:rPr>
          <w:b/>
          <w:bCs/>
        </w:rPr>
        <w:t xml:space="preserve">Los 305 con abandono cero responden a otra causa</w:t>
      </w:r>
      <w:r>
        <w:t xml:space="preserve">: todos registran titulaciones y la mitad seguía matriculando, de modo que titulan al menos tantas personas como ingresaron en la ventana, por convalidaciones, traslados o cohortes que no calzan con el desfase teórico.</w:t>
      </w:r>
    </w:p>
    <w:p>
      <w:pPr>
        <w:spacing w:after="120" w:line="264"/>
        <w:jc w:val="both"/>
      </w:pPr>
      <w:r>
        <w:t xml:space="preserve">En conjunto, ambos extremos son el 4,8 % de los casos y el 3,3 % de la matrícula. Excluirlos desplazaría la media del sistema de 0,518 a 0,527, es decir nueve milésimas: no comprometen ninguna conclusión, pero son el residuo visible de que la variable es aparente y no una medición directa.</w:t>
      </w:r>
    </w:p>
    <w:p>
      <w:pPr>
        <w:pStyle w:val="Heading2"/>
        <w:spacing w:after="90" w:before="180"/>
      </w:pPr>
      <w:r>
        <w:rPr>
          <w:b/>
          <w:bCs/>
          <w:color w:val="2E5496"/>
          <w:sz w:val="22"/>
          <w:szCs w:val="22"/>
        </w:rPr>
        <w:t xml:space="preserve">3.1 Las demás variables numéricas</w:t>
      </w:r>
    </w:p>
    <w:p>
      <w:pPr>
        <w:spacing w:after="120" w:line="264"/>
        <w:jc w:val="both"/>
      </w:pPr>
      <w:r>
        <w:t xml:space="preserve">Dos rasgos del perfil de los programas condicionan lo que sigue. El </w:t>
      </w:r>
      <w:r>
        <w:rPr>
          <w:b/>
          <w:bCs/>
        </w:rPr>
        <w:t xml:space="preserve">87 % de la matrícula cursa en instituciones acreditadas</w:t>
      </w:r>
      <w:r>
        <w:t xml:space="preserve"> pero solo el </w:t>
      </w:r>
      <w:r>
        <w:rPr>
          <w:b/>
          <w:bCs/>
        </w:rPr>
        <w:t xml:space="preserve">32 % en carreras acreditadas</w:t>
      </w:r>
      <w:r>
        <w:t xml:space="preserve">: la acreditación de carrera es mucho más escasa y, por eso mismo, discrimina mejor. Y las variables de tamaño son fuertemente asimétricas, con coeficientes de variación por encima de 1, razón por la cual el análisis emplea el logaritmo de la matrícula y no su valor bruto cuando necesita una escala comparable. El cuaderno recoge el resumen completo de las doce variables numéricas.</w:t>
      </w:r>
    </w:p>
    <w:p>
      <w:pPr>
        <w:pStyle w:val="Heading2"/>
        <w:spacing w:after="90" w:before="180"/>
      </w:pPr>
      <w:r>
        <w:rPr>
          <w:b/>
          <w:bCs/>
          <w:color w:val="2E5496"/>
          <w:sz w:val="22"/>
          <w:szCs w:val="22"/>
        </w:rPr>
        <w:t xml:space="preserve">3.2 Las variables cualitativas: frecuencias</w:t>
      </w:r>
    </w:p>
    <w:p>
      <w:pPr>
        <w:spacing w:after="120" w:line="264"/>
        <w:jc w:val="both"/>
      </w:pPr>
      <w:r>
        <w:t xml:space="preserve">Para las variables cualitativas la descripción pertinente no son medias sino frecuencias absolutas y relativas, que advierten además qué categorías tienen pocos casos, algo decisivo al elegir un contraste.</w:t>
      </w:r>
    </w:p>
    <w:tbl>
      <w:tblPr>
        <w:tblW w:type="pct" w:w="5000"/>
        <w:tblBorders>
          <w:top w:val="single" w:color="BFCDD8" w:sz="2"/>
          <w:left w:val="single" w:color="BFCDD8" w:sz="2"/>
          <w:bottom w:val="single" w:color="BFCDD8" w:sz="2"/>
          <w:right w:val="single" w:color="BFCDD8" w:sz="2"/>
          <w:insideH w:val="single" w:color="BFCDD8" w:sz="2"/>
          <w:insideV w:val="single" w:color="BFCDD8" w:sz="2"/>
        </w:tblBorders>
      </w:tblPr>
      <w:tblGrid>
        <w:gridCol w:w="2700"/>
        <w:gridCol w:w="800"/>
        <w:gridCol w:w="700"/>
        <w:gridCol w:w="2900"/>
        <w:gridCol w:w="800"/>
        <w:gridCol w:w="700"/>
      </w:tblGrid>
      <w:tr>
        <w:trPr>
          <w:tblHeader/>
        </w:trPr>
        <w:tc>
          <w:tcPr>
            <w:tcW w:type="dxa" w:w="3131"/>
            <w:shd w:fill="F2F5F7" w:val="clear"/>
            <w:tcMar>
              <w:top w:type="dxa" w:w="60"/>
              <w:left w:type="dxa" w:w="90"/>
              <w:bottom w:type="dxa" w:w="60"/>
              <w:right w:type="dxa" w:w="90"/>
            </w:tcMar>
          </w:tcPr>
          <w:p>
            <w:pPr>
              <w:spacing w:after="0" w:line="240"/>
              <w:jc w:val="left"/>
            </w:pPr>
            <w:r>
              <w:rPr>
                <w:b/>
                <w:bCs/>
                <w:sz w:val="17"/>
                <w:szCs w:val="17"/>
              </w:rPr>
              <w:t xml:space="preserve">Tipo de institución</w:t>
            </w:r>
          </w:p>
        </w:tc>
        <w:tc>
          <w:tcPr>
            <w:tcW w:type="dxa" w:w="928"/>
            <w:shd w:fill="F2F5F7" w:val="clear"/>
            <w:tcMar>
              <w:top w:type="dxa" w:w="60"/>
              <w:left w:type="dxa" w:w="90"/>
              <w:bottom w:type="dxa" w:w="60"/>
              <w:right w:type="dxa" w:w="90"/>
            </w:tcMar>
          </w:tcPr>
          <w:p>
            <w:pPr>
              <w:spacing w:after="0" w:line="240"/>
              <w:jc w:val="center"/>
            </w:pPr>
            <w:r>
              <w:rPr>
                <w:b/>
                <w:bCs/>
                <w:sz w:val="17"/>
                <w:szCs w:val="17"/>
              </w:rPr>
              <w:t xml:space="preserve">n</w:t>
            </w:r>
          </w:p>
        </w:tc>
        <w:tc>
          <w:tcPr>
            <w:tcW w:type="dxa" w:w="812"/>
            <w:shd w:fill="F2F5F7" w:val="clear"/>
            <w:tcMar>
              <w:top w:type="dxa" w:w="60"/>
              <w:left w:type="dxa" w:w="90"/>
              <w:bottom w:type="dxa" w:w="60"/>
              <w:right w:type="dxa" w:w="90"/>
            </w:tcMar>
          </w:tcPr>
          <w:p>
            <w:pPr>
              <w:spacing w:after="0" w:line="240"/>
              <w:jc w:val="center"/>
            </w:pPr>
            <w:r>
              <w:rPr>
                <w:b/>
                <w:bCs/>
                <w:sz w:val="17"/>
                <w:szCs w:val="17"/>
              </w:rPr>
              <w:t xml:space="preserve">%</w:t>
            </w:r>
          </w:p>
        </w:tc>
        <w:tc>
          <w:tcPr>
            <w:tcW w:type="dxa" w:w="3363"/>
            <w:shd w:fill="F2F5F7" w:val="clear"/>
            <w:tcMar>
              <w:top w:type="dxa" w:w="60"/>
              <w:left w:type="dxa" w:w="90"/>
              <w:bottom w:type="dxa" w:w="60"/>
              <w:right w:type="dxa" w:w="90"/>
            </w:tcMar>
          </w:tcPr>
          <w:p>
            <w:pPr>
              <w:spacing w:after="0" w:line="240"/>
              <w:jc w:val="left"/>
            </w:pPr>
            <w:r>
              <w:rPr>
                <w:b/>
                <w:bCs/>
                <w:sz w:val="17"/>
                <w:szCs w:val="17"/>
              </w:rPr>
              <w:t xml:space="preserve">Otras categorías</w:t>
            </w:r>
          </w:p>
        </w:tc>
        <w:tc>
          <w:tcPr>
            <w:tcW w:type="dxa" w:w="928"/>
            <w:shd w:fill="F2F5F7" w:val="clear"/>
            <w:tcMar>
              <w:top w:type="dxa" w:w="60"/>
              <w:left w:type="dxa" w:w="90"/>
              <w:bottom w:type="dxa" w:w="60"/>
              <w:right w:type="dxa" w:w="90"/>
            </w:tcMar>
          </w:tcPr>
          <w:p>
            <w:pPr>
              <w:spacing w:after="0" w:line="240"/>
              <w:jc w:val="center"/>
            </w:pPr>
            <w:r>
              <w:rPr>
                <w:b/>
                <w:bCs/>
                <w:sz w:val="17"/>
                <w:szCs w:val="17"/>
              </w:rPr>
              <w:t xml:space="preserve">n</w:t>
            </w:r>
          </w:p>
        </w:tc>
        <w:tc>
          <w:tcPr>
            <w:tcW w:type="dxa" w:w="812"/>
            <w:shd w:fill="F2F5F7" w:val="clear"/>
            <w:tcMar>
              <w:top w:type="dxa" w:w="60"/>
              <w:left w:type="dxa" w:w="90"/>
              <w:bottom w:type="dxa" w:w="60"/>
              <w:right w:type="dxa" w:w="90"/>
            </w:tcMar>
          </w:tcPr>
          <w:p>
            <w:pPr>
              <w:spacing w:after="0" w:line="240"/>
              <w:jc w:val="center"/>
            </w:pPr>
            <w:r>
              <w:rPr>
                <w:b/>
                <w:bCs/>
                <w:sz w:val="17"/>
                <w:szCs w:val="17"/>
              </w:rPr>
              <w:t xml:space="preserve">%</w:t>
            </w:r>
          </w:p>
        </w:tc>
      </w:tr>
      <w:tr>
        <w:tc>
          <w:tcPr>
            <w:tcW w:type="dxa" w:w="3131"/>
            <w:tcMar>
              <w:top w:type="dxa" w:w="60"/>
              <w:left w:type="dxa" w:w="90"/>
              <w:bottom w:type="dxa" w:w="60"/>
              <w:right w:type="dxa" w:w="90"/>
            </w:tcMar>
          </w:tcPr>
          <w:p>
            <w:pPr>
              <w:spacing w:after="0" w:line="240"/>
              <w:jc w:val="left"/>
            </w:pPr>
            <w:r>
              <w:rPr>
                <w:b w:val="false"/>
                <w:bCs w:val="false"/>
                <w:sz w:val="17"/>
                <w:szCs w:val="17"/>
              </w:rPr>
              <w:t xml:space="preserve">Institutos profesionales</w:t>
            </w:r>
          </w:p>
        </w:tc>
        <w:tc>
          <w:tcPr>
            <w:tcW w:type="dxa" w:w="928"/>
            <w:tcMar>
              <w:top w:type="dxa" w:w="60"/>
              <w:left w:type="dxa" w:w="90"/>
              <w:bottom w:type="dxa" w:w="60"/>
              <w:right w:type="dxa" w:w="90"/>
            </w:tcMar>
          </w:tcPr>
          <w:p>
            <w:pPr>
              <w:spacing w:after="0" w:line="240"/>
              <w:jc w:val="center"/>
            </w:pPr>
            <w:r>
              <w:rPr>
                <w:b w:val="false"/>
                <w:bCs w:val="false"/>
                <w:sz w:val="17"/>
                <w:szCs w:val="17"/>
              </w:rPr>
              <w:t xml:space="preserve">3.759</w:t>
            </w:r>
          </w:p>
        </w:tc>
        <w:tc>
          <w:tcPr>
            <w:tcW w:type="dxa" w:w="812"/>
            <w:tcMar>
              <w:top w:type="dxa" w:w="60"/>
              <w:left w:type="dxa" w:w="90"/>
              <w:bottom w:type="dxa" w:w="60"/>
              <w:right w:type="dxa" w:w="90"/>
            </w:tcMar>
          </w:tcPr>
          <w:p>
            <w:pPr>
              <w:spacing w:after="0" w:line="240"/>
              <w:jc w:val="center"/>
            </w:pPr>
            <w:r>
              <w:rPr>
                <w:b w:val="false"/>
                <w:bCs w:val="false"/>
                <w:sz w:val="17"/>
                <w:szCs w:val="17"/>
              </w:rPr>
              <w:t xml:space="preserve">38,8</w:t>
            </w:r>
          </w:p>
        </w:tc>
        <w:tc>
          <w:tcPr>
            <w:tcW w:type="dxa" w:w="3363"/>
            <w:tcMar>
              <w:top w:type="dxa" w:w="60"/>
              <w:left w:type="dxa" w:w="90"/>
              <w:bottom w:type="dxa" w:w="60"/>
              <w:right w:type="dxa" w:w="90"/>
            </w:tcMar>
          </w:tcPr>
          <w:p>
            <w:pPr>
              <w:spacing w:after="0" w:line="240"/>
              <w:jc w:val="left"/>
            </w:pPr>
            <w:r>
              <w:rPr>
                <w:b w:val="false"/>
                <w:bCs w:val="false"/>
                <w:sz w:val="17"/>
                <w:szCs w:val="17"/>
              </w:rPr>
              <w:t xml:space="preserve">Técnico de nivel superior</w:t>
            </w:r>
          </w:p>
        </w:tc>
        <w:tc>
          <w:tcPr>
            <w:tcW w:type="dxa" w:w="928"/>
            <w:tcMar>
              <w:top w:type="dxa" w:w="60"/>
              <w:left w:type="dxa" w:w="90"/>
              <w:bottom w:type="dxa" w:w="60"/>
              <w:right w:type="dxa" w:w="90"/>
            </w:tcMar>
          </w:tcPr>
          <w:p>
            <w:pPr>
              <w:spacing w:after="0" w:line="240"/>
              <w:jc w:val="center"/>
            </w:pPr>
            <w:r>
              <w:rPr>
                <w:b w:val="false"/>
                <w:bCs w:val="false"/>
                <w:sz w:val="17"/>
                <w:szCs w:val="17"/>
              </w:rPr>
              <w:t xml:space="preserve">5.009</w:t>
            </w:r>
          </w:p>
        </w:tc>
        <w:tc>
          <w:tcPr>
            <w:tcW w:type="dxa" w:w="812"/>
            <w:tcMar>
              <w:top w:type="dxa" w:w="60"/>
              <w:left w:type="dxa" w:w="90"/>
              <w:bottom w:type="dxa" w:w="60"/>
              <w:right w:type="dxa" w:w="90"/>
            </w:tcMar>
          </w:tcPr>
          <w:p>
            <w:pPr>
              <w:spacing w:after="0" w:line="240"/>
              <w:jc w:val="center"/>
            </w:pPr>
            <w:r>
              <w:rPr>
                <w:b w:val="false"/>
                <w:bCs w:val="false"/>
                <w:sz w:val="17"/>
                <w:szCs w:val="17"/>
              </w:rPr>
              <w:t xml:space="preserve">51,8</w:t>
            </w:r>
          </w:p>
        </w:tc>
      </w:tr>
      <w:tr>
        <w:tc>
          <w:tcPr>
            <w:tcW w:type="dxa" w:w="3131"/>
            <w:tcMar>
              <w:top w:type="dxa" w:w="60"/>
              <w:left w:type="dxa" w:w="90"/>
              <w:bottom w:type="dxa" w:w="60"/>
              <w:right w:type="dxa" w:w="90"/>
            </w:tcMar>
          </w:tcPr>
          <w:p>
            <w:pPr>
              <w:spacing w:after="0" w:line="240"/>
              <w:jc w:val="left"/>
            </w:pPr>
            <w:r>
              <w:rPr>
                <w:b w:val="false"/>
                <w:bCs w:val="false"/>
                <w:sz w:val="17"/>
                <w:szCs w:val="17"/>
              </w:rPr>
              <w:t xml:space="preserve">CFT privados</w:t>
            </w:r>
          </w:p>
        </w:tc>
        <w:tc>
          <w:tcPr>
            <w:tcW w:type="dxa" w:w="928"/>
            <w:tcMar>
              <w:top w:type="dxa" w:w="60"/>
              <w:left w:type="dxa" w:w="90"/>
              <w:bottom w:type="dxa" w:w="60"/>
              <w:right w:type="dxa" w:w="90"/>
            </w:tcMar>
          </w:tcPr>
          <w:p>
            <w:pPr>
              <w:spacing w:after="0" w:line="240"/>
              <w:jc w:val="center"/>
            </w:pPr>
            <w:r>
              <w:rPr>
                <w:b w:val="false"/>
                <w:bCs w:val="false"/>
                <w:sz w:val="17"/>
                <w:szCs w:val="17"/>
              </w:rPr>
              <w:t xml:space="preserve">2.263</w:t>
            </w:r>
          </w:p>
        </w:tc>
        <w:tc>
          <w:tcPr>
            <w:tcW w:type="dxa" w:w="812"/>
            <w:tcMar>
              <w:top w:type="dxa" w:w="60"/>
              <w:left w:type="dxa" w:w="90"/>
              <w:bottom w:type="dxa" w:w="60"/>
              <w:right w:type="dxa" w:w="90"/>
            </w:tcMar>
          </w:tcPr>
          <w:p>
            <w:pPr>
              <w:spacing w:after="0" w:line="240"/>
              <w:jc w:val="center"/>
            </w:pPr>
            <w:r>
              <w:rPr>
                <w:b w:val="false"/>
                <w:bCs w:val="false"/>
                <w:sz w:val="17"/>
                <w:szCs w:val="17"/>
              </w:rPr>
              <w:t xml:space="preserve">23,4</w:t>
            </w:r>
          </w:p>
        </w:tc>
        <w:tc>
          <w:tcPr>
            <w:tcW w:type="dxa" w:w="3363"/>
            <w:tcMar>
              <w:top w:type="dxa" w:w="60"/>
              <w:left w:type="dxa" w:w="90"/>
              <w:bottom w:type="dxa" w:w="60"/>
              <w:right w:type="dxa" w:w="90"/>
            </w:tcMar>
          </w:tcPr>
          <w:p>
            <w:pPr>
              <w:spacing w:after="0" w:line="240"/>
              <w:jc w:val="left"/>
            </w:pPr>
            <w:r>
              <w:rPr>
                <w:b w:val="false"/>
                <w:bCs w:val="false"/>
                <w:sz w:val="17"/>
                <w:szCs w:val="17"/>
              </w:rPr>
              <w:t xml:space="preserve">Profesional con licenciatura</w:t>
            </w:r>
          </w:p>
        </w:tc>
        <w:tc>
          <w:tcPr>
            <w:tcW w:type="dxa" w:w="928"/>
            <w:tcMar>
              <w:top w:type="dxa" w:w="60"/>
              <w:left w:type="dxa" w:w="90"/>
              <w:bottom w:type="dxa" w:w="60"/>
              <w:right w:type="dxa" w:w="90"/>
            </w:tcMar>
          </w:tcPr>
          <w:p>
            <w:pPr>
              <w:spacing w:after="0" w:line="240"/>
              <w:jc w:val="center"/>
            </w:pPr>
            <w:r>
              <w:rPr>
                <w:b w:val="false"/>
                <w:bCs w:val="false"/>
                <w:sz w:val="17"/>
                <w:szCs w:val="17"/>
              </w:rPr>
              <w:t xml:space="preserve">2.890</w:t>
            </w:r>
          </w:p>
        </w:tc>
        <w:tc>
          <w:tcPr>
            <w:tcW w:type="dxa" w:w="812"/>
            <w:tcMar>
              <w:top w:type="dxa" w:w="60"/>
              <w:left w:type="dxa" w:w="90"/>
              <w:bottom w:type="dxa" w:w="60"/>
              <w:right w:type="dxa" w:w="90"/>
            </w:tcMar>
          </w:tcPr>
          <w:p>
            <w:pPr>
              <w:spacing w:after="0" w:line="240"/>
              <w:jc w:val="center"/>
            </w:pPr>
            <w:r>
              <w:rPr>
                <w:b w:val="false"/>
                <w:bCs w:val="false"/>
                <w:sz w:val="17"/>
                <w:szCs w:val="17"/>
              </w:rPr>
              <w:t xml:space="preserve">29,9</w:t>
            </w:r>
          </w:p>
        </w:tc>
      </w:tr>
      <w:tr>
        <w:tc>
          <w:tcPr>
            <w:tcW w:type="dxa" w:w="3131"/>
            <w:tcMar>
              <w:top w:type="dxa" w:w="60"/>
              <w:left w:type="dxa" w:w="90"/>
              <w:bottom w:type="dxa" w:w="60"/>
              <w:right w:type="dxa" w:w="90"/>
            </w:tcMar>
          </w:tcPr>
          <w:p>
            <w:pPr>
              <w:spacing w:after="0" w:line="240"/>
              <w:jc w:val="left"/>
            </w:pPr>
            <w:r>
              <w:rPr>
                <w:b w:val="false"/>
                <w:bCs w:val="false"/>
                <w:sz w:val="17"/>
                <w:szCs w:val="17"/>
              </w:rPr>
              <w:t xml:space="preserve">Universidades privadas</w:t>
            </w:r>
          </w:p>
        </w:tc>
        <w:tc>
          <w:tcPr>
            <w:tcW w:type="dxa" w:w="928"/>
            <w:tcMar>
              <w:top w:type="dxa" w:w="60"/>
              <w:left w:type="dxa" w:w="90"/>
              <w:bottom w:type="dxa" w:w="60"/>
              <w:right w:type="dxa" w:w="90"/>
            </w:tcMar>
          </w:tcPr>
          <w:p>
            <w:pPr>
              <w:spacing w:after="0" w:line="240"/>
              <w:jc w:val="center"/>
            </w:pPr>
            <w:r>
              <w:rPr>
                <w:b w:val="false"/>
                <w:bCs w:val="false"/>
                <w:sz w:val="17"/>
                <w:szCs w:val="17"/>
              </w:rPr>
              <w:t xml:space="preserve">2.012</w:t>
            </w:r>
          </w:p>
        </w:tc>
        <w:tc>
          <w:tcPr>
            <w:tcW w:type="dxa" w:w="812"/>
            <w:tcMar>
              <w:top w:type="dxa" w:w="60"/>
              <w:left w:type="dxa" w:w="90"/>
              <w:bottom w:type="dxa" w:w="60"/>
              <w:right w:type="dxa" w:w="90"/>
            </w:tcMar>
          </w:tcPr>
          <w:p>
            <w:pPr>
              <w:spacing w:after="0" w:line="240"/>
              <w:jc w:val="center"/>
            </w:pPr>
            <w:r>
              <w:rPr>
                <w:b w:val="false"/>
                <w:bCs w:val="false"/>
                <w:sz w:val="17"/>
                <w:szCs w:val="17"/>
              </w:rPr>
              <w:t xml:space="preserve">20,8</w:t>
            </w:r>
          </w:p>
        </w:tc>
        <w:tc>
          <w:tcPr>
            <w:tcW w:type="dxa" w:w="3363"/>
            <w:tcMar>
              <w:top w:type="dxa" w:w="60"/>
              <w:left w:type="dxa" w:w="90"/>
              <w:bottom w:type="dxa" w:w="60"/>
              <w:right w:type="dxa" w:w="90"/>
            </w:tcMar>
          </w:tcPr>
          <w:p>
            <w:pPr>
              <w:spacing w:after="0" w:line="240"/>
              <w:jc w:val="left"/>
            </w:pPr>
            <w:r>
              <w:rPr>
                <w:b w:val="false"/>
                <w:bCs w:val="false"/>
                <w:sz w:val="17"/>
                <w:szCs w:val="17"/>
              </w:rPr>
              <w:t xml:space="preserve">Profesional sin licenciatura</w:t>
            </w:r>
          </w:p>
        </w:tc>
        <w:tc>
          <w:tcPr>
            <w:tcW w:type="dxa" w:w="928"/>
            <w:tcMar>
              <w:top w:type="dxa" w:w="60"/>
              <w:left w:type="dxa" w:w="90"/>
              <w:bottom w:type="dxa" w:w="60"/>
              <w:right w:type="dxa" w:w="90"/>
            </w:tcMar>
          </w:tcPr>
          <w:p>
            <w:pPr>
              <w:spacing w:after="0" w:line="240"/>
              <w:jc w:val="center"/>
            </w:pPr>
            <w:r>
              <w:rPr>
                <w:b w:val="false"/>
                <w:bCs w:val="false"/>
                <w:sz w:val="17"/>
                <w:szCs w:val="17"/>
              </w:rPr>
              <w:t xml:space="preserve">1.779</w:t>
            </w:r>
          </w:p>
        </w:tc>
        <w:tc>
          <w:tcPr>
            <w:tcW w:type="dxa" w:w="812"/>
            <w:tcMar>
              <w:top w:type="dxa" w:w="60"/>
              <w:left w:type="dxa" w:w="90"/>
              <w:bottom w:type="dxa" w:w="60"/>
              <w:right w:type="dxa" w:w="90"/>
            </w:tcMar>
          </w:tcPr>
          <w:p>
            <w:pPr>
              <w:spacing w:after="0" w:line="240"/>
              <w:jc w:val="center"/>
            </w:pPr>
            <w:r>
              <w:rPr>
                <w:b w:val="false"/>
                <w:bCs w:val="false"/>
                <w:sz w:val="17"/>
                <w:szCs w:val="17"/>
              </w:rPr>
              <w:t xml:space="preserve">18,4</w:t>
            </w:r>
          </w:p>
        </w:tc>
      </w:tr>
      <w:tr>
        <w:tc>
          <w:tcPr>
            <w:tcW w:type="dxa" w:w="3131"/>
            <w:tcMar>
              <w:top w:type="dxa" w:w="60"/>
              <w:left w:type="dxa" w:w="90"/>
              <w:bottom w:type="dxa" w:w="60"/>
              <w:right w:type="dxa" w:w="90"/>
            </w:tcMar>
          </w:tcPr>
          <w:p>
            <w:pPr>
              <w:spacing w:after="0" w:line="240"/>
              <w:jc w:val="left"/>
            </w:pPr>
            <w:r>
              <w:rPr>
                <w:b w:val="false"/>
                <w:bCs w:val="false"/>
                <w:sz w:val="17"/>
                <w:szCs w:val="17"/>
              </w:rPr>
              <w:t xml:space="preserve">U. estatales CRUCH</w:t>
            </w:r>
          </w:p>
        </w:tc>
        <w:tc>
          <w:tcPr>
            <w:tcW w:type="dxa" w:w="928"/>
            <w:tcMar>
              <w:top w:type="dxa" w:w="60"/>
              <w:left w:type="dxa" w:w="90"/>
              <w:bottom w:type="dxa" w:w="60"/>
              <w:right w:type="dxa" w:w="90"/>
            </w:tcMar>
          </w:tcPr>
          <w:p>
            <w:pPr>
              <w:spacing w:after="0" w:line="240"/>
              <w:jc w:val="center"/>
            </w:pPr>
            <w:r>
              <w:rPr>
                <w:b w:val="false"/>
                <w:bCs w:val="false"/>
                <w:sz w:val="17"/>
                <w:szCs w:val="17"/>
              </w:rPr>
              <w:t xml:space="preserve">932</w:t>
            </w:r>
          </w:p>
        </w:tc>
        <w:tc>
          <w:tcPr>
            <w:tcW w:type="dxa" w:w="812"/>
            <w:tcMar>
              <w:top w:type="dxa" w:w="60"/>
              <w:left w:type="dxa" w:w="90"/>
              <w:bottom w:type="dxa" w:w="60"/>
              <w:right w:type="dxa" w:w="90"/>
            </w:tcMar>
          </w:tcPr>
          <w:p>
            <w:pPr>
              <w:spacing w:after="0" w:line="240"/>
              <w:jc w:val="center"/>
            </w:pPr>
            <w:r>
              <w:rPr>
                <w:b w:val="false"/>
                <w:bCs w:val="false"/>
                <w:sz w:val="17"/>
                <w:szCs w:val="17"/>
              </w:rPr>
              <w:t xml:space="preserve">9,6</w:t>
            </w:r>
          </w:p>
        </w:tc>
        <w:tc>
          <w:tcPr>
            <w:tcW w:type="dxa" w:w="3363"/>
            <w:tcMar>
              <w:top w:type="dxa" w:w="60"/>
              <w:left w:type="dxa" w:w="90"/>
              <w:bottom w:type="dxa" w:w="60"/>
              <w:right w:type="dxa" w:w="90"/>
            </w:tcMar>
          </w:tcPr>
          <w:p>
            <w:pPr>
              <w:spacing w:after="0" w:line="240"/>
              <w:jc w:val="left"/>
            </w:pPr>
            <w:r>
              <w:rPr>
                <w:b w:val="false"/>
                <w:bCs w:val="false"/>
                <w:sz w:val="17"/>
                <w:szCs w:val="17"/>
              </w:rPr>
              <w:t xml:space="preserve">Jornada diurna</w:t>
            </w:r>
          </w:p>
        </w:tc>
        <w:tc>
          <w:tcPr>
            <w:tcW w:type="dxa" w:w="928"/>
            <w:tcMar>
              <w:top w:type="dxa" w:w="60"/>
              <w:left w:type="dxa" w:w="90"/>
              <w:bottom w:type="dxa" w:w="60"/>
              <w:right w:type="dxa" w:w="90"/>
            </w:tcMar>
          </w:tcPr>
          <w:p>
            <w:pPr>
              <w:spacing w:after="0" w:line="240"/>
              <w:jc w:val="center"/>
            </w:pPr>
            <w:r>
              <w:rPr>
                <w:b w:val="false"/>
                <w:bCs w:val="false"/>
                <w:sz w:val="17"/>
                <w:szCs w:val="17"/>
              </w:rPr>
              <w:t xml:space="preserve">5.930</w:t>
            </w:r>
          </w:p>
        </w:tc>
        <w:tc>
          <w:tcPr>
            <w:tcW w:type="dxa" w:w="812"/>
            <w:tcMar>
              <w:top w:type="dxa" w:w="60"/>
              <w:left w:type="dxa" w:w="90"/>
              <w:bottom w:type="dxa" w:w="60"/>
              <w:right w:type="dxa" w:w="90"/>
            </w:tcMar>
          </w:tcPr>
          <w:p>
            <w:pPr>
              <w:spacing w:after="0" w:line="240"/>
              <w:jc w:val="center"/>
            </w:pPr>
            <w:r>
              <w:rPr>
                <w:b w:val="false"/>
                <w:bCs w:val="false"/>
                <w:sz w:val="17"/>
                <w:szCs w:val="17"/>
              </w:rPr>
              <w:t xml:space="preserve">61,3</w:t>
            </w:r>
          </w:p>
        </w:tc>
      </w:tr>
      <w:tr>
        <w:tc>
          <w:tcPr>
            <w:tcW w:type="dxa" w:w="3131"/>
            <w:tcMar>
              <w:top w:type="dxa" w:w="60"/>
              <w:left w:type="dxa" w:w="90"/>
              <w:bottom w:type="dxa" w:w="60"/>
              <w:right w:type="dxa" w:w="90"/>
            </w:tcMar>
          </w:tcPr>
          <w:p>
            <w:pPr>
              <w:spacing w:after="0" w:line="240"/>
              <w:jc w:val="left"/>
            </w:pPr>
            <w:r>
              <w:rPr>
                <w:b w:val="false"/>
                <w:bCs w:val="false"/>
                <w:sz w:val="17"/>
                <w:szCs w:val="17"/>
              </w:rPr>
              <w:t xml:space="preserve">U. privadas CRUCH</w:t>
            </w:r>
          </w:p>
        </w:tc>
        <w:tc>
          <w:tcPr>
            <w:tcW w:type="dxa" w:w="928"/>
            <w:tcMar>
              <w:top w:type="dxa" w:w="60"/>
              <w:left w:type="dxa" w:w="90"/>
              <w:bottom w:type="dxa" w:w="60"/>
              <w:right w:type="dxa" w:w="90"/>
            </w:tcMar>
          </w:tcPr>
          <w:p>
            <w:pPr>
              <w:spacing w:after="0" w:line="240"/>
              <w:jc w:val="center"/>
            </w:pPr>
            <w:r>
              <w:rPr>
                <w:b w:val="false"/>
                <w:bCs w:val="false"/>
                <w:sz w:val="17"/>
                <w:szCs w:val="17"/>
              </w:rPr>
              <w:t xml:space="preserve">685</w:t>
            </w:r>
          </w:p>
        </w:tc>
        <w:tc>
          <w:tcPr>
            <w:tcW w:type="dxa" w:w="812"/>
            <w:tcMar>
              <w:top w:type="dxa" w:w="60"/>
              <w:left w:type="dxa" w:w="90"/>
              <w:bottom w:type="dxa" w:w="60"/>
              <w:right w:type="dxa" w:w="90"/>
            </w:tcMar>
          </w:tcPr>
          <w:p>
            <w:pPr>
              <w:spacing w:after="0" w:line="240"/>
              <w:jc w:val="center"/>
            </w:pPr>
            <w:r>
              <w:rPr>
                <w:b w:val="false"/>
                <w:bCs w:val="false"/>
                <w:sz w:val="17"/>
                <w:szCs w:val="17"/>
              </w:rPr>
              <w:t xml:space="preserve">7,1</w:t>
            </w:r>
          </w:p>
        </w:tc>
        <w:tc>
          <w:tcPr>
            <w:tcW w:type="dxa" w:w="3363"/>
            <w:tcMar>
              <w:top w:type="dxa" w:w="60"/>
              <w:left w:type="dxa" w:w="90"/>
              <w:bottom w:type="dxa" w:w="60"/>
              <w:right w:type="dxa" w:w="90"/>
            </w:tcMar>
          </w:tcPr>
          <w:p>
            <w:pPr>
              <w:spacing w:after="0" w:line="240"/>
              <w:jc w:val="left"/>
            </w:pPr>
            <w:r>
              <w:rPr>
                <w:b w:val="false"/>
                <w:bCs w:val="false"/>
                <w:sz w:val="17"/>
                <w:szCs w:val="17"/>
              </w:rPr>
              <w:t xml:space="preserve">Jornada vespertina</w:t>
            </w:r>
          </w:p>
        </w:tc>
        <w:tc>
          <w:tcPr>
            <w:tcW w:type="dxa" w:w="928"/>
            <w:tcMar>
              <w:top w:type="dxa" w:w="60"/>
              <w:left w:type="dxa" w:w="90"/>
              <w:bottom w:type="dxa" w:w="60"/>
              <w:right w:type="dxa" w:w="90"/>
            </w:tcMar>
          </w:tcPr>
          <w:p>
            <w:pPr>
              <w:spacing w:after="0" w:line="240"/>
              <w:jc w:val="center"/>
            </w:pPr>
            <w:r>
              <w:rPr>
                <w:b w:val="false"/>
                <w:bCs w:val="false"/>
                <w:sz w:val="17"/>
                <w:szCs w:val="17"/>
              </w:rPr>
              <w:t xml:space="preserve">3.439</w:t>
            </w:r>
          </w:p>
        </w:tc>
        <w:tc>
          <w:tcPr>
            <w:tcW w:type="dxa" w:w="812"/>
            <w:tcMar>
              <w:top w:type="dxa" w:w="60"/>
              <w:left w:type="dxa" w:w="90"/>
              <w:bottom w:type="dxa" w:w="60"/>
              <w:right w:type="dxa" w:w="90"/>
            </w:tcMar>
          </w:tcPr>
          <w:p>
            <w:pPr>
              <w:spacing w:after="0" w:line="240"/>
              <w:jc w:val="center"/>
            </w:pPr>
            <w:r>
              <w:rPr>
                <w:b w:val="false"/>
                <w:bCs w:val="false"/>
                <w:sz w:val="17"/>
                <w:szCs w:val="17"/>
              </w:rPr>
              <w:t xml:space="preserve">35,5</w:t>
            </w:r>
          </w:p>
        </w:tc>
      </w:tr>
      <w:tr>
        <w:tc>
          <w:tcPr>
            <w:tcW w:type="dxa" w:w="3131"/>
            <w:tcMar>
              <w:top w:type="dxa" w:w="60"/>
              <w:left w:type="dxa" w:w="90"/>
              <w:bottom w:type="dxa" w:w="60"/>
              <w:right w:type="dxa" w:w="90"/>
            </w:tcMar>
          </w:tcPr>
          <w:p>
            <w:pPr>
              <w:spacing w:after="0" w:line="240"/>
              <w:jc w:val="left"/>
            </w:pPr>
            <w:r>
              <w:rPr>
                <w:b w:val="false"/>
                <w:bCs w:val="false"/>
                <w:sz w:val="17"/>
                <w:szCs w:val="17"/>
              </w:rPr>
              <w:t xml:space="preserve">CFT estatales</w:t>
            </w:r>
          </w:p>
        </w:tc>
        <w:tc>
          <w:tcPr>
            <w:tcW w:type="dxa" w:w="928"/>
            <w:tcMar>
              <w:top w:type="dxa" w:w="60"/>
              <w:left w:type="dxa" w:w="90"/>
              <w:bottom w:type="dxa" w:w="60"/>
              <w:right w:type="dxa" w:w="90"/>
            </w:tcMar>
          </w:tcPr>
          <w:p>
            <w:pPr>
              <w:spacing w:after="0" w:line="240"/>
              <w:jc w:val="center"/>
            </w:pPr>
            <w:r>
              <w:rPr>
                <w:b w:val="false"/>
                <w:bCs w:val="false"/>
                <w:sz w:val="17"/>
                <w:szCs w:val="17"/>
              </w:rPr>
              <w:t xml:space="preserve">27</w:t>
            </w:r>
          </w:p>
        </w:tc>
        <w:tc>
          <w:tcPr>
            <w:tcW w:type="dxa" w:w="812"/>
            <w:tcMar>
              <w:top w:type="dxa" w:w="60"/>
              <w:left w:type="dxa" w:w="90"/>
              <w:bottom w:type="dxa" w:w="60"/>
              <w:right w:type="dxa" w:w="90"/>
            </w:tcMar>
          </w:tcPr>
          <w:p>
            <w:pPr>
              <w:spacing w:after="0" w:line="240"/>
              <w:jc w:val="center"/>
            </w:pPr>
            <w:r>
              <w:rPr>
                <w:b w:val="false"/>
                <w:bCs w:val="false"/>
                <w:sz w:val="17"/>
                <w:szCs w:val="17"/>
              </w:rPr>
              <w:t xml:space="preserve">0,3</w:t>
            </w:r>
          </w:p>
        </w:tc>
        <w:tc>
          <w:tcPr>
            <w:tcW w:type="dxa" w:w="3363"/>
            <w:tcMar>
              <w:top w:type="dxa" w:w="60"/>
              <w:left w:type="dxa" w:w="90"/>
              <w:bottom w:type="dxa" w:w="60"/>
              <w:right w:type="dxa" w:w="90"/>
            </w:tcMar>
          </w:tcPr>
          <w:p>
            <w:pPr>
              <w:spacing w:after="0" w:line="240"/>
              <w:jc w:val="left"/>
            </w:pPr>
            <w:r>
              <w:rPr>
                <w:b w:val="false"/>
                <w:bCs w:val="false"/>
                <w:sz w:val="17"/>
                <w:szCs w:val="17"/>
              </w:rPr>
              <w:t xml:space="preserve">Modalidad presencial</w:t>
            </w:r>
          </w:p>
        </w:tc>
        <w:tc>
          <w:tcPr>
            <w:tcW w:type="dxa" w:w="928"/>
            <w:tcMar>
              <w:top w:type="dxa" w:w="60"/>
              <w:left w:type="dxa" w:w="90"/>
              <w:bottom w:type="dxa" w:w="60"/>
              <w:right w:type="dxa" w:w="90"/>
            </w:tcMar>
          </w:tcPr>
          <w:p>
            <w:pPr>
              <w:spacing w:after="0" w:line="240"/>
              <w:jc w:val="center"/>
            </w:pPr>
            <w:r>
              <w:rPr>
                <w:b w:val="false"/>
                <w:bCs w:val="false"/>
                <w:sz w:val="17"/>
                <w:szCs w:val="17"/>
              </w:rPr>
              <w:t xml:space="preserve">9.331</w:t>
            </w:r>
          </w:p>
        </w:tc>
        <w:tc>
          <w:tcPr>
            <w:tcW w:type="dxa" w:w="812"/>
            <w:tcMar>
              <w:top w:type="dxa" w:w="60"/>
              <w:left w:type="dxa" w:w="90"/>
              <w:bottom w:type="dxa" w:w="60"/>
              <w:right w:type="dxa" w:w="90"/>
            </w:tcMar>
          </w:tcPr>
          <w:p>
            <w:pPr>
              <w:spacing w:after="0" w:line="240"/>
              <w:jc w:val="center"/>
            </w:pPr>
            <w:r>
              <w:rPr>
                <w:b w:val="false"/>
                <w:bCs w:val="false"/>
                <w:sz w:val="17"/>
                <w:szCs w:val="17"/>
              </w:rPr>
              <w:t xml:space="preserve">96,4</w:t>
            </w:r>
          </w:p>
        </w:tc>
      </w:tr>
    </w:tbl>
    <w:p>
      <w:pPr>
        <w:spacing w:after="110"/>
      </w:pPr>
      <w:r>
        <w:rPr>
          <w:sz w:val="8"/>
          <w:szCs w:val="8"/>
        </w:rPr>
        <w:t xml:space="preserve"/>
      </w:r>
    </w:p>
    <w:p>
      <w:pPr>
        <w:spacing w:after="120" w:line="264"/>
        <w:jc w:val="both"/>
      </w:pPr>
      <w:r>
        <w:t xml:space="preserve">El reparto es muy desigual y eso condiciona el análisis. Los centros de formación técnica estatales son apenas 27 programas y la modalidad presencial cubre el 96,4 % del conjunto, de modo que las comparaciones por modalidad descansan sobre menos de 350 casos. Esa asimetría explica que el contraste del apartado 5 sobre tipo de institución se plantee como prueba de independencia y no como comparación de medias: con una categoría de 27 casos, un contraste de medias tendría una potencia muy desigual entre grupos.</w:t>
      </w:r>
    </w:p>
    <w:p>
      <w:pPr>
        <w:spacing w:after="50" w:before="140"/>
        <w:jc w:val="center"/>
      </w:pPr>
      <w:r>
        <w:drawing>
          <wp:inline distT="0" distB="0" distL="0" distR="0">
            <wp:extent cx="4752594" cy="186313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594" cy="1863130"/>
                    </a:xfrm>
                    <a:prstGeom prst="rect">
                      <a:avLst/>
                    </a:prstGeom>
                  </pic:spPr>
                </pic:pic>
              </a:graphicData>
            </a:graphic>
          </wp:inline>
        </w:drawing>
      </w:r>
    </w:p>
    <w:p>
      <w:pPr>
        <w:spacing w:after="160"/>
        <w:jc w:val="center"/>
      </w:pPr>
      <w:r>
        <w:rPr>
          <w:i/>
          <w:iCs/>
          <w:color w:val="555555"/>
          <w:sz w:val="16"/>
          <w:szCs w:val="16"/>
        </w:rPr>
        <w:t xml:space="preserve">Figura 2. Distribución de los programas por tipo de institución y tipo de carrera.</w:t>
      </w:r>
    </w:p>
    <w:p>
      <w:pPr>
        <w:pStyle w:val="Heading2"/>
        <w:spacing w:after="90" w:before="180"/>
      </w:pPr>
      <w:r>
        <w:rPr>
          <w:b/>
          <w:bCs/>
          <w:color w:val="2E5496"/>
          <w:sz w:val="22"/>
          <w:szCs w:val="22"/>
        </w:rPr>
        <w:t xml:space="preserve">3.3 El abandono por grupos</w:t>
      </w:r>
    </w:p>
    <w:p>
      <w:pPr>
        <w:spacing w:after="120" w:line="264"/>
        <w:jc w:val="both"/>
      </w:pPr>
      <w:r>
        <w:t xml:space="preserve">La media global oculta las diferencias que importan para decidir. El abandono medio recorre </w:t>
      </w:r>
      <w:r>
        <w:rPr>
          <w:b/>
          <w:bCs/>
        </w:rPr>
        <w:t xml:space="preserve">12,3 puntos porcentuales</w:t>
      </w:r>
      <w:r>
        <w:t xml:space="preserve"> entre tipos de institución y </w:t>
      </w:r>
      <w:r>
        <w:rPr>
          <w:b/>
          <w:bCs/>
        </w:rPr>
        <w:t xml:space="preserve">17,5 puntos</w:t>
      </w:r>
      <w:r>
        <w:t xml:space="preserve"> entre áreas del conocimiento:</w:t>
      </w:r>
    </w:p>
    <w:tbl>
      <w:tblPr>
        <w:tblW w:type="pct" w:w="5000"/>
        <w:tblBorders>
          <w:top w:val="single" w:color="BFCDD8" w:sz="2"/>
          <w:left w:val="single" w:color="BFCDD8" w:sz="2"/>
          <w:bottom w:val="single" w:color="BFCDD8" w:sz="2"/>
          <w:right w:val="single" w:color="BFCDD8" w:sz="2"/>
          <w:insideH w:val="single" w:color="BFCDD8" w:sz="2"/>
          <w:insideV w:val="single" w:color="BFCDD8" w:sz="2"/>
        </w:tblBorders>
      </w:tblPr>
      <w:tblGrid>
        <w:gridCol w:w="2500"/>
        <w:gridCol w:w="700"/>
        <w:gridCol w:w="800"/>
        <w:gridCol w:w="700"/>
        <w:gridCol w:w="2500"/>
        <w:gridCol w:w="700"/>
        <w:gridCol w:w="800"/>
      </w:tblGrid>
      <w:tr>
        <w:trPr>
          <w:tblHeader/>
        </w:trPr>
        <w:tc>
          <w:tcPr>
            <w:tcW w:type="dxa" w:w="2866"/>
            <w:shd w:fill="F2F5F7" w:val="clear"/>
            <w:tcMar>
              <w:top w:type="dxa" w:w="60"/>
              <w:left w:type="dxa" w:w="90"/>
              <w:bottom w:type="dxa" w:w="60"/>
              <w:right w:type="dxa" w:w="90"/>
            </w:tcMar>
          </w:tcPr>
          <w:p>
            <w:pPr>
              <w:spacing w:after="0" w:line="240"/>
              <w:jc w:val="left"/>
            </w:pPr>
            <w:r>
              <w:rPr>
                <w:b/>
                <w:bCs/>
                <w:sz w:val="17"/>
                <w:szCs w:val="17"/>
              </w:rPr>
              <w:t xml:space="preserve">Tipo de institución</w:t>
            </w:r>
          </w:p>
        </w:tc>
        <w:tc>
          <w:tcPr>
            <w:tcW w:type="dxa" w:w="803"/>
            <w:shd w:fill="F2F5F7" w:val="clear"/>
            <w:tcMar>
              <w:top w:type="dxa" w:w="60"/>
              <w:left w:type="dxa" w:w="90"/>
              <w:bottom w:type="dxa" w:w="60"/>
              <w:right w:type="dxa" w:w="90"/>
            </w:tcMar>
          </w:tcPr>
          <w:p>
            <w:pPr>
              <w:spacing w:after="0" w:line="240"/>
              <w:jc w:val="center"/>
            </w:pPr>
            <w:r>
              <w:rPr>
                <w:b/>
                <w:bCs/>
                <w:sz w:val="17"/>
                <w:szCs w:val="17"/>
              </w:rPr>
              <w:t xml:space="preserve">n</w:t>
            </w:r>
          </w:p>
        </w:tc>
        <w:tc>
          <w:tcPr>
            <w:tcW w:type="dxa" w:w="917"/>
            <w:shd w:fill="F2F5F7" w:val="clear"/>
            <w:tcMar>
              <w:top w:type="dxa" w:w="60"/>
              <w:left w:type="dxa" w:w="90"/>
              <w:bottom w:type="dxa" w:w="60"/>
              <w:right w:type="dxa" w:w="90"/>
            </w:tcMar>
          </w:tcPr>
          <w:p>
            <w:pPr>
              <w:spacing w:after="0" w:line="240"/>
              <w:jc w:val="center"/>
            </w:pPr>
            <w:r>
              <w:rPr>
                <w:b/>
                <w:bCs/>
                <w:sz w:val="17"/>
                <w:szCs w:val="17"/>
              </w:rPr>
              <w:t xml:space="preserve">Media</w:t>
            </w:r>
          </w:p>
        </w:tc>
        <w:tc>
          <w:tcPr>
            <w:tcW w:type="dxa" w:w="803"/>
            <w:shd w:fill="F2F5F7" w:val="clear"/>
            <w:tcMar>
              <w:top w:type="dxa" w:w="60"/>
              <w:left w:type="dxa" w:w="90"/>
              <w:bottom w:type="dxa" w:w="60"/>
              <w:right w:type="dxa" w:w="90"/>
            </w:tcMar>
          </w:tcPr>
          <w:p>
            <w:pPr>
              <w:spacing w:after="0" w:line="240"/>
              <w:jc w:val="center"/>
            </w:pPr>
            <w:r>
              <w:rPr>
                <w:b/>
                <w:bCs/>
                <w:sz w:val="17"/>
                <w:szCs w:val="17"/>
              </w:rPr>
              <w:t xml:space="preserve">DE</w:t>
            </w:r>
          </w:p>
        </w:tc>
        <w:tc>
          <w:tcPr>
            <w:tcW w:type="dxa" w:w="2866"/>
            <w:shd w:fill="F2F5F7" w:val="clear"/>
            <w:tcMar>
              <w:top w:type="dxa" w:w="60"/>
              <w:left w:type="dxa" w:w="90"/>
              <w:bottom w:type="dxa" w:w="60"/>
              <w:right w:type="dxa" w:w="90"/>
            </w:tcMar>
          </w:tcPr>
          <w:p>
            <w:pPr>
              <w:spacing w:after="0" w:line="240"/>
              <w:jc w:val="left"/>
            </w:pPr>
            <w:r>
              <w:rPr>
                <w:b/>
                <w:bCs/>
                <w:sz w:val="17"/>
                <w:szCs w:val="17"/>
              </w:rPr>
              <w:t xml:space="preserve">Área del conocimiento</w:t>
            </w:r>
          </w:p>
        </w:tc>
        <w:tc>
          <w:tcPr>
            <w:tcW w:type="dxa" w:w="803"/>
            <w:shd w:fill="F2F5F7" w:val="clear"/>
            <w:tcMar>
              <w:top w:type="dxa" w:w="60"/>
              <w:left w:type="dxa" w:w="90"/>
              <w:bottom w:type="dxa" w:w="60"/>
              <w:right w:type="dxa" w:w="90"/>
            </w:tcMar>
          </w:tcPr>
          <w:p>
            <w:pPr>
              <w:spacing w:after="0" w:line="240"/>
              <w:jc w:val="center"/>
            </w:pPr>
            <w:r>
              <w:rPr>
                <w:b/>
                <w:bCs/>
                <w:sz w:val="17"/>
                <w:szCs w:val="17"/>
              </w:rPr>
              <w:t xml:space="preserve">n</w:t>
            </w:r>
          </w:p>
        </w:tc>
        <w:tc>
          <w:tcPr>
            <w:tcW w:type="dxa" w:w="917"/>
            <w:shd w:fill="F2F5F7" w:val="clear"/>
            <w:tcMar>
              <w:top w:type="dxa" w:w="60"/>
              <w:left w:type="dxa" w:w="90"/>
              <w:bottom w:type="dxa" w:w="60"/>
              <w:right w:type="dxa" w:w="90"/>
            </w:tcMar>
          </w:tcPr>
          <w:p>
            <w:pPr>
              <w:spacing w:after="0" w:line="240"/>
              <w:jc w:val="center"/>
            </w:pPr>
            <w:r>
              <w:rPr>
                <w:b/>
                <w:bCs/>
                <w:sz w:val="17"/>
                <w:szCs w:val="17"/>
              </w:rPr>
              <w:t xml:space="preserve">Media</w:t>
            </w:r>
          </w:p>
        </w:tc>
      </w:tr>
      <w:tr>
        <w:tc>
          <w:tcPr>
            <w:tcW w:type="dxa" w:w="2866"/>
            <w:tcMar>
              <w:top w:type="dxa" w:w="60"/>
              <w:left w:type="dxa" w:w="90"/>
              <w:bottom w:type="dxa" w:w="60"/>
              <w:right w:type="dxa" w:w="90"/>
            </w:tcMar>
          </w:tcPr>
          <w:p>
            <w:pPr>
              <w:spacing w:after="0" w:line="240"/>
              <w:jc w:val="left"/>
            </w:pPr>
            <w:r>
              <w:rPr>
                <w:b w:val="false"/>
                <w:bCs w:val="false"/>
                <w:sz w:val="17"/>
                <w:szCs w:val="17"/>
              </w:rPr>
              <w:t xml:space="preserve">CFT estatales</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27</w:t>
            </w:r>
          </w:p>
        </w:tc>
        <w:tc>
          <w:tcPr>
            <w:tcW w:type="dxa" w:w="917"/>
            <w:tcMar>
              <w:top w:type="dxa" w:w="60"/>
              <w:left w:type="dxa" w:w="90"/>
              <w:bottom w:type="dxa" w:w="60"/>
              <w:right w:type="dxa" w:w="90"/>
            </w:tcMar>
          </w:tcPr>
          <w:p>
            <w:pPr>
              <w:spacing w:after="0" w:line="240"/>
              <w:jc w:val="center"/>
            </w:pPr>
            <w:r>
              <w:rPr>
                <w:b w:val="false"/>
                <w:bCs w:val="false"/>
                <w:sz w:val="17"/>
                <w:szCs w:val="17"/>
              </w:rPr>
              <w:t xml:space="preserve">0,565</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0,127</w:t>
            </w:r>
          </w:p>
        </w:tc>
        <w:tc>
          <w:tcPr>
            <w:tcW w:type="dxa" w:w="2866"/>
            <w:tcMar>
              <w:top w:type="dxa" w:w="60"/>
              <w:left w:type="dxa" w:w="90"/>
              <w:bottom w:type="dxa" w:w="60"/>
              <w:right w:type="dxa" w:w="90"/>
            </w:tcMar>
          </w:tcPr>
          <w:p>
            <w:pPr>
              <w:spacing w:after="0" w:line="240"/>
              <w:jc w:val="left"/>
            </w:pPr>
            <w:r>
              <w:rPr>
                <w:b w:val="false"/>
                <w:bCs w:val="false"/>
                <w:sz w:val="17"/>
                <w:szCs w:val="17"/>
              </w:rPr>
              <w:t xml:space="preserve">Humanidades</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78</w:t>
            </w:r>
          </w:p>
        </w:tc>
        <w:tc>
          <w:tcPr>
            <w:tcW w:type="dxa" w:w="917"/>
            <w:tcMar>
              <w:top w:type="dxa" w:w="60"/>
              <w:left w:type="dxa" w:w="90"/>
              <w:bottom w:type="dxa" w:w="60"/>
              <w:right w:type="dxa" w:w="90"/>
            </w:tcMar>
          </w:tcPr>
          <w:p>
            <w:pPr>
              <w:spacing w:after="0" w:line="240"/>
              <w:jc w:val="center"/>
            </w:pPr>
            <w:r>
              <w:rPr>
                <w:b w:val="false"/>
                <w:bCs w:val="false"/>
                <w:sz w:val="17"/>
                <w:szCs w:val="17"/>
              </w:rPr>
              <w:t xml:space="preserve">0,643</w:t>
            </w:r>
          </w:p>
        </w:tc>
      </w:tr>
      <w:tr>
        <w:tc>
          <w:tcPr>
            <w:tcW w:type="dxa" w:w="2866"/>
            <w:tcMar>
              <w:top w:type="dxa" w:w="60"/>
              <w:left w:type="dxa" w:w="90"/>
              <w:bottom w:type="dxa" w:w="60"/>
              <w:right w:type="dxa" w:w="90"/>
            </w:tcMar>
          </w:tcPr>
          <w:p>
            <w:pPr>
              <w:spacing w:after="0" w:line="240"/>
              <w:jc w:val="left"/>
            </w:pPr>
            <w:r>
              <w:rPr>
                <w:b w:val="false"/>
                <w:bCs w:val="false"/>
                <w:sz w:val="17"/>
                <w:szCs w:val="17"/>
              </w:rPr>
              <w:t xml:space="preserve">CFT privados</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2.263</w:t>
            </w:r>
          </w:p>
        </w:tc>
        <w:tc>
          <w:tcPr>
            <w:tcW w:type="dxa" w:w="917"/>
            <w:tcMar>
              <w:top w:type="dxa" w:w="60"/>
              <w:left w:type="dxa" w:w="90"/>
              <w:bottom w:type="dxa" w:w="60"/>
              <w:right w:type="dxa" w:w="90"/>
            </w:tcMar>
          </w:tcPr>
          <w:p>
            <w:pPr>
              <w:spacing w:after="0" w:line="240"/>
              <w:jc w:val="center"/>
            </w:pPr>
            <w:r>
              <w:rPr>
                <w:b w:val="false"/>
                <w:bCs w:val="false"/>
                <w:sz w:val="17"/>
                <w:szCs w:val="17"/>
              </w:rPr>
              <w:t xml:space="preserve">0,542</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0,195</w:t>
            </w:r>
          </w:p>
        </w:tc>
        <w:tc>
          <w:tcPr>
            <w:tcW w:type="dxa" w:w="2866"/>
            <w:tcMar>
              <w:top w:type="dxa" w:w="60"/>
              <w:left w:type="dxa" w:w="90"/>
              <w:bottom w:type="dxa" w:w="60"/>
              <w:right w:type="dxa" w:w="90"/>
            </w:tcMar>
          </w:tcPr>
          <w:p>
            <w:pPr>
              <w:spacing w:after="0" w:line="240"/>
              <w:jc w:val="left"/>
            </w:pPr>
            <w:r>
              <w:rPr>
                <w:b w:val="false"/>
                <w:bCs w:val="false"/>
                <w:sz w:val="17"/>
                <w:szCs w:val="17"/>
              </w:rPr>
              <w:t xml:space="preserve">Derecho</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224</w:t>
            </w:r>
          </w:p>
        </w:tc>
        <w:tc>
          <w:tcPr>
            <w:tcW w:type="dxa" w:w="917"/>
            <w:tcMar>
              <w:top w:type="dxa" w:w="60"/>
              <w:left w:type="dxa" w:w="90"/>
              <w:bottom w:type="dxa" w:w="60"/>
              <w:right w:type="dxa" w:w="90"/>
            </w:tcMar>
          </w:tcPr>
          <w:p>
            <w:pPr>
              <w:spacing w:after="0" w:line="240"/>
              <w:jc w:val="center"/>
            </w:pPr>
            <w:r>
              <w:rPr>
                <w:b w:val="false"/>
                <w:bCs w:val="false"/>
                <w:sz w:val="17"/>
                <w:szCs w:val="17"/>
              </w:rPr>
              <w:t xml:space="preserve">0,641</w:t>
            </w:r>
          </w:p>
        </w:tc>
      </w:tr>
      <w:tr>
        <w:tc>
          <w:tcPr>
            <w:tcW w:type="dxa" w:w="2866"/>
            <w:tcMar>
              <w:top w:type="dxa" w:w="60"/>
              <w:left w:type="dxa" w:w="90"/>
              <w:bottom w:type="dxa" w:w="60"/>
              <w:right w:type="dxa" w:w="90"/>
            </w:tcMar>
          </w:tcPr>
          <w:p>
            <w:pPr>
              <w:spacing w:after="0" w:line="240"/>
              <w:jc w:val="left"/>
            </w:pPr>
            <w:r>
              <w:rPr>
                <w:b w:val="false"/>
                <w:bCs w:val="false"/>
                <w:sz w:val="17"/>
                <w:szCs w:val="17"/>
              </w:rPr>
              <w:t xml:space="preserve">Institutos profesionales</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3.759</w:t>
            </w:r>
          </w:p>
        </w:tc>
        <w:tc>
          <w:tcPr>
            <w:tcW w:type="dxa" w:w="917"/>
            <w:tcMar>
              <w:top w:type="dxa" w:w="60"/>
              <w:left w:type="dxa" w:w="90"/>
              <w:bottom w:type="dxa" w:w="60"/>
              <w:right w:type="dxa" w:w="90"/>
            </w:tcMar>
          </w:tcPr>
          <w:p>
            <w:pPr>
              <w:spacing w:after="0" w:line="240"/>
              <w:jc w:val="center"/>
            </w:pPr>
            <w:r>
              <w:rPr>
                <w:b w:val="false"/>
                <w:bCs w:val="false"/>
                <w:sz w:val="17"/>
                <w:szCs w:val="17"/>
              </w:rPr>
              <w:t xml:space="preserve">0,528</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0,232</w:t>
            </w:r>
          </w:p>
        </w:tc>
        <w:tc>
          <w:tcPr>
            <w:tcW w:type="dxa" w:w="2866"/>
            <w:tcMar>
              <w:top w:type="dxa" w:w="60"/>
              <w:left w:type="dxa" w:w="90"/>
              <w:bottom w:type="dxa" w:w="60"/>
              <w:right w:type="dxa" w:w="90"/>
            </w:tcMar>
          </w:tcPr>
          <w:p>
            <w:pPr>
              <w:spacing w:after="0" w:line="240"/>
              <w:jc w:val="left"/>
            </w:pPr>
            <w:r>
              <w:rPr>
                <w:b w:val="false"/>
                <w:bCs w:val="false"/>
                <w:sz w:val="17"/>
                <w:szCs w:val="17"/>
              </w:rPr>
              <w:t xml:space="preserve">Arte y Arquitectura</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490</w:t>
            </w:r>
          </w:p>
        </w:tc>
        <w:tc>
          <w:tcPr>
            <w:tcW w:type="dxa" w:w="917"/>
            <w:tcMar>
              <w:top w:type="dxa" w:w="60"/>
              <w:left w:type="dxa" w:w="90"/>
              <w:bottom w:type="dxa" w:w="60"/>
              <w:right w:type="dxa" w:w="90"/>
            </w:tcMar>
          </w:tcPr>
          <w:p>
            <w:pPr>
              <w:spacing w:after="0" w:line="240"/>
              <w:jc w:val="center"/>
            </w:pPr>
            <w:r>
              <w:rPr>
                <w:b w:val="false"/>
                <w:bCs w:val="false"/>
                <w:sz w:val="17"/>
                <w:szCs w:val="17"/>
              </w:rPr>
              <w:t xml:space="preserve">0,585</w:t>
            </w:r>
          </w:p>
        </w:tc>
      </w:tr>
      <w:tr>
        <w:tc>
          <w:tcPr>
            <w:tcW w:type="dxa" w:w="2866"/>
            <w:tcMar>
              <w:top w:type="dxa" w:w="60"/>
              <w:left w:type="dxa" w:w="90"/>
              <w:bottom w:type="dxa" w:w="60"/>
              <w:right w:type="dxa" w:w="90"/>
            </w:tcMar>
          </w:tcPr>
          <w:p>
            <w:pPr>
              <w:spacing w:after="0" w:line="240"/>
              <w:jc w:val="left"/>
            </w:pPr>
            <w:r>
              <w:rPr>
                <w:b w:val="false"/>
                <w:bCs w:val="false"/>
                <w:sz w:val="17"/>
                <w:szCs w:val="17"/>
              </w:rPr>
              <w:t xml:space="preserve">Universidades privadas</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2.012</w:t>
            </w:r>
          </w:p>
        </w:tc>
        <w:tc>
          <w:tcPr>
            <w:tcW w:type="dxa" w:w="917"/>
            <w:tcMar>
              <w:top w:type="dxa" w:w="60"/>
              <w:left w:type="dxa" w:w="90"/>
              <w:bottom w:type="dxa" w:w="60"/>
              <w:right w:type="dxa" w:w="90"/>
            </w:tcMar>
          </w:tcPr>
          <w:p>
            <w:pPr>
              <w:spacing w:after="0" w:line="240"/>
              <w:jc w:val="center"/>
            </w:pPr>
            <w:r>
              <w:rPr>
                <w:b w:val="false"/>
                <w:bCs w:val="false"/>
                <w:sz w:val="17"/>
                <w:szCs w:val="17"/>
              </w:rPr>
              <w:t xml:space="preserve">0,509</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0,237</w:t>
            </w:r>
          </w:p>
        </w:tc>
        <w:tc>
          <w:tcPr>
            <w:tcW w:type="dxa" w:w="2866"/>
            <w:tcMar>
              <w:top w:type="dxa" w:w="60"/>
              <w:left w:type="dxa" w:w="90"/>
              <w:bottom w:type="dxa" w:w="60"/>
              <w:right w:type="dxa" w:w="90"/>
            </w:tcMar>
          </w:tcPr>
          <w:p>
            <w:pPr>
              <w:spacing w:after="0" w:line="240"/>
              <w:jc w:val="left"/>
            </w:pPr>
            <w:r>
              <w:rPr>
                <w:b w:val="false"/>
                <w:bCs w:val="false"/>
                <w:sz w:val="17"/>
                <w:szCs w:val="17"/>
              </w:rPr>
              <w:t xml:space="preserve">Tecnología</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3.009</w:t>
            </w:r>
          </w:p>
        </w:tc>
        <w:tc>
          <w:tcPr>
            <w:tcW w:type="dxa" w:w="917"/>
            <w:tcMar>
              <w:top w:type="dxa" w:w="60"/>
              <w:left w:type="dxa" w:w="90"/>
              <w:bottom w:type="dxa" w:w="60"/>
              <w:right w:type="dxa" w:w="90"/>
            </w:tcMar>
          </w:tcPr>
          <w:p>
            <w:pPr>
              <w:spacing w:after="0" w:line="240"/>
              <w:jc w:val="center"/>
            </w:pPr>
            <w:r>
              <w:rPr>
                <w:b w:val="false"/>
                <w:bCs w:val="false"/>
                <w:sz w:val="17"/>
                <w:szCs w:val="17"/>
              </w:rPr>
              <w:t xml:space="preserve">0,555</w:t>
            </w:r>
          </w:p>
        </w:tc>
      </w:tr>
      <w:tr>
        <w:tc>
          <w:tcPr>
            <w:tcW w:type="dxa" w:w="2866"/>
            <w:tcMar>
              <w:top w:type="dxa" w:w="60"/>
              <w:left w:type="dxa" w:w="90"/>
              <w:bottom w:type="dxa" w:w="60"/>
              <w:right w:type="dxa" w:w="90"/>
            </w:tcMar>
          </w:tcPr>
          <w:p>
            <w:pPr>
              <w:spacing w:after="0" w:line="240"/>
              <w:jc w:val="left"/>
            </w:pPr>
            <w:r>
              <w:rPr>
                <w:b w:val="false"/>
                <w:bCs w:val="false"/>
                <w:sz w:val="17"/>
                <w:szCs w:val="17"/>
              </w:rPr>
              <w:t xml:space="preserve">U. estatales CRUCH</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932</w:t>
            </w:r>
          </w:p>
        </w:tc>
        <w:tc>
          <w:tcPr>
            <w:tcW w:type="dxa" w:w="917"/>
            <w:tcMar>
              <w:top w:type="dxa" w:w="60"/>
              <w:left w:type="dxa" w:w="90"/>
              <w:bottom w:type="dxa" w:w="60"/>
              <w:right w:type="dxa" w:w="90"/>
            </w:tcMar>
          </w:tcPr>
          <w:p>
            <w:pPr>
              <w:spacing w:after="0" w:line="240"/>
              <w:jc w:val="center"/>
            </w:pPr>
            <w:r>
              <w:rPr>
                <w:b w:val="false"/>
                <w:bCs w:val="false"/>
                <w:sz w:val="17"/>
                <w:szCs w:val="17"/>
              </w:rPr>
              <w:t xml:space="preserve">0,494</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0,223</w:t>
            </w:r>
          </w:p>
        </w:tc>
        <w:tc>
          <w:tcPr>
            <w:tcW w:type="dxa" w:w="2866"/>
            <w:tcMar>
              <w:top w:type="dxa" w:w="60"/>
              <w:left w:type="dxa" w:w="90"/>
              <w:bottom w:type="dxa" w:w="60"/>
              <w:right w:type="dxa" w:w="90"/>
            </w:tcMar>
          </w:tcPr>
          <w:p>
            <w:pPr>
              <w:spacing w:after="0" w:line="240"/>
              <w:jc w:val="left"/>
            </w:pPr>
            <w:r>
              <w:rPr>
                <w:b w:val="false"/>
                <w:bCs w:val="false"/>
                <w:sz w:val="17"/>
                <w:szCs w:val="17"/>
              </w:rPr>
              <w:t xml:space="preserve">Educación</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1.344</w:t>
            </w:r>
          </w:p>
        </w:tc>
        <w:tc>
          <w:tcPr>
            <w:tcW w:type="dxa" w:w="917"/>
            <w:tcMar>
              <w:top w:type="dxa" w:w="60"/>
              <w:left w:type="dxa" w:w="90"/>
              <w:bottom w:type="dxa" w:w="60"/>
              <w:right w:type="dxa" w:w="90"/>
            </w:tcMar>
          </w:tcPr>
          <w:p>
            <w:pPr>
              <w:spacing w:after="0" w:line="240"/>
              <w:jc w:val="center"/>
            </w:pPr>
            <w:r>
              <w:rPr>
                <w:b w:val="false"/>
                <w:bCs w:val="false"/>
                <w:sz w:val="17"/>
                <w:szCs w:val="17"/>
              </w:rPr>
              <w:t xml:space="preserve">0,476</w:t>
            </w:r>
          </w:p>
        </w:tc>
      </w:tr>
      <w:tr>
        <w:tc>
          <w:tcPr>
            <w:tcW w:type="dxa" w:w="2866"/>
            <w:tcMar>
              <w:top w:type="dxa" w:w="60"/>
              <w:left w:type="dxa" w:w="90"/>
              <w:bottom w:type="dxa" w:w="60"/>
              <w:right w:type="dxa" w:w="90"/>
            </w:tcMar>
          </w:tcPr>
          <w:p>
            <w:pPr>
              <w:spacing w:after="0" w:line="240"/>
              <w:jc w:val="left"/>
            </w:pPr>
            <w:r>
              <w:rPr>
                <w:b w:val="false"/>
                <w:bCs w:val="false"/>
                <w:sz w:val="17"/>
                <w:szCs w:val="17"/>
              </w:rPr>
              <w:t xml:space="preserve">U. privadas CRUCH</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685</w:t>
            </w:r>
          </w:p>
        </w:tc>
        <w:tc>
          <w:tcPr>
            <w:tcW w:type="dxa" w:w="917"/>
            <w:tcMar>
              <w:top w:type="dxa" w:w="60"/>
              <w:left w:type="dxa" w:w="90"/>
              <w:bottom w:type="dxa" w:w="60"/>
              <w:right w:type="dxa" w:w="90"/>
            </w:tcMar>
          </w:tcPr>
          <w:p>
            <w:pPr>
              <w:spacing w:after="0" w:line="240"/>
              <w:jc w:val="center"/>
            </w:pPr>
            <w:r>
              <w:rPr>
                <w:b w:val="false"/>
                <w:bCs w:val="false"/>
                <w:sz w:val="17"/>
                <w:szCs w:val="17"/>
              </w:rPr>
              <w:t xml:space="preserve">0,442</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0,213</w:t>
            </w:r>
          </w:p>
        </w:tc>
        <w:tc>
          <w:tcPr>
            <w:tcW w:type="dxa" w:w="2866"/>
            <w:tcMar>
              <w:top w:type="dxa" w:w="60"/>
              <w:left w:type="dxa" w:w="90"/>
              <w:bottom w:type="dxa" w:w="60"/>
              <w:right w:type="dxa" w:w="90"/>
            </w:tcMar>
          </w:tcPr>
          <w:p>
            <w:pPr>
              <w:spacing w:after="0" w:line="240"/>
              <w:jc w:val="left"/>
            </w:pPr>
            <w:r>
              <w:rPr>
                <w:b w:val="false"/>
                <w:bCs w:val="false"/>
                <w:sz w:val="17"/>
                <w:szCs w:val="17"/>
              </w:rPr>
              <w:t xml:space="preserve">Salud</w:t>
            </w:r>
          </w:p>
        </w:tc>
        <w:tc>
          <w:tcPr>
            <w:tcW w:type="dxa" w:w="803"/>
            <w:tcMar>
              <w:top w:type="dxa" w:w="60"/>
              <w:left w:type="dxa" w:w="90"/>
              <w:bottom w:type="dxa" w:w="60"/>
              <w:right w:type="dxa" w:w="90"/>
            </w:tcMar>
          </w:tcPr>
          <w:p>
            <w:pPr>
              <w:spacing w:after="0" w:line="240"/>
              <w:jc w:val="center"/>
            </w:pPr>
            <w:r>
              <w:rPr>
                <w:b w:val="false"/>
                <w:bCs w:val="false"/>
                <w:sz w:val="17"/>
                <w:szCs w:val="17"/>
              </w:rPr>
              <w:t xml:space="preserve">1.355</w:t>
            </w:r>
          </w:p>
        </w:tc>
        <w:tc>
          <w:tcPr>
            <w:tcW w:type="dxa" w:w="917"/>
            <w:tcMar>
              <w:top w:type="dxa" w:w="60"/>
              <w:left w:type="dxa" w:w="90"/>
              <w:bottom w:type="dxa" w:w="60"/>
              <w:right w:type="dxa" w:w="90"/>
            </w:tcMar>
          </w:tcPr>
          <w:p>
            <w:pPr>
              <w:spacing w:after="0" w:line="240"/>
              <w:jc w:val="center"/>
            </w:pPr>
            <w:r>
              <w:rPr>
                <w:b w:val="false"/>
                <w:bCs w:val="false"/>
                <w:sz w:val="17"/>
                <w:szCs w:val="17"/>
              </w:rPr>
              <w:t xml:space="preserve">0,468</w:t>
            </w:r>
          </w:p>
        </w:tc>
      </w:tr>
    </w:tbl>
    <w:p>
      <w:pPr>
        <w:spacing w:after="110"/>
      </w:pPr>
      <w:r>
        <w:rPr>
          <w:sz w:val="8"/>
          <w:szCs w:val="8"/>
        </w:rPr>
        <w:t xml:space="preserve"/>
      </w:r>
    </w:p>
    <w:p>
      <w:pPr>
        <w:spacing w:after="50" w:before="140"/>
        <w:jc w:val="center"/>
      </w:pPr>
      <w:r>
        <w:drawing>
          <wp:inline distT="0" distB="0" distL="0" distR="0">
            <wp:extent cx="4752594" cy="2454999"/>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594" cy="2454999"/>
                    </a:xfrm>
                    <a:prstGeom prst="rect">
                      <a:avLst/>
                    </a:prstGeom>
                  </pic:spPr>
                </pic:pic>
              </a:graphicData>
            </a:graphic>
          </wp:inline>
        </w:drawing>
      </w:r>
    </w:p>
    <w:p>
      <w:pPr>
        <w:spacing w:after="160"/>
        <w:jc w:val="center"/>
      </w:pPr>
      <w:r>
        <w:rPr>
          <w:i/>
          <w:iCs/>
          <w:color w:val="555555"/>
          <w:sz w:val="16"/>
          <w:szCs w:val="16"/>
        </w:rPr>
        <w:t xml:space="preserve">Figura 3. Dispersión del abandono dentro de cada tipo de institución.</w:t>
      </w:r>
    </w:p>
    <w:p>
      <w:pPr>
        <w:spacing w:after="120" w:line="264"/>
        <w:jc w:val="both"/>
      </w:pPr>
      <w:r>
        <w:t xml:space="preserve">La figura 3 contiene la advertencia más importante para la decisión: las cajas se solapan ampliamente, de modo que </w:t>
      </w:r>
      <w:r>
        <w:rPr>
          <w:b/>
          <w:bCs/>
        </w:rPr>
        <w:t xml:space="preserve">la variación dentro de cada tipo de institución supera a la que hay entre tipos</w:t>
      </w:r>
      <w:r>
        <w:t xml:space="preserve">. Focalizar por tipo de institución, que sería lo administrativamente más cómodo, dejaría fuera a buena parte de los programas con más abandono.</w:t>
      </w:r>
    </w:p>
    <w:p>
      <w:pPr>
        <w:spacing w:after="50" w:before="140"/>
        <w:jc w:val="center"/>
      </w:pPr>
      <w:r>
        <w:drawing>
          <wp:inline distT="0" distB="0" distL="0" distR="0">
            <wp:extent cx="4752594" cy="2675063"/>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594" cy="2675063"/>
                    </a:xfrm>
                    <a:prstGeom prst="rect">
                      <a:avLst/>
                    </a:prstGeom>
                  </pic:spPr>
                </pic:pic>
              </a:graphicData>
            </a:graphic>
          </wp:inline>
        </w:drawing>
      </w:r>
    </w:p>
    <w:p>
      <w:pPr>
        <w:spacing w:after="160"/>
        <w:jc w:val="center"/>
      </w:pPr>
      <w:r>
        <w:rPr>
          <w:i/>
          <w:iCs/>
          <w:color w:val="555555"/>
          <w:sz w:val="16"/>
          <w:szCs w:val="16"/>
        </w:rPr>
        <w:t xml:space="preserve">Figura 4. Abandono aparente medio por área del conocimiento.</w:t>
      </w:r>
    </w:p>
    <w:p>
      <w:pPr>
        <w:spacing w:after="120" w:line="264"/>
        <w:jc w:val="both"/>
      </w:pPr>
      <w:r>
        <w:t xml:space="preserve">El gradiente por área del conocimiento es más marcado que el institucional, con 17,5 puntos entre Humanidades y Salud, pero descansa sobre grupos de tamaño muy desigual —de 78 programas a 3.009—, lo que obliga a acompañar cada media de su incertidumbre antes de usarla para decidir.</w:t>
      </w:r>
    </w:p>
    <w:p>
      <w:pPr>
        <w:pStyle w:val="Heading2"/>
        <w:spacing w:after="90" w:before="180"/>
      </w:pPr>
      <w:r>
        <w:rPr>
          <w:b/>
          <w:bCs/>
          <w:color w:val="2E5496"/>
          <w:sz w:val="22"/>
          <w:szCs w:val="22"/>
        </w:rPr>
        <w:t xml:space="preserve">3.4 Análisis bivariado</w:t>
      </w:r>
    </w:p>
    <w:p>
      <w:pPr>
        <w:spacing w:after="120" w:line="264"/>
        <w:jc w:val="both"/>
      </w:pPr>
      <w:r>
        <w:t xml:space="preserve">Hasta aquí cada variable se ha descrito por separado. El paso siguiente examina cómo se relacionan entre sí, que es lo que permite anticipar qué factores merecen un contraste formal y cuáles podrían estar midiendo lo mismo.</w:t>
      </w:r>
    </w:p>
    <w:p>
      <w:pPr>
        <w:spacing w:after="50" w:before="140"/>
        <w:jc w:val="center"/>
      </w:pPr>
      <w:r>
        <w:drawing>
          <wp:inline distT="0" distB="0" distL="0" distR="0">
            <wp:extent cx="4176522" cy="3760978"/>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76522" cy="3760978"/>
                    </a:xfrm>
                    <a:prstGeom prst="rect">
                      <a:avLst/>
                    </a:prstGeom>
                  </pic:spPr>
                </pic:pic>
              </a:graphicData>
            </a:graphic>
          </wp:inline>
        </w:drawing>
      </w:r>
    </w:p>
    <w:p>
      <w:pPr>
        <w:spacing w:after="160"/>
        <w:jc w:val="center"/>
      </w:pPr>
      <w:r>
        <w:rPr>
          <w:i/>
          <w:iCs/>
          <w:color w:val="555555"/>
          <w:sz w:val="16"/>
          <w:szCs w:val="16"/>
        </w:rPr>
        <w:t xml:space="preserve">Figura 5. Matriz de correlaciones de Pearson entre las variables numéricas.</w:t>
      </w:r>
    </w:p>
    <w:p>
      <w:pPr>
        <w:spacing w:after="120" w:line="264"/>
        <w:jc w:val="both"/>
      </w:pPr>
      <w:r>
        <w:rPr>
          <w:b/>
          <w:bCs/>
        </w:rPr>
        <w:t xml:space="preserve">Ninguna variable aislada explica el abandono.</w:t>
      </w:r>
      <w:r>
        <w:t xml:space="preserve"> La correlación más fuerte es la de la acreditación de carrera, con r = −0,311, que equivale a un 9,7 % de varianza compartida; las demás no superan 0,26 en valor absoluto. El fenómeno es multifactorial, lo que anticipa que ningún criterio único de focalización será suficiente. En particular, el tamaño del programa se asocia negativamente con el abandono (r = −0,247) pero explica apenas un 6 % de la variación.</w:t>
      </w:r>
    </w:p>
    <w:p>
      <w:pPr>
        <w:spacing w:after="120" w:line="264"/>
        <w:jc w:val="both"/>
      </w:pPr>
      <w:r>
        <w:rPr>
          <w:b/>
          <w:bCs/>
        </w:rPr>
        <w:t xml:space="preserve">El signo de cada relación es el esperado</w:t>
      </w:r>
      <w:r>
        <w:t xml:space="preserve">: acreditación, tamaño, proporción de mujeres y duración formal se asocian negativamente con el abandono, mientras que la edad media de la matrícula y el origen técnico-profesional lo hacen positivamente. Ninguna correlación contradice lo previsible, lo que da verosimilitud al conjunto.</w:t>
      </w:r>
    </w:p>
    <w:p>
      <w:pPr>
        <w:spacing w:after="120" w:line="264"/>
        <w:jc w:val="both"/>
      </w:pPr>
      <w:r>
        <w:rPr>
          <w:b/>
          <w:bCs/>
        </w:rPr>
        <w:t xml:space="preserve">Hay colinealidad entre las predictoras.</w:t>
      </w:r>
      <w:r>
        <w:t xml:space="preserve"> El par más correlacionado es la proporción de egresados de colegios particulares pagados con la de establecimientos técnico-profesionales (r = −0,583), seguida de esta última con la duración formal (r = −0,535). Esa estructura importa para la fase siguiente, porque un modelo multivariado no podrá separar limpiamente esos efectos.</w:t>
      </w:r>
    </w:p>
    <w:p>
      <w:pPr>
        <w:spacing w:after="140" w:before="60" w:line="240"/>
        <w:jc w:val="both"/>
      </w:pPr>
      <w:r>
        <w:rPr>
          <w:i/>
          <w:iCs/>
          <w:color w:val="444444"/>
          <w:sz w:val="17"/>
          <w:szCs w:val="17"/>
        </w:rPr>
        <w:t xml:space="preserve">Conviene advertir que todas las correlaciones resultan significativas al 5 %, incluso la de 0,050. Es el mismo fenómeno que domina el apartado 5: con 9.678 observaciones la significación estadística deja de informar sobre la relevancia.</w:t>
      </w:r>
    </w:p>
    <w:p>
      <w:pPr>
        <w:pStyle w:val="Heading1"/>
        <w:spacing w:after="130" w:before="260"/>
      </w:pPr>
      <w:r>
        <w:rPr>
          <w:b/>
          <w:bCs/>
          <w:color w:val="1F3864"/>
          <w:sz w:val="26"/>
          <w:szCs w:val="26"/>
        </w:rPr>
        <w:t xml:space="preserve">4. Estimación puntual e intervalos de confianza</w:t>
      </w:r>
    </w:p>
    <w:p>
      <w:pPr>
        <w:pStyle w:val="Heading2"/>
        <w:spacing w:after="90" w:before="180"/>
      </w:pPr>
      <w:r>
        <w:rPr>
          <w:b/>
          <w:bCs/>
          <w:color w:val="2E5496"/>
          <w:sz w:val="22"/>
          <w:szCs w:val="22"/>
        </w:rPr>
        <w:t xml:space="preserve">4.1 Sobre qué población se infiere</w:t>
      </w:r>
    </w:p>
    <w:p>
      <w:pPr>
        <w:spacing w:after="120" w:line="264"/>
        <w:jc w:val="both"/>
      </w:pPr>
      <w:r>
        <w:t xml:space="preserve">Antes de calcular un intervalo conviene responder una pregunta que suele saltarse: </w:t>
      </w:r>
      <w:r>
        <w:rPr>
          <w:b/>
          <w:bCs/>
        </w:rPr>
        <w:t xml:space="preserve">¿de qué población se habla?</w:t>
      </w:r>
      <w:r>
        <w:t xml:space="preserve"> Los 9.678 programas no son una muestra extraída al azar de un universo mayor: son todos los programas chilenos que cumplen los criterios de inclusión en el período. Sobre un censo, un intervalo de confianza en sentido estricto carecería de sentido, porque el parámetro ya está medido sin error muestral.</w:t>
      </w:r>
    </w:p>
    <w:p>
      <w:pPr>
        <w:spacing w:after="120" w:line="264"/>
        <w:jc w:val="both"/>
      </w:pPr>
      <w:r>
        <w:t xml:space="preserve">La inferencia que sigue se formula, por tanto, sobre el </w:t>
      </w:r>
      <w:r>
        <w:rPr>
          <w:b/>
          <w:bCs/>
        </w:rPr>
        <w:t xml:space="preserve">proceso generador</w:t>
      </w:r>
      <w:r>
        <w:t xml:space="preserve">: los programas observados se tratan como una realización de un sistema educativo que sigue operando y que pudo haber producido resultados algo distintos. El parámetro estimado es el abandono esperado de ese proceso, y el intervalo mide la incertidumbre que introduce la variabilidad del sistema, no el muestreo. La distinción cambia lo que puede afirmarse: autoriza a decir que el abandono esperado está entre 0,514 y 0,523, y prohíbe decir que hay un 95 % de probabilidad de que el valor real caiga ahí, que es una lectura que el intervalo frecuentista no admite.</w:t>
      </w:r>
    </w:p>
    <w:p>
      <w:pPr>
        <w:pStyle w:val="Heading2"/>
        <w:spacing w:after="90" w:before="180"/>
      </w:pPr>
      <w:r>
        <w:rPr>
          <w:b/>
          <w:bCs/>
          <w:color w:val="2E5496"/>
          <w:sz w:val="22"/>
          <w:szCs w:val="22"/>
        </w:rPr>
        <w:t xml:space="preserve">4.2 Cinco parámetros estimados</w:t>
      </w:r>
    </w:p>
    <w:p>
      <w:pPr>
        <w:spacing w:after="120" w:line="264"/>
        <w:jc w:val="both"/>
      </w:pPr>
      <w:r>
        <w:t xml:space="preserve">Se estiman primero las medias de </w:t>
      </w:r>
      <w:r>
        <w:rPr>
          <w:b/>
          <w:bCs/>
        </w:rPr>
        <w:t xml:space="preserve">tres variables numéricas</w:t>
      </w:r>
      <w:r>
        <w:t xml:space="preserve"> que describen dimensiones distintas del programa —la respuesta, el perfil etario y la composición de género— y después dos parámetros de otra naturaleza, que exigen procedimientos propios:</w:t>
      </w:r>
    </w:p>
    <w:tbl>
      <w:tblPr>
        <w:tblW w:type="pct" w:w="5000"/>
        <w:tblBorders>
          <w:top w:val="single" w:color="BFCDD8" w:sz="2"/>
          <w:left w:val="single" w:color="BFCDD8" w:sz="2"/>
          <w:bottom w:val="single" w:color="BFCDD8" w:sz="2"/>
          <w:right w:val="single" w:color="BFCDD8" w:sz="2"/>
          <w:insideH w:val="single" w:color="BFCDD8" w:sz="2"/>
          <w:insideV w:val="single" w:color="BFCDD8" w:sz="2"/>
        </w:tblBorders>
      </w:tblPr>
      <w:tblGrid>
        <w:gridCol w:w="3400"/>
        <w:gridCol w:w="1900"/>
        <w:gridCol w:w="2200"/>
        <w:gridCol w:w="2300"/>
      </w:tblGrid>
      <w:tr>
        <w:trPr>
          <w:tblHeader/>
        </w:trPr>
        <w:tc>
          <w:tcPr>
            <w:tcW w:type="dxa" w:w="3460"/>
            <w:shd w:fill="F2F5F7" w:val="clear"/>
            <w:tcMar>
              <w:top w:type="dxa" w:w="60"/>
              <w:left w:type="dxa" w:w="90"/>
              <w:bottom w:type="dxa" w:w="60"/>
              <w:right w:type="dxa" w:w="90"/>
            </w:tcMar>
          </w:tcPr>
          <w:p>
            <w:pPr>
              <w:spacing w:after="0" w:line="240"/>
              <w:jc w:val="left"/>
            </w:pPr>
            <w:r>
              <w:rPr>
                <w:b/>
                <w:bCs/>
                <w:sz w:val="17"/>
                <w:szCs w:val="17"/>
              </w:rPr>
              <w:t xml:space="preserve">Parámetro</w:t>
            </w:r>
          </w:p>
        </w:tc>
        <w:tc>
          <w:tcPr>
            <w:tcW w:type="dxa" w:w="1934"/>
            <w:shd w:fill="F2F5F7" w:val="clear"/>
            <w:tcMar>
              <w:top w:type="dxa" w:w="60"/>
              <w:left w:type="dxa" w:w="90"/>
              <w:bottom w:type="dxa" w:w="60"/>
              <w:right w:type="dxa" w:w="90"/>
            </w:tcMar>
          </w:tcPr>
          <w:p>
            <w:pPr>
              <w:spacing w:after="0" w:line="240"/>
              <w:jc w:val="center"/>
            </w:pPr>
            <w:r>
              <w:rPr>
                <w:b/>
                <w:bCs/>
                <w:sz w:val="17"/>
                <w:szCs w:val="17"/>
              </w:rPr>
              <w:t xml:space="preserve">Estimación puntual</w:t>
            </w:r>
          </w:p>
        </w:tc>
        <w:tc>
          <w:tcPr>
            <w:tcW w:type="dxa" w:w="2239"/>
            <w:shd w:fill="F2F5F7" w:val="clear"/>
            <w:tcMar>
              <w:top w:type="dxa" w:w="60"/>
              <w:left w:type="dxa" w:w="90"/>
              <w:bottom w:type="dxa" w:w="60"/>
              <w:right w:type="dxa" w:w="90"/>
            </w:tcMar>
          </w:tcPr>
          <w:p>
            <w:pPr>
              <w:spacing w:after="0" w:line="240"/>
              <w:jc w:val="center"/>
            </w:pPr>
            <w:r>
              <w:rPr>
                <w:b/>
                <w:bCs/>
                <w:sz w:val="17"/>
                <w:szCs w:val="17"/>
              </w:rPr>
              <w:t xml:space="preserve">IC 95 %</w:t>
            </w:r>
          </w:p>
        </w:tc>
        <w:tc>
          <w:tcPr>
            <w:tcW w:type="dxa" w:w="2341"/>
            <w:shd w:fill="F2F5F7" w:val="clear"/>
            <w:tcMar>
              <w:top w:type="dxa" w:w="60"/>
              <w:left w:type="dxa" w:w="90"/>
              <w:bottom w:type="dxa" w:w="60"/>
              <w:right w:type="dxa" w:w="90"/>
            </w:tcMar>
          </w:tcPr>
          <w:p>
            <w:pPr>
              <w:spacing w:after="0" w:line="240"/>
              <w:jc w:val="left"/>
            </w:pPr>
            <w:r>
              <w:rPr>
                <w:b/>
                <w:bCs/>
                <w:sz w:val="17"/>
                <w:szCs w:val="17"/>
              </w:rPr>
              <w:t xml:space="preserve">Procedimiento</w:t>
            </w:r>
          </w:p>
        </w:tc>
      </w:tr>
      <w:tr>
        <w:tc>
          <w:tcPr>
            <w:tcW w:type="dxa" w:w="3460"/>
            <w:tcMar>
              <w:top w:type="dxa" w:w="60"/>
              <w:left w:type="dxa" w:w="90"/>
              <w:bottom w:type="dxa" w:w="60"/>
              <w:right w:type="dxa" w:w="90"/>
            </w:tcMar>
          </w:tcPr>
          <w:p>
            <w:pPr>
              <w:spacing w:after="0" w:line="240"/>
              <w:jc w:val="left"/>
            </w:pPr>
            <w:r>
              <w:rPr>
                <w:b w:val="false"/>
                <w:bCs w:val="false"/>
                <w:sz w:val="17"/>
                <w:szCs w:val="17"/>
              </w:rPr>
              <w:t xml:space="preserve">Abandono medio del programa</w:t>
            </w:r>
          </w:p>
        </w:tc>
        <w:tc>
          <w:tcPr>
            <w:tcW w:type="dxa" w:w="1934"/>
            <w:tcMar>
              <w:top w:type="dxa" w:w="60"/>
              <w:left w:type="dxa" w:w="90"/>
              <w:bottom w:type="dxa" w:w="60"/>
              <w:right w:type="dxa" w:w="90"/>
            </w:tcMar>
          </w:tcPr>
          <w:p>
            <w:pPr>
              <w:spacing w:after="0" w:line="240"/>
              <w:jc w:val="center"/>
            </w:pPr>
            <w:r>
              <w:rPr>
                <w:b w:val="false"/>
                <w:bCs w:val="false"/>
                <w:sz w:val="17"/>
                <w:szCs w:val="17"/>
              </w:rPr>
              <w:t xml:space="preserve">0,5183</w:t>
            </w:r>
          </w:p>
        </w:tc>
        <w:tc>
          <w:tcPr>
            <w:tcW w:type="dxa" w:w="2239"/>
            <w:tcMar>
              <w:top w:type="dxa" w:w="60"/>
              <w:left w:type="dxa" w:w="90"/>
              <w:bottom w:type="dxa" w:w="60"/>
              <w:right w:type="dxa" w:w="90"/>
            </w:tcMar>
          </w:tcPr>
          <w:p>
            <w:pPr>
              <w:spacing w:after="0" w:line="240"/>
              <w:jc w:val="center"/>
            </w:pPr>
            <w:r>
              <w:rPr>
                <w:b w:val="false"/>
                <w:bCs w:val="false"/>
                <w:sz w:val="17"/>
                <w:szCs w:val="17"/>
              </w:rPr>
              <w:t xml:space="preserve">[0,5138 ; 0,5227]</w:t>
            </w:r>
          </w:p>
        </w:tc>
        <w:tc>
          <w:tcPr>
            <w:tcW w:type="dxa" w:w="2341"/>
            <w:tcMar>
              <w:top w:type="dxa" w:w="60"/>
              <w:left w:type="dxa" w:w="90"/>
              <w:bottom w:type="dxa" w:w="60"/>
              <w:right w:type="dxa" w:w="90"/>
            </w:tcMar>
          </w:tcPr>
          <w:p>
            <w:pPr>
              <w:spacing w:after="0" w:line="240"/>
              <w:jc w:val="left"/>
            </w:pPr>
            <w:r>
              <w:rPr>
                <w:b w:val="false"/>
                <w:bCs w:val="false"/>
                <w:sz w:val="17"/>
                <w:szCs w:val="17"/>
              </w:rPr>
              <w:t xml:space="preserve">t de Student, gl = 9.677</w:t>
            </w:r>
          </w:p>
        </w:tc>
      </w:tr>
      <w:tr>
        <w:tc>
          <w:tcPr>
            <w:tcW w:type="dxa" w:w="3460"/>
            <w:tcMar>
              <w:top w:type="dxa" w:w="60"/>
              <w:left w:type="dxa" w:w="90"/>
              <w:bottom w:type="dxa" w:w="60"/>
              <w:right w:type="dxa" w:w="90"/>
            </w:tcMar>
          </w:tcPr>
          <w:p>
            <w:pPr>
              <w:spacing w:after="0" w:line="240"/>
              <w:jc w:val="left"/>
            </w:pPr>
            <w:r>
              <w:rPr>
                <w:b w:val="false"/>
                <w:bCs w:val="false"/>
                <w:sz w:val="17"/>
                <w:szCs w:val="17"/>
              </w:rPr>
              <w:t xml:space="preserve">Edad media de la matrícula (años)</w:t>
            </w:r>
          </w:p>
        </w:tc>
        <w:tc>
          <w:tcPr>
            <w:tcW w:type="dxa" w:w="1934"/>
            <w:tcMar>
              <w:top w:type="dxa" w:w="60"/>
              <w:left w:type="dxa" w:w="90"/>
              <w:bottom w:type="dxa" w:w="60"/>
              <w:right w:type="dxa" w:w="90"/>
            </w:tcMar>
          </w:tcPr>
          <w:p>
            <w:pPr>
              <w:spacing w:after="0" w:line="240"/>
              <w:jc w:val="center"/>
            </w:pPr>
            <w:r>
              <w:rPr>
                <w:b w:val="false"/>
                <w:bCs w:val="false"/>
                <w:sz w:val="17"/>
                <w:szCs w:val="17"/>
              </w:rPr>
              <w:t xml:space="preserve">24,1600</w:t>
            </w:r>
          </w:p>
        </w:tc>
        <w:tc>
          <w:tcPr>
            <w:tcW w:type="dxa" w:w="2239"/>
            <w:tcMar>
              <w:top w:type="dxa" w:w="60"/>
              <w:left w:type="dxa" w:w="90"/>
              <w:bottom w:type="dxa" w:w="60"/>
              <w:right w:type="dxa" w:w="90"/>
            </w:tcMar>
          </w:tcPr>
          <w:p>
            <w:pPr>
              <w:spacing w:after="0" w:line="240"/>
              <w:jc w:val="center"/>
            </w:pPr>
            <w:r>
              <w:rPr>
                <w:b w:val="false"/>
                <w:bCs w:val="false"/>
                <w:sz w:val="17"/>
                <w:szCs w:val="17"/>
              </w:rPr>
              <w:t xml:space="preserve">[24,0905 ; 24,2295]</w:t>
            </w:r>
          </w:p>
        </w:tc>
        <w:tc>
          <w:tcPr>
            <w:tcW w:type="dxa" w:w="2341"/>
            <w:tcMar>
              <w:top w:type="dxa" w:w="60"/>
              <w:left w:type="dxa" w:w="90"/>
              <w:bottom w:type="dxa" w:w="60"/>
              <w:right w:type="dxa" w:w="90"/>
            </w:tcMar>
          </w:tcPr>
          <w:p>
            <w:pPr>
              <w:spacing w:after="0" w:line="240"/>
              <w:jc w:val="left"/>
            </w:pPr>
            <w:r>
              <w:rPr>
                <w:b w:val="false"/>
                <w:bCs w:val="false"/>
                <w:sz w:val="17"/>
                <w:szCs w:val="17"/>
              </w:rPr>
              <w:t xml:space="preserve">t de Student, gl = 9.677</w:t>
            </w:r>
          </w:p>
        </w:tc>
      </w:tr>
      <w:tr>
        <w:tc>
          <w:tcPr>
            <w:tcW w:type="dxa" w:w="3460"/>
            <w:tcMar>
              <w:top w:type="dxa" w:w="60"/>
              <w:left w:type="dxa" w:w="90"/>
              <w:bottom w:type="dxa" w:w="60"/>
              <w:right w:type="dxa" w:w="90"/>
            </w:tcMar>
          </w:tcPr>
          <w:p>
            <w:pPr>
              <w:spacing w:after="0" w:line="240"/>
              <w:jc w:val="left"/>
            </w:pPr>
            <w:r>
              <w:rPr>
                <w:b w:val="false"/>
                <w:bCs w:val="false"/>
                <w:sz w:val="17"/>
                <w:szCs w:val="17"/>
              </w:rPr>
              <w:t xml:space="preserve">Proporción de mujeres</w:t>
            </w:r>
          </w:p>
        </w:tc>
        <w:tc>
          <w:tcPr>
            <w:tcW w:type="dxa" w:w="1934"/>
            <w:tcMar>
              <w:top w:type="dxa" w:w="60"/>
              <w:left w:type="dxa" w:w="90"/>
              <w:bottom w:type="dxa" w:w="60"/>
              <w:right w:type="dxa" w:w="90"/>
            </w:tcMar>
          </w:tcPr>
          <w:p>
            <w:pPr>
              <w:spacing w:after="0" w:line="240"/>
              <w:jc w:val="center"/>
            </w:pPr>
            <w:r>
              <w:rPr>
                <w:b w:val="false"/>
                <w:bCs w:val="false"/>
                <w:sz w:val="17"/>
                <w:szCs w:val="17"/>
              </w:rPr>
              <w:t xml:space="preserve">0,5156</w:t>
            </w:r>
          </w:p>
        </w:tc>
        <w:tc>
          <w:tcPr>
            <w:tcW w:type="dxa" w:w="2239"/>
            <w:tcMar>
              <w:top w:type="dxa" w:w="60"/>
              <w:left w:type="dxa" w:w="90"/>
              <w:bottom w:type="dxa" w:w="60"/>
              <w:right w:type="dxa" w:w="90"/>
            </w:tcMar>
          </w:tcPr>
          <w:p>
            <w:pPr>
              <w:spacing w:after="0" w:line="240"/>
              <w:jc w:val="center"/>
            </w:pPr>
            <w:r>
              <w:rPr>
                <w:b w:val="false"/>
                <w:bCs w:val="false"/>
                <w:sz w:val="17"/>
                <w:szCs w:val="17"/>
              </w:rPr>
              <w:t xml:space="preserve">[0,5097 ; 0,5215]</w:t>
            </w:r>
          </w:p>
        </w:tc>
        <w:tc>
          <w:tcPr>
            <w:tcW w:type="dxa" w:w="2341"/>
            <w:tcMar>
              <w:top w:type="dxa" w:w="60"/>
              <w:left w:type="dxa" w:w="90"/>
              <w:bottom w:type="dxa" w:w="60"/>
              <w:right w:type="dxa" w:w="90"/>
            </w:tcMar>
          </w:tcPr>
          <w:p>
            <w:pPr>
              <w:spacing w:after="0" w:line="240"/>
              <w:jc w:val="left"/>
            </w:pPr>
            <w:r>
              <w:rPr>
                <w:b w:val="false"/>
                <w:bCs w:val="false"/>
                <w:sz w:val="17"/>
                <w:szCs w:val="17"/>
              </w:rPr>
              <w:t xml:space="preserve">t de Student, gl = 9.677</w:t>
            </w:r>
          </w:p>
        </w:tc>
      </w:tr>
      <w:tr>
        <w:tc>
          <w:tcPr>
            <w:tcW w:type="dxa" w:w="3460"/>
            <w:tcMar>
              <w:top w:type="dxa" w:w="60"/>
              <w:left w:type="dxa" w:w="90"/>
              <w:bottom w:type="dxa" w:w="60"/>
              <w:right w:type="dxa" w:w="90"/>
            </w:tcMar>
          </w:tcPr>
          <w:p>
            <w:pPr>
              <w:spacing w:after="0" w:line="240"/>
              <w:jc w:val="left"/>
            </w:pPr>
            <w:r>
              <w:rPr>
                <w:b w:val="false"/>
                <w:bCs w:val="false"/>
                <w:sz w:val="17"/>
                <w:szCs w:val="17"/>
              </w:rPr>
              <w:t xml:space="preserve">Programas con abandono &gt; 50 %</w:t>
            </w:r>
          </w:p>
        </w:tc>
        <w:tc>
          <w:tcPr>
            <w:tcW w:type="dxa" w:w="1934"/>
            <w:tcMar>
              <w:top w:type="dxa" w:w="60"/>
              <w:left w:type="dxa" w:w="90"/>
              <w:bottom w:type="dxa" w:w="60"/>
              <w:right w:type="dxa" w:w="90"/>
            </w:tcMar>
          </w:tcPr>
          <w:p>
            <w:pPr>
              <w:spacing w:after="0" w:line="240"/>
              <w:jc w:val="center"/>
            </w:pPr>
            <w:r>
              <w:rPr>
                <w:b w:val="false"/>
                <w:bCs w:val="false"/>
                <w:sz w:val="17"/>
                <w:szCs w:val="17"/>
              </w:rPr>
              <w:t xml:space="preserve">0,5494</w:t>
            </w:r>
          </w:p>
        </w:tc>
        <w:tc>
          <w:tcPr>
            <w:tcW w:type="dxa" w:w="2239"/>
            <w:tcMar>
              <w:top w:type="dxa" w:w="60"/>
              <w:left w:type="dxa" w:w="90"/>
              <w:bottom w:type="dxa" w:w="60"/>
              <w:right w:type="dxa" w:w="90"/>
            </w:tcMar>
          </w:tcPr>
          <w:p>
            <w:pPr>
              <w:spacing w:after="0" w:line="240"/>
              <w:jc w:val="center"/>
            </w:pPr>
            <w:r>
              <w:rPr>
                <w:b w:val="false"/>
                <w:bCs w:val="false"/>
                <w:sz w:val="17"/>
                <w:szCs w:val="17"/>
              </w:rPr>
              <w:t xml:space="preserve">[0,5395 ; 0,5593]</w:t>
            </w:r>
          </w:p>
        </w:tc>
        <w:tc>
          <w:tcPr>
            <w:tcW w:type="dxa" w:w="2341"/>
            <w:tcMar>
              <w:top w:type="dxa" w:w="60"/>
              <w:left w:type="dxa" w:w="90"/>
              <w:bottom w:type="dxa" w:w="60"/>
              <w:right w:type="dxa" w:w="90"/>
            </w:tcMar>
          </w:tcPr>
          <w:p>
            <w:pPr>
              <w:spacing w:after="0" w:line="240"/>
              <w:jc w:val="left"/>
            </w:pPr>
            <w:r>
              <w:rPr>
                <w:b w:val="false"/>
                <w:bCs w:val="false"/>
                <w:sz w:val="17"/>
                <w:szCs w:val="17"/>
              </w:rPr>
              <w:t xml:space="preserve">Wilson (proporción)</w:t>
            </w:r>
          </w:p>
        </w:tc>
      </w:tr>
      <w:tr>
        <w:tc>
          <w:tcPr>
            <w:tcW w:type="dxa" w:w="3460"/>
            <w:tcMar>
              <w:top w:type="dxa" w:w="60"/>
              <w:left w:type="dxa" w:w="90"/>
              <w:bottom w:type="dxa" w:w="60"/>
              <w:right w:type="dxa" w:w="90"/>
            </w:tcMar>
          </w:tcPr>
          <w:p>
            <w:pPr>
              <w:spacing w:after="0" w:line="240"/>
              <w:jc w:val="left"/>
            </w:pPr>
            <w:r>
              <w:rPr>
                <w:b w:val="false"/>
                <w:bCs w:val="false"/>
                <w:sz w:val="17"/>
                <w:szCs w:val="17"/>
              </w:rPr>
              <w:t xml:space="preserve">Diferencia por acreditación</w:t>
            </w:r>
          </w:p>
        </w:tc>
        <w:tc>
          <w:tcPr>
            <w:tcW w:type="dxa" w:w="1934"/>
            <w:tcMar>
              <w:top w:type="dxa" w:w="60"/>
              <w:left w:type="dxa" w:w="90"/>
              <w:bottom w:type="dxa" w:w="60"/>
              <w:right w:type="dxa" w:w="90"/>
            </w:tcMar>
          </w:tcPr>
          <w:p>
            <w:pPr>
              <w:spacing w:after="0" w:line="240"/>
              <w:jc w:val="center"/>
            </w:pPr>
            <w:r>
              <w:rPr>
                <w:b w:val="false"/>
                <w:bCs w:val="false"/>
                <w:sz w:val="17"/>
                <w:szCs w:val="17"/>
              </w:rPr>
              <w:t xml:space="preserve">+0,1757</w:t>
            </w:r>
          </w:p>
        </w:tc>
        <w:tc>
          <w:tcPr>
            <w:tcW w:type="dxa" w:w="2239"/>
            <w:tcMar>
              <w:top w:type="dxa" w:w="60"/>
              <w:left w:type="dxa" w:w="90"/>
              <w:bottom w:type="dxa" w:w="60"/>
              <w:right w:type="dxa" w:w="90"/>
            </w:tcMar>
          </w:tcPr>
          <w:p>
            <w:pPr>
              <w:spacing w:after="0" w:line="240"/>
              <w:jc w:val="center"/>
            </w:pPr>
            <w:r>
              <w:rPr>
                <w:b w:val="false"/>
                <w:bCs w:val="false"/>
                <w:sz w:val="17"/>
                <w:szCs w:val="17"/>
              </w:rPr>
              <w:t xml:space="preserve">[0,1590 ; 0,1924]</w:t>
            </w:r>
          </w:p>
        </w:tc>
        <w:tc>
          <w:tcPr>
            <w:tcW w:type="dxa" w:w="2341"/>
            <w:tcMar>
              <w:top w:type="dxa" w:w="60"/>
              <w:left w:type="dxa" w:w="90"/>
              <w:bottom w:type="dxa" w:w="60"/>
              <w:right w:type="dxa" w:w="90"/>
            </w:tcMar>
          </w:tcPr>
          <w:p>
            <w:pPr>
              <w:spacing w:after="0" w:line="240"/>
              <w:jc w:val="left"/>
            </w:pPr>
            <w:r>
              <w:rPr>
                <w:b w:val="false"/>
                <w:bCs w:val="false"/>
                <w:sz w:val="17"/>
                <w:szCs w:val="17"/>
              </w:rPr>
              <w:t xml:space="preserve">Welch, gl = 902</w:t>
            </w:r>
          </w:p>
        </w:tc>
      </w:tr>
    </w:tbl>
    <w:p>
      <w:pPr>
        <w:spacing w:after="110"/>
      </w:pPr>
      <w:r>
        <w:rPr>
          <w:sz w:val="8"/>
          <w:szCs w:val="8"/>
        </w:rPr>
        <w:t xml:space="preserve"/>
      </w:r>
    </w:p>
    <w:p>
      <w:pPr>
        <w:spacing w:after="120" w:line="264"/>
        <w:jc w:val="both"/>
      </w:pPr>
      <w:r>
        <w:rPr>
          <w:b/>
          <w:bCs/>
        </w:rPr>
        <w:t xml:space="preserve">Las tres medias.</w:t>
      </w:r>
      <w:r>
        <w:t xml:space="preserve"> La edad media de 24,16 años es alta para pregrado y refleja el peso de la jornada vespertina, que agrupa al 35,5 % de los programas. La proporción de mujeres, 0,5156, describe un sistema equilibrado en promedio, pero su desviación estándar de 0,296 revela una segregación fuerte por programa: hay carreras casi enteramente masculinas y otras casi enteramente femeninas. Ese tercer caso ilustra bien el riesgo de leer mal un intervalo estrecho, porque lo que afirma es que </w:t>
      </w:r>
      <w:r>
        <w:rPr>
          <w:i/>
          <w:iCs/>
        </w:rPr>
        <w:t xml:space="preserve">el promedio del sistema</w:t>
      </w:r>
      <w:r>
        <w:t xml:space="preserve"> se conoce con precisión, no que los programas se parezcan entre sí.</w:t>
      </w:r>
    </w:p>
    <w:p>
      <w:pPr>
        <w:spacing w:after="120" w:line="264"/>
        <w:jc w:val="both"/>
      </w:pPr>
      <w:r>
        <w:rPr>
          <w:b/>
          <w:bCs/>
        </w:rPr>
        <w:t xml:space="preserve">El abandono.</w:t>
      </w:r>
      <w:r>
        <w:t xml:space="preserve"> El intervalo mide nueve milésimas de ancho. Esa precisión no proviene de que el fenómeno sea homogéneo —la desviación estándar de 0,224 dice lo contrario— sino del tamaño del conjunto: el error estándar divide la desviación por la raíz de 9.678, es decir por 98,4. Conviene no confundir precisión con homogeneidad: el intervalo describe cuán bien conocemos el promedio, no cuán parecidos son los programas entre sí. Un remuestreo bootstrap de 5.000 réplicas arroja [0,5139 ; 0,5226], coincidente hasta la cuarta cifra, lo que confirma que el supuesto de normalidad de la media es sostenible.</w:t>
      </w:r>
    </w:p>
    <w:p>
      <w:pPr>
        <w:spacing w:after="120" w:line="264"/>
        <w:jc w:val="both"/>
      </w:pPr>
      <w:r>
        <w:rPr>
          <w:b/>
          <w:bCs/>
        </w:rPr>
        <w:t xml:space="preserve">La proporción.</w:t>
      </w:r>
      <w:r>
        <w:t xml:space="preserve"> Se emplea el método de Wilson (1927) en lugar de la aproximación normal porque no produce límites fuera del intervalo [0, 1] y conserva su cobertura cerca de los extremos. Con una proporción próxima a 0,5 y un </w:t>
      </w:r>
      <w:r>
        <w:rPr>
          <w:i/>
          <w:iCs/>
        </w:rPr>
        <w:t xml:space="preserve">n</w:t>
      </w:r>
      <w:r>
        <w:t xml:space="preserve"> grande ambos coinciden, pero la elección deja de ser indiferente en otros escenarios.</w:t>
      </w:r>
    </w:p>
    <w:p>
      <w:pPr>
        <w:spacing w:after="120" w:line="264"/>
        <w:jc w:val="both"/>
      </w:pPr>
      <w:r>
        <w:rPr>
          <w:b/>
          <w:bCs/>
        </w:rPr>
        <w:t xml:space="preserve">La diferencia.</w:t>
      </w:r>
      <w:r>
        <w:t xml:space="preserve"> El intervalo no contiene el cero y su límite inferior ya alcanza los 15,9 puntos porcentuales, de modo que la conclusión no depende del extremo del intervalo que se tome.</w:t>
      </w:r>
    </w:p>
    <w:p>
      <w:pPr>
        <w:pStyle w:val="Heading1"/>
        <w:spacing w:after="130" w:before="260"/>
      </w:pPr>
      <w:r>
        <w:rPr>
          <w:b/>
          <w:bCs/>
          <w:color w:val="1F3864"/>
          <w:sz w:val="26"/>
          <w:szCs w:val="26"/>
        </w:rPr>
        <w:t xml:space="preserve">5. Pruebas de hipótesis y tamaño del efecto</w:t>
      </w:r>
    </w:p>
    <w:p>
      <w:pPr>
        <w:spacing w:after="120" w:line="264"/>
        <w:jc w:val="both"/>
      </w:pPr>
      <w:r>
        <w:t xml:space="preserve">El procedimiento adecuado depende de la pregunta y del tipo de las variables implicadas, no de la costumbre. Las preguntas de este trabajo son de dos clases: las primeras comparan el sistema con un </w:t>
      </w:r>
      <w:r>
        <w:rPr>
          <w:b/>
          <w:bCs/>
        </w:rPr>
        <w:t xml:space="preserve">valor de referencia</w:t>
      </w:r>
      <w:r>
        <w:t xml:space="preserve"> y se resuelven con contrastes de una muestra; las segundas comparan </w:t>
      </w:r>
      <w:r>
        <w:rPr>
          <w:b/>
          <w:bCs/>
        </w:rPr>
        <w:t xml:space="preserve">grupos entre sí</w:t>
      </w:r>
      <w:r>
        <w:t xml:space="preserve"> y exigen procedimientos de dos o más muestras. Se aplican cinco contrastes, todos al nivel </w:t>
      </w:r>
      <w:r>
        <w:rPr>
          <w:b/>
          <w:bCs/>
        </w:rPr>
        <w:t xml:space="preserve">α = 0,05</w:t>
      </w:r>
      <w:r>
        <w:t xml:space="preserve"> fijado antes de examinar los resultados y acompañados de su tamaño del efecto.</w:t>
      </w:r>
    </w:p>
    <w:p>
      <w:pPr>
        <w:spacing w:after="120" w:line="264"/>
        <w:jc w:val="both"/>
      </w:pPr>
      <w:r>
        <w:rPr>
          <w:b/>
          <w:bCs/>
        </w:rPr>
        <w:t xml:space="preserve">Normalidad.</w:t>
      </w:r>
      <w:r>
        <w:t xml:space="preserve"> La prueba de Shapiro-Wilk rechaza la normalidad exacta (W = 0,990; p &lt; 0,001), pero su estadístico vale 0,990 sobre un máximo de 1: la discrepancia es mínima y la prueba la detecta por el tamaño muestral, no por su magnitud. Se aplicó sobre una submuestra aleatoria de 5.000 observaciones, porque la implementación empleada no es fiable por encima de ese tamaño. Lo que los procedimientos requieren, en todo caso, no es que la variable sea normal sino que lo sea la distribución de la media, que el teorema central del límite garantiza con 9.678 observaciones.</w:t>
      </w:r>
    </w:p>
    <w:p>
      <w:pPr>
        <w:spacing w:after="50" w:before="140"/>
        <w:jc w:val="center"/>
      </w:pPr>
      <w:r>
        <w:drawing>
          <wp:inline distT="0" distB="0" distL="0" distR="0">
            <wp:extent cx="2736342" cy="271803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36342" cy="2718030"/>
                    </a:xfrm>
                    <a:prstGeom prst="rect">
                      <a:avLst/>
                    </a:prstGeom>
                  </pic:spPr>
                </pic:pic>
              </a:graphicData>
            </a:graphic>
          </wp:inline>
        </w:drawing>
      </w:r>
    </w:p>
    <w:p>
      <w:pPr>
        <w:spacing w:after="160"/>
        <w:jc w:val="center"/>
      </w:pPr>
      <w:r>
        <w:rPr>
          <w:i/>
          <w:iCs/>
          <w:color w:val="555555"/>
          <w:sz w:val="16"/>
          <w:szCs w:val="16"/>
        </w:rPr>
        <w:t xml:space="preserve">Figura 6. Gráfico Q-Q del abandono frente a la distribución normal.</w:t>
      </w:r>
    </w:p>
    <w:p>
      <w:pPr>
        <w:spacing w:after="120" w:line="264"/>
        <w:jc w:val="both"/>
      </w:pPr>
      <w:r>
        <w:t xml:space="preserve">El gráfico Q-Q confirma el diagnóstico y además lo explica: los puntos siguen la recta en todo el tramo central, con una correlación cuantil-cuantil de 0,995, y se apartan solo en los extremos. Esas dos mesetas horizontales son los programas acotados en 0 y en 1 que el apartado 3.1 identificó. La desviación respecto de la normal no es, por tanto, un rasgo difuso de la distribución, sino el efecto localizado de la censura que introduce el método de cálculo.</w:t>
      </w:r>
    </w:p>
    <w:p>
      <w:pPr>
        <w:spacing w:after="120" w:line="264"/>
        <w:jc w:val="both"/>
      </w:pPr>
      <w:r>
        <w:rPr>
          <w:b/>
          <w:bCs/>
        </w:rPr>
        <w:t xml:space="preserve">Homogeneidad de varianzas.</w:t>
      </w:r>
      <w:r>
        <w:t xml:space="preserve"> La prueba de Levene no la rechaza (W = 0,869; p = 0,351); aun así se emplea la versión de Welch (1947), que no la supone, por ser la opción conservadora.</w:t>
      </w:r>
    </w:p>
    <w:p>
      <w:pPr>
        <w:pStyle w:val="Heading2"/>
        <w:spacing w:after="90" w:before="180"/>
      </w:pPr>
      <w:r>
        <w:rPr>
          <w:b/>
          <w:bCs/>
          <w:color w:val="2E5496"/>
          <w:sz w:val="22"/>
          <w:szCs w:val="22"/>
        </w:rPr>
        <w:t xml:space="preserve">5.1 Los dos contrastes de una muestra</w:t>
      </w:r>
    </w:p>
    <w:p>
      <w:pPr>
        <w:spacing w:after="120" w:line="264"/>
        <w:jc w:val="both"/>
      </w:pPr>
      <w:r>
        <w:t xml:space="preserve">Que la mitad de una cohorte no se titule es el umbral que la discusión pública toma como señal de alarma, de modo que la primera pregunta contrasta el sistema contra ese valor. Con </w:t>
      </w:r>
      <w:r>
        <w:rPr>
          <w:b/>
          <w:bCs/>
        </w:rPr>
        <w:t xml:space="preserve">H₀: μ = 0,50</w:t>
      </w:r>
      <w:r>
        <w:t xml:space="preserve"> frente a </w:t>
      </w:r>
      <w:r>
        <w:rPr>
          <w:b/>
          <w:bCs/>
        </w:rPr>
        <w:t xml:space="preserve">H₁: μ ≠ 0,50</w:t>
      </w:r>
      <w:r>
        <w:t xml:space="preserve">, la prueba t de una muestra arroja t = 8,04 con 9.677 grados de libertad y p = 1,0 × 10⁻¹⁵: se rechaza la hipótesis nula. Pero la diferencia es de </w:t>
      </w:r>
      <w:r>
        <w:rPr>
          <w:b/>
          <w:bCs/>
        </w:rPr>
        <w:t xml:space="preserve">1,8 puntos porcentuales</w:t>
      </w:r>
      <w:r>
        <w:t xml:space="preserve"> y la </w:t>
      </w:r>
      <w:r>
        <w:rPr>
          <w:b/>
          <w:bCs/>
        </w:rPr>
        <w:t xml:space="preserve">d de Cohen vale 0,082</w:t>
      </w:r>
      <w:r>
        <w:t xml:space="preserve">, muy por debajo del 0,2 que marca el umbral de los efectos pequeños.</w:t>
      </w:r>
    </w:p>
    <w:p>
      <w:pPr>
        <w:spacing w:after="120" w:line="264"/>
        <w:jc w:val="both"/>
      </w:pPr>
      <w:r>
        <w:t xml:space="preserve">La segunda pregunta traslada la misma comparación a una proporción: ¿superan el umbral más de la mitad de los programas? Con </w:t>
      </w:r>
      <w:r>
        <w:rPr>
          <w:b/>
          <w:bCs/>
        </w:rPr>
        <w:t xml:space="preserve">H₀: p = 0,50</w:t>
      </w:r>
      <w:r>
        <w:t xml:space="preserve"> y el error estándar calculado bajo la hipótesis nula, el contraste Z de una muestra da Z = 9,72 y p &lt; 0,001, y de nuevo el tamaño del efecto lo relativiza, con una </w:t>
      </w:r>
      <w:r>
        <w:rPr>
          <w:b/>
          <w:bCs/>
        </w:rPr>
        <w:t xml:space="preserve">h de Cohen de 0,099</w:t>
      </w:r>
      <w:r>
        <w:t xml:space="preserve">.</w:t>
      </w:r>
    </w:p>
    <w:p>
      <w:pPr>
        <w:spacing w:after="120" w:line="264"/>
        <w:jc w:val="both"/>
      </w:pPr>
      <w:r>
        <w:t xml:space="preserve">Ambos coinciden en una lectura que el valor p, por sí solo, invitaría a negar: </w:t>
      </w:r>
      <w:r>
        <w:rPr>
          <w:b/>
          <w:bCs/>
        </w:rPr>
        <w:t xml:space="preserve">el sistema chileno se sitúa justo en el umbral del 50 %, no claramente por encima</w:t>
      </w:r>
      <w:r>
        <w:t xml:space="preserve">.</w:t>
      </w:r>
    </w:p>
    <w:p>
      <w:pPr>
        <w:pStyle w:val="Heading2"/>
        <w:spacing w:after="90" w:before="180"/>
      </w:pPr>
      <w:r>
        <w:rPr>
          <w:b/>
          <w:bCs/>
          <w:color w:val="2E5496"/>
          <w:sz w:val="22"/>
          <w:szCs w:val="22"/>
        </w:rPr>
        <w:t xml:space="preserve">5.2 Los tres contrastes de comparación</w:t>
      </w:r>
    </w:p>
    <w:tbl>
      <w:tblPr>
        <w:tblW w:type="pct" w:w="5000"/>
        <w:tblBorders>
          <w:top w:val="single" w:color="BFCDD8" w:sz="2"/>
          <w:left w:val="single" w:color="BFCDD8" w:sz="2"/>
          <w:bottom w:val="single" w:color="BFCDD8" w:sz="2"/>
          <w:right w:val="single" w:color="BFCDD8" w:sz="2"/>
          <w:insideH w:val="single" w:color="BFCDD8" w:sz="2"/>
          <w:insideV w:val="single" w:color="BFCDD8" w:sz="2"/>
        </w:tblBorders>
      </w:tblPr>
      <w:tblGrid>
        <w:gridCol w:w="1700"/>
        <w:gridCol w:w="3000"/>
        <w:gridCol w:w="2400"/>
        <w:gridCol w:w="1300"/>
        <w:gridCol w:w="2200"/>
      </w:tblGrid>
      <w:tr>
        <w:trPr>
          <w:tblHeader/>
        </w:trPr>
        <w:tc>
          <w:tcPr>
            <w:tcW w:type="dxa" w:w="1700"/>
            <w:shd w:fill="F2F5F7" w:val="clear"/>
            <w:tcMar>
              <w:top w:type="dxa" w:w="60"/>
              <w:left w:type="dxa" w:w="90"/>
              <w:bottom w:type="dxa" w:w="60"/>
              <w:right w:type="dxa" w:w="90"/>
            </w:tcMar>
          </w:tcPr>
          <w:p>
            <w:pPr>
              <w:spacing w:after="0" w:line="240"/>
              <w:jc w:val="left"/>
            </w:pPr>
            <w:r>
              <w:rPr>
                <w:b/>
                <w:bCs/>
                <w:sz w:val="17"/>
                <w:szCs w:val="17"/>
              </w:rPr>
              <w:t xml:space="preserve">Contraste</w:t>
            </w:r>
          </w:p>
        </w:tc>
        <w:tc>
          <w:tcPr>
            <w:tcW w:type="dxa" w:w="3000"/>
            <w:shd w:fill="F2F5F7" w:val="clear"/>
            <w:tcMar>
              <w:top w:type="dxa" w:w="60"/>
              <w:left w:type="dxa" w:w="90"/>
              <w:bottom w:type="dxa" w:w="60"/>
              <w:right w:type="dxa" w:w="90"/>
            </w:tcMar>
          </w:tcPr>
          <w:p>
            <w:pPr>
              <w:spacing w:after="0" w:line="240"/>
              <w:jc w:val="left"/>
            </w:pPr>
            <w:r>
              <w:rPr>
                <w:b/>
                <w:bCs/>
                <w:sz w:val="17"/>
                <w:szCs w:val="17"/>
              </w:rPr>
              <w:t xml:space="preserve">Hipótesis nula</w:t>
            </w:r>
          </w:p>
        </w:tc>
        <w:tc>
          <w:tcPr>
            <w:tcW w:type="dxa" w:w="2400"/>
            <w:shd w:fill="F2F5F7" w:val="clear"/>
            <w:tcMar>
              <w:top w:type="dxa" w:w="60"/>
              <w:left w:type="dxa" w:w="90"/>
              <w:bottom w:type="dxa" w:w="60"/>
              <w:right w:type="dxa" w:w="90"/>
            </w:tcMar>
          </w:tcPr>
          <w:p>
            <w:pPr>
              <w:spacing w:after="0" w:line="240"/>
              <w:jc w:val="center"/>
            </w:pPr>
            <w:r>
              <w:rPr>
                <w:b/>
                <w:bCs/>
                <w:sz w:val="17"/>
                <w:szCs w:val="17"/>
              </w:rPr>
              <w:t xml:space="preserve">Estadístico</w:t>
            </w:r>
          </w:p>
        </w:tc>
        <w:tc>
          <w:tcPr>
            <w:tcW w:type="dxa" w:w="1300"/>
            <w:shd w:fill="F2F5F7" w:val="clear"/>
            <w:tcMar>
              <w:top w:type="dxa" w:w="60"/>
              <w:left w:type="dxa" w:w="90"/>
              <w:bottom w:type="dxa" w:w="60"/>
              <w:right w:type="dxa" w:w="90"/>
            </w:tcMar>
          </w:tcPr>
          <w:p>
            <w:pPr>
              <w:spacing w:after="0" w:line="240"/>
              <w:jc w:val="center"/>
            </w:pPr>
            <w:r>
              <w:rPr>
                <w:b/>
                <w:bCs/>
                <w:sz w:val="17"/>
                <w:szCs w:val="17"/>
              </w:rPr>
              <w:t xml:space="preserve">Valor p</w:t>
            </w:r>
          </w:p>
        </w:tc>
        <w:tc>
          <w:tcPr>
            <w:tcW w:type="dxa" w:w="2200"/>
            <w:shd w:fill="F2F5F7" w:val="clear"/>
            <w:tcMar>
              <w:top w:type="dxa" w:w="60"/>
              <w:left w:type="dxa" w:w="90"/>
              <w:bottom w:type="dxa" w:w="60"/>
              <w:right w:type="dxa" w:w="90"/>
            </w:tcMar>
          </w:tcPr>
          <w:p>
            <w:pPr>
              <w:spacing w:after="0" w:line="240"/>
              <w:jc w:val="left"/>
            </w:pPr>
            <w:r>
              <w:rPr>
                <w:b/>
                <w:bCs/>
                <w:sz w:val="17"/>
                <w:szCs w:val="17"/>
              </w:rPr>
              <w:t xml:space="preserve">Tamaño del efecto</w:t>
            </w:r>
          </w:p>
        </w:tc>
      </w:tr>
      <w:tr>
        <w:tc>
          <w:tcPr>
            <w:tcW w:type="dxa" w:w="1700"/>
            <w:tcMar>
              <w:top w:type="dxa" w:w="60"/>
              <w:left w:type="dxa" w:w="90"/>
              <w:bottom w:type="dxa" w:w="60"/>
              <w:right w:type="dxa" w:w="90"/>
            </w:tcMar>
          </w:tcPr>
          <w:p>
            <w:pPr>
              <w:spacing w:after="0" w:line="240"/>
              <w:jc w:val="left"/>
            </w:pPr>
            <w:r>
              <w:rPr>
                <w:b w:val="false"/>
                <w:bCs w:val="false"/>
                <w:sz w:val="17"/>
                <w:szCs w:val="17"/>
              </w:rPr>
              <w:t xml:space="preserve">t de una muestra</w:t>
            </w:r>
          </w:p>
        </w:tc>
        <w:tc>
          <w:tcPr>
            <w:tcW w:type="dxa" w:w="3000"/>
            <w:tcMar>
              <w:top w:type="dxa" w:w="60"/>
              <w:left w:type="dxa" w:w="90"/>
              <w:bottom w:type="dxa" w:w="60"/>
              <w:right w:type="dxa" w:w="90"/>
            </w:tcMar>
          </w:tcPr>
          <w:p>
            <w:pPr>
              <w:spacing w:after="0" w:line="240"/>
              <w:jc w:val="left"/>
            </w:pPr>
            <w:r>
              <w:rPr>
                <w:b w:val="false"/>
                <w:bCs w:val="false"/>
                <w:sz w:val="17"/>
                <w:szCs w:val="17"/>
              </w:rPr>
              <w:t xml:space="preserve">El abandono medio es 0,50</w:t>
            </w:r>
          </w:p>
        </w:tc>
        <w:tc>
          <w:tcPr>
            <w:tcW w:type="dxa" w:w="2400"/>
            <w:tcMar>
              <w:top w:type="dxa" w:w="60"/>
              <w:left w:type="dxa" w:w="90"/>
              <w:bottom w:type="dxa" w:w="60"/>
              <w:right w:type="dxa" w:w="90"/>
            </w:tcMar>
          </w:tcPr>
          <w:p>
            <w:pPr>
              <w:spacing w:after="0" w:line="240"/>
              <w:jc w:val="center"/>
            </w:pPr>
            <w:r>
              <w:rPr>
                <w:b w:val="false"/>
                <w:bCs w:val="false"/>
                <w:sz w:val="17"/>
                <w:szCs w:val="17"/>
              </w:rPr>
              <w:t xml:space="preserve">t = 8,04 (gl = 9.677)</w:t>
            </w:r>
          </w:p>
        </w:tc>
        <w:tc>
          <w:tcPr>
            <w:tcW w:type="dxa" w:w="1300"/>
            <w:tcMar>
              <w:top w:type="dxa" w:w="60"/>
              <w:left w:type="dxa" w:w="90"/>
              <w:bottom w:type="dxa" w:w="60"/>
              <w:right w:type="dxa" w:w="90"/>
            </w:tcMar>
          </w:tcPr>
          <w:p>
            <w:pPr>
              <w:spacing w:after="0" w:line="240"/>
              <w:jc w:val="center"/>
            </w:pPr>
            <w:r>
              <w:rPr>
                <w:b w:val="false"/>
                <w:bCs w:val="false"/>
                <w:sz w:val="17"/>
                <w:szCs w:val="17"/>
              </w:rPr>
              <w:t xml:space="preserve">1,0 × 10⁻¹⁵</w:t>
            </w:r>
          </w:p>
        </w:tc>
        <w:tc>
          <w:tcPr>
            <w:tcW w:type="dxa" w:w="2200"/>
            <w:tcMar>
              <w:top w:type="dxa" w:w="60"/>
              <w:left w:type="dxa" w:w="90"/>
              <w:bottom w:type="dxa" w:w="60"/>
              <w:right w:type="dxa" w:w="90"/>
            </w:tcMar>
          </w:tcPr>
          <w:p>
            <w:pPr>
              <w:spacing w:after="0" w:line="240"/>
              <w:jc w:val="left"/>
            </w:pPr>
            <w:r>
              <w:rPr>
                <w:b w:val="false"/>
                <w:bCs w:val="false"/>
                <w:sz w:val="17"/>
                <w:szCs w:val="17"/>
              </w:rPr>
              <w:t xml:space="preserve">d de Cohen = 0,082 — despreciable</w:t>
            </w:r>
          </w:p>
        </w:tc>
      </w:tr>
      <w:tr>
        <w:tc>
          <w:tcPr>
            <w:tcW w:type="dxa" w:w="1700"/>
            <w:tcMar>
              <w:top w:type="dxa" w:w="60"/>
              <w:left w:type="dxa" w:w="90"/>
              <w:bottom w:type="dxa" w:w="60"/>
              <w:right w:type="dxa" w:w="90"/>
            </w:tcMar>
          </w:tcPr>
          <w:p>
            <w:pPr>
              <w:spacing w:after="0" w:line="240"/>
              <w:jc w:val="left"/>
            </w:pPr>
            <w:r>
              <w:rPr>
                <w:b w:val="false"/>
                <w:bCs w:val="false"/>
                <w:sz w:val="17"/>
                <w:szCs w:val="17"/>
              </w:rPr>
              <w:t xml:space="preserve">Z de una muestra</w:t>
            </w:r>
          </w:p>
        </w:tc>
        <w:tc>
          <w:tcPr>
            <w:tcW w:type="dxa" w:w="3000"/>
            <w:tcMar>
              <w:top w:type="dxa" w:w="60"/>
              <w:left w:type="dxa" w:w="90"/>
              <w:bottom w:type="dxa" w:w="60"/>
              <w:right w:type="dxa" w:w="90"/>
            </w:tcMar>
          </w:tcPr>
          <w:p>
            <w:pPr>
              <w:spacing w:after="0" w:line="240"/>
              <w:jc w:val="left"/>
            </w:pPr>
            <w:r>
              <w:rPr>
                <w:b w:val="false"/>
                <w:bCs w:val="false"/>
                <w:sz w:val="17"/>
                <w:szCs w:val="17"/>
              </w:rPr>
              <w:t xml:space="preserve">La proporción sobre el umbral es 0,50</w:t>
            </w:r>
          </w:p>
        </w:tc>
        <w:tc>
          <w:tcPr>
            <w:tcW w:type="dxa" w:w="2400"/>
            <w:tcMar>
              <w:top w:type="dxa" w:w="60"/>
              <w:left w:type="dxa" w:w="90"/>
              <w:bottom w:type="dxa" w:w="60"/>
              <w:right w:type="dxa" w:w="90"/>
            </w:tcMar>
          </w:tcPr>
          <w:p>
            <w:pPr>
              <w:spacing w:after="0" w:line="240"/>
              <w:jc w:val="center"/>
            </w:pPr>
            <w:r>
              <w:rPr>
                <w:b w:val="false"/>
                <w:bCs w:val="false"/>
                <w:sz w:val="17"/>
                <w:szCs w:val="17"/>
              </w:rPr>
              <w:t xml:space="preserve">Z = 9,72</w:t>
            </w:r>
          </w:p>
        </w:tc>
        <w:tc>
          <w:tcPr>
            <w:tcW w:type="dxa" w:w="1300"/>
            <w:tcMar>
              <w:top w:type="dxa" w:w="60"/>
              <w:left w:type="dxa" w:w="90"/>
              <w:bottom w:type="dxa" w:w="60"/>
              <w:right w:type="dxa" w:w="90"/>
            </w:tcMar>
          </w:tcPr>
          <w:p>
            <w:pPr>
              <w:spacing w:after="0" w:line="240"/>
              <w:jc w:val="center"/>
            </w:pPr>
            <w:r>
              <w:rPr>
                <w:b w:val="false"/>
                <w:bCs w:val="false"/>
                <w:sz w:val="17"/>
                <w:szCs w:val="17"/>
              </w:rPr>
              <w:t xml:space="preserve">&lt; 0,001</w:t>
            </w:r>
          </w:p>
        </w:tc>
        <w:tc>
          <w:tcPr>
            <w:tcW w:type="dxa" w:w="2200"/>
            <w:tcMar>
              <w:top w:type="dxa" w:w="60"/>
              <w:left w:type="dxa" w:w="90"/>
              <w:bottom w:type="dxa" w:w="60"/>
              <w:right w:type="dxa" w:w="90"/>
            </w:tcMar>
          </w:tcPr>
          <w:p>
            <w:pPr>
              <w:spacing w:after="0" w:line="240"/>
              <w:jc w:val="left"/>
            </w:pPr>
            <w:r>
              <w:rPr>
                <w:b w:val="false"/>
                <w:bCs w:val="false"/>
                <w:sz w:val="17"/>
                <w:szCs w:val="17"/>
              </w:rPr>
              <w:t xml:space="preserve">h de Cohen = 0,099 — despreciable</w:t>
            </w:r>
          </w:p>
        </w:tc>
      </w:tr>
      <w:tr>
        <w:tc>
          <w:tcPr>
            <w:tcW w:type="dxa" w:w="1700"/>
            <w:tcMar>
              <w:top w:type="dxa" w:w="60"/>
              <w:left w:type="dxa" w:w="90"/>
              <w:bottom w:type="dxa" w:w="60"/>
              <w:right w:type="dxa" w:w="90"/>
            </w:tcMar>
          </w:tcPr>
          <w:p>
            <w:pPr>
              <w:spacing w:after="0" w:line="240"/>
              <w:jc w:val="left"/>
            </w:pPr>
            <w:r>
              <w:rPr>
                <w:b w:val="false"/>
                <w:bCs w:val="false"/>
                <w:sz w:val="17"/>
                <w:szCs w:val="17"/>
              </w:rPr>
              <w:t xml:space="preserve">t de Welch</w:t>
            </w:r>
          </w:p>
        </w:tc>
        <w:tc>
          <w:tcPr>
            <w:tcW w:type="dxa" w:w="3000"/>
            <w:tcMar>
              <w:top w:type="dxa" w:w="60"/>
              <w:left w:type="dxa" w:w="90"/>
              <w:bottom w:type="dxa" w:w="60"/>
              <w:right w:type="dxa" w:w="90"/>
            </w:tcMar>
          </w:tcPr>
          <w:p>
            <w:pPr>
              <w:spacing w:after="0" w:line="240"/>
              <w:jc w:val="left"/>
            </w:pPr>
            <w:r>
              <w:rPr>
                <w:b w:val="false"/>
                <w:bCs w:val="false"/>
                <w:sz w:val="17"/>
                <w:szCs w:val="17"/>
              </w:rPr>
              <w:t xml:space="preserve">Igual abandono según acreditación</w:t>
            </w:r>
          </w:p>
        </w:tc>
        <w:tc>
          <w:tcPr>
            <w:tcW w:type="dxa" w:w="2400"/>
            <w:tcMar>
              <w:top w:type="dxa" w:w="60"/>
              <w:left w:type="dxa" w:w="90"/>
              <w:bottom w:type="dxa" w:w="60"/>
              <w:right w:type="dxa" w:w="90"/>
            </w:tcMar>
          </w:tcPr>
          <w:p>
            <w:pPr>
              <w:spacing w:after="0" w:line="240"/>
              <w:jc w:val="center"/>
            </w:pPr>
            <w:r>
              <w:rPr>
                <w:b w:val="false"/>
                <w:bCs w:val="false"/>
                <w:sz w:val="17"/>
                <w:szCs w:val="17"/>
              </w:rPr>
              <w:t xml:space="preserve">t = 20,61 (gl = 902)</w:t>
            </w:r>
          </w:p>
        </w:tc>
        <w:tc>
          <w:tcPr>
            <w:tcW w:type="dxa" w:w="1300"/>
            <w:tcMar>
              <w:top w:type="dxa" w:w="60"/>
              <w:left w:type="dxa" w:w="90"/>
              <w:bottom w:type="dxa" w:w="60"/>
              <w:right w:type="dxa" w:w="90"/>
            </w:tcMar>
          </w:tcPr>
          <w:p>
            <w:pPr>
              <w:spacing w:after="0" w:line="240"/>
              <w:jc w:val="center"/>
            </w:pPr>
            <w:r>
              <w:rPr>
                <w:b w:val="false"/>
                <w:bCs w:val="false"/>
                <w:sz w:val="17"/>
                <w:szCs w:val="17"/>
              </w:rPr>
              <w:t xml:space="preserve">1,2 × 10⁻⁷⁷</w:t>
            </w:r>
          </w:p>
        </w:tc>
        <w:tc>
          <w:tcPr>
            <w:tcW w:type="dxa" w:w="2200"/>
            <w:tcMar>
              <w:top w:type="dxa" w:w="60"/>
              <w:left w:type="dxa" w:w="90"/>
              <w:bottom w:type="dxa" w:w="60"/>
              <w:right w:type="dxa" w:w="90"/>
            </w:tcMar>
          </w:tcPr>
          <w:p>
            <w:pPr>
              <w:spacing w:after="0" w:line="240"/>
              <w:jc w:val="left"/>
            </w:pPr>
            <w:r>
              <w:rPr>
                <w:b w:val="false"/>
                <w:bCs w:val="false"/>
                <w:sz w:val="17"/>
                <w:szCs w:val="17"/>
              </w:rPr>
              <w:t xml:space="preserve">d de Cohen = 0,80 — grande</w:t>
            </w:r>
          </w:p>
        </w:tc>
      </w:tr>
      <w:tr>
        <w:tc>
          <w:tcPr>
            <w:tcW w:type="dxa" w:w="1700"/>
            <w:tcMar>
              <w:top w:type="dxa" w:w="60"/>
              <w:left w:type="dxa" w:w="90"/>
              <w:bottom w:type="dxa" w:w="60"/>
              <w:right w:type="dxa" w:w="90"/>
            </w:tcMar>
          </w:tcPr>
          <w:p>
            <w:pPr>
              <w:spacing w:after="0" w:line="240"/>
              <w:jc w:val="left"/>
            </w:pPr>
            <w:r>
              <w:rPr>
                <w:b w:val="false"/>
                <w:bCs w:val="false"/>
                <w:sz w:val="17"/>
                <w:szCs w:val="17"/>
              </w:rPr>
              <w:t xml:space="preserve">ANOVA de un factor</w:t>
            </w:r>
          </w:p>
        </w:tc>
        <w:tc>
          <w:tcPr>
            <w:tcW w:type="dxa" w:w="3000"/>
            <w:tcMar>
              <w:top w:type="dxa" w:w="60"/>
              <w:left w:type="dxa" w:w="90"/>
              <w:bottom w:type="dxa" w:w="60"/>
              <w:right w:type="dxa" w:w="90"/>
            </w:tcMar>
          </w:tcPr>
          <w:p>
            <w:pPr>
              <w:spacing w:after="0" w:line="240"/>
              <w:jc w:val="left"/>
            </w:pPr>
            <w:r>
              <w:rPr>
                <w:b w:val="false"/>
                <w:bCs w:val="false"/>
                <w:sz w:val="17"/>
                <w:szCs w:val="17"/>
              </w:rPr>
              <w:t xml:space="preserve">Igual abandono en las 10 áreas</w:t>
            </w:r>
          </w:p>
        </w:tc>
        <w:tc>
          <w:tcPr>
            <w:tcW w:type="dxa" w:w="2400"/>
            <w:tcMar>
              <w:top w:type="dxa" w:w="60"/>
              <w:left w:type="dxa" w:w="90"/>
              <w:bottom w:type="dxa" w:w="60"/>
              <w:right w:type="dxa" w:w="90"/>
            </w:tcMar>
          </w:tcPr>
          <w:p>
            <w:pPr>
              <w:spacing w:after="0" w:line="240"/>
              <w:jc w:val="center"/>
            </w:pPr>
            <w:r>
              <w:rPr>
                <w:b w:val="false"/>
                <w:bCs w:val="false"/>
                <w:sz w:val="17"/>
                <w:szCs w:val="17"/>
              </w:rPr>
              <w:t xml:space="preserve">F = 44,30 (gl = 9; 9.668)</w:t>
            </w:r>
          </w:p>
        </w:tc>
        <w:tc>
          <w:tcPr>
            <w:tcW w:type="dxa" w:w="1300"/>
            <w:tcMar>
              <w:top w:type="dxa" w:w="60"/>
              <w:left w:type="dxa" w:w="90"/>
              <w:bottom w:type="dxa" w:w="60"/>
              <w:right w:type="dxa" w:w="90"/>
            </w:tcMar>
          </w:tcPr>
          <w:p>
            <w:pPr>
              <w:spacing w:after="0" w:line="240"/>
              <w:jc w:val="center"/>
            </w:pPr>
            <w:r>
              <w:rPr>
                <w:b w:val="false"/>
                <w:bCs w:val="false"/>
                <w:sz w:val="17"/>
                <w:szCs w:val="17"/>
              </w:rPr>
              <w:t xml:space="preserve">1,2 × 10⁻⁷⁸</w:t>
            </w:r>
          </w:p>
        </w:tc>
        <w:tc>
          <w:tcPr>
            <w:tcW w:type="dxa" w:w="2200"/>
            <w:tcMar>
              <w:top w:type="dxa" w:w="60"/>
              <w:left w:type="dxa" w:w="90"/>
              <w:bottom w:type="dxa" w:w="60"/>
              <w:right w:type="dxa" w:w="90"/>
            </w:tcMar>
          </w:tcPr>
          <w:p>
            <w:pPr>
              <w:spacing w:after="0" w:line="240"/>
              <w:jc w:val="left"/>
            </w:pPr>
            <w:r>
              <w:rPr>
                <w:b w:val="false"/>
                <w:bCs w:val="false"/>
                <w:sz w:val="17"/>
                <w:szCs w:val="17"/>
              </w:rPr>
              <w:t xml:space="preserve">η² = 0,040 — pequeño</w:t>
            </w:r>
          </w:p>
        </w:tc>
      </w:tr>
      <w:tr>
        <w:tc>
          <w:tcPr>
            <w:tcW w:type="dxa" w:w="1700"/>
            <w:tcMar>
              <w:top w:type="dxa" w:w="60"/>
              <w:left w:type="dxa" w:w="90"/>
              <w:bottom w:type="dxa" w:w="60"/>
              <w:right w:type="dxa" w:w="90"/>
            </w:tcMar>
          </w:tcPr>
          <w:p>
            <w:pPr>
              <w:spacing w:after="0" w:line="240"/>
              <w:jc w:val="left"/>
            </w:pPr>
            <w:r>
              <w:rPr>
                <w:b w:val="false"/>
                <w:bCs w:val="false"/>
                <w:sz w:val="17"/>
                <w:szCs w:val="17"/>
              </w:rPr>
              <w:t xml:space="preserve">Chi-cuadrado</w:t>
            </w:r>
          </w:p>
        </w:tc>
        <w:tc>
          <w:tcPr>
            <w:tcW w:type="dxa" w:w="3000"/>
            <w:tcMar>
              <w:top w:type="dxa" w:w="60"/>
              <w:left w:type="dxa" w:w="90"/>
              <w:bottom w:type="dxa" w:w="60"/>
              <w:right w:type="dxa" w:w="90"/>
            </w:tcMar>
          </w:tcPr>
          <w:p>
            <w:pPr>
              <w:spacing w:after="0" w:line="240"/>
              <w:jc w:val="left"/>
            </w:pPr>
            <w:r>
              <w:rPr>
                <w:b w:val="false"/>
                <w:bCs w:val="false"/>
                <w:sz w:val="17"/>
                <w:szCs w:val="17"/>
              </w:rPr>
              <w:t xml:space="preserve">Independencia institución / abandono</w:t>
            </w:r>
          </w:p>
        </w:tc>
        <w:tc>
          <w:tcPr>
            <w:tcW w:type="dxa" w:w="2400"/>
            <w:tcMar>
              <w:top w:type="dxa" w:w="60"/>
              <w:left w:type="dxa" w:w="90"/>
              <w:bottom w:type="dxa" w:w="60"/>
              <w:right w:type="dxa" w:w="90"/>
            </w:tcMar>
          </w:tcPr>
          <w:p>
            <w:pPr>
              <w:spacing w:after="0" w:line="240"/>
              <w:jc w:val="center"/>
            </w:pPr>
            <w:r>
              <w:rPr>
                <w:b w:val="false"/>
                <w:bCs w:val="false"/>
                <w:sz w:val="17"/>
                <w:szCs w:val="17"/>
              </w:rPr>
              <w:t xml:space="preserve">χ² = 102,51 (gl = 5)</w:t>
            </w:r>
          </w:p>
        </w:tc>
        <w:tc>
          <w:tcPr>
            <w:tcW w:type="dxa" w:w="1300"/>
            <w:tcMar>
              <w:top w:type="dxa" w:w="60"/>
              <w:left w:type="dxa" w:w="90"/>
              <w:bottom w:type="dxa" w:w="60"/>
              <w:right w:type="dxa" w:w="90"/>
            </w:tcMar>
          </w:tcPr>
          <w:p>
            <w:pPr>
              <w:spacing w:after="0" w:line="240"/>
              <w:jc w:val="center"/>
            </w:pPr>
            <w:r>
              <w:rPr>
                <w:b w:val="false"/>
                <w:bCs w:val="false"/>
                <w:sz w:val="17"/>
                <w:szCs w:val="17"/>
              </w:rPr>
              <w:t xml:space="preserve">1,6 × 10⁻²⁰</w:t>
            </w:r>
          </w:p>
        </w:tc>
        <w:tc>
          <w:tcPr>
            <w:tcW w:type="dxa" w:w="2200"/>
            <w:tcMar>
              <w:top w:type="dxa" w:w="60"/>
              <w:left w:type="dxa" w:w="90"/>
              <w:bottom w:type="dxa" w:w="60"/>
              <w:right w:type="dxa" w:w="90"/>
            </w:tcMar>
          </w:tcPr>
          <w:p>
            <w:pPr>
              <w:spacing w:after="0" w:line="240"/>
              <w:jc w:val="left"/>
            </w:pPr>
            <w:r>
              <w:rPr>
                <w:b w:val="false"/>
                <w:bCs w:val="false"/>
                <w:sz w:val="17"/>
                <w:szCs w:val="17"/>
              </w:rPr>
              <w:t xml:space="preserve">V de Cramér = 0,103 — débil</w:t>
            </w:r>
          </w:p>
        </w:tc>
      </w:tr>
    </w:tbl>
    <w:p>
      <w:pPr>
        <w:spacing w:after="110"/>
      </w:pPr>
      <w:r>
        <w:rPr>
          <w:sz w:val="8"/>
          <w:szCs w:val="8"/>
        </w:rPr>
        <w:t xml:space="preserve"/>
      </w:r>
    </w:p>
    <w:p>
      <w:pPr>
        <w:spacing w:after="120" w:line="264"/>
        <w:jc w:val="both"/>
      </w:pPr>
      <w:r>
        <w:rPr>
          <w:b/>
          <w:bCs/>
        </w:rPr>
        <w:t xml:space="preserve">Los cinco rechazan la hipótesis nula y, sin embargo, solo uno orienta la decisión.</w:t>
      </w:r>
      <w:r>
        <w:t xml:space="preserve"> Esta es la conclusión metodológica central del informe.</w:t>
      </w:r>
    </w:p>
    <w:p>
      <w:pPr>
        <w:spacing w:after="120" w:line="264"/>
        <w:jc w:val="both"/>
      </w:pPr>
      <w:r>
        <w:t xml:space="preserve">Los programas de instituciones nunca acreditadas presentan un abandono 17,6 puntos porcentuales mayor, con una </w:t>
      </w:r>
      <w:r>
        <w:rPr>
          <w:b/>
          <w:bCs/>
        </w:rPr>
        <w:t xml:space="preserve">d de Cohen de 0,80</w:t>
      </w:r>
      <w:r>
        <w:t xml:space="preserve"> que la convención establecida por Cohen (1988) sitúa en el umbral de los efectos grandes: la acreditación no solo distingue grupos de forma detectable, sino de forma sustantiva. El área del conocimiento, en cambio, explica apenas el </w:t>
      </w:r>
      <w:r>
        <w:rPr>
          <w:b/>
          <w:bCs/>
        </w:rPr>
        <w:t xml:space="preserve">4 % de la varianza</w:t>
      </w:r>
      <w:r>
        <w:t xml:space="preserve"> del abandono, y el tipo de institución arroja una asociación que la V de Cramér (1946) califica de débil, coherente con el solapamiento que ya mostraba la figura 3.</w:t>
      </w:r>
    </w:p>
    <w:p>
      <w:pPr>
        <w:spacing w:after="120" w:line="264"/>
        <w:jc w:val="both"/>
      </w:pPr>
      <w:r>
        <w:t xml:space="preserve">Con 9.678 observaciones la potencia es tan alta que </w:t>
      </w:r>
      <w:r>
        <w:rPr>
          <w:b/>
          <w:bCs/>
        </w:rPr>
        <w:t xml:space="preserve">el valor p pierde casi toda capacidad de discriminar</w:t>
      </w:r>
      <w:r>
        <w:t xml:space="preserve">: los cinco contrastes rechazan con valores entre 10⁻¹⁵ y 10⁻⁷⁸, y aun así sus efectos recorren toda la escala, de grande (d = 0,80) a despreciable (d = 0,082). Informar solo la significación llevaría a tratar los tres resultados como equivalentes, que es exactamente el error que una decisión de focalización no puede permitirse. La advertencia es la misma que formula la American Statistical Association al recordar que un valor p, por sí solo, no mide la magnitud de un efecto ni su relevancia práctica (Wasserstein y Lazar, 2016).</w:t>
      </w:r>
    </w:p>
    <w:p>
      <w:pPr>
        <w:spacing w:after="140" w:before="60" w:line="240"/>
        <w:jc w:val="both"/>
      </w:pPr>
      <w:r>
        <w:rPr>
          <w:i/>
          <w:iCs/>
          <w:color w:val="444444"/>
          <w:sz w:val="17"/>
          <w:szCs w:val="17"/>
        </w:rPr>
        <w:t xml:space="preserve">Las comparaciones múltiples de Tukey (1949), que controlan el error por familia, confirman diferencias significativas en 30 de los 45 pares de áreas; la mayor separa Humanidades de Salud, con 17,4 puntos porcentuales.</w:t>
      </w:r>
    </w:p>
    <w:p>
      <w:pPr>
        <w:pStyle w:val="Heading1"/>
        <w:spacing w:after="130" w:before="260"/>
      </w:pPr>
      <w:r>
        <w:rPr>
          <w:b/>
          <w:bCs/>
          <w:color w:val="1F3864"/>
          <w:sz w:val="26"/>
          <w:szCs w:val="26"/>
        </w:rPr>
        <w:t xml:space="preserve">6. Interpretación preliminar</w:t>
      </w:r>
    </w:p>
    <w:p>
      <w:pPr>
        <w:spacing w:after="120" w:line="264"/>
        <w:jc w:val="both"/>
      </w:pPr>
      <w:r>
        <w:t xml:space="preserve">Para la autoridad que debe repartir un presupuesto limitado de retención, los resultados se traducen en cuatro afirmaciones.</w:t>
      </w:r>
    </w:p>
    <w:p>
      <w:pPr>
        <w:spacing w:after="120" w:line="264"/>
        <w:jc w:val="both"/>
      </w:pPr>
      <w:r>
        <w:rPr>
          <w:b/>
          <w:bCs/>
        </w:rPr>
        <w:t xml:space="preserve">La magnitud justifica actuar.</w:t>
      </w:r>
      <w:r>
        <w:t xml:space="preserve"> El abandono esperado del sistema se estima en 0,518, con un intervalo de 0,514 a 0,523, y el 54,9 % de los programas supera el 50 %. No se trata de casos aislados.</w:t>
      </w:r>
    </w:p>
    <w:p>
      <w:pPr>
        <w:spacing w:after="120" w:line="264"/>
        <w:jc w:val="both"/>
      </w:pPr>
      <w:r>
        <w:rPr>
          <w:b/>
          <w:bCs/>
        </w:rPr>
        <w:t xml:space="preserve">La heterogeneidad justifica focalizar.</w:t>
      </w:r>
      <w:r>
        <w:t xml:space="preserve"> Con un coeficiente de variación de 0,43 y una mitad central que abarca casi treinta puntos porcentuales, los programas difieren demasiado como para tratarlos igual.</w:t>
      </w:r>
    </w:p>
    <w:p>
      <w:pPr>
        <w:spacing w:after="120" w:line="264"/>
        <w:jc w:val="both"/>
      </w:pPr>
      <w:r>
        <w:rPr>
          <w:b/>
          <w:bCs/>
        </w:rPr>
        <w:t xml:space="preserve">El criterio de focalización importa, y no todos valen.</w:t>
      </w:r>
      <w:r>
        <w:t xml:space="preserve"> La acreditación institucional separa grupos con una diferencia de 17,6 puntos y un efecto grande: es un criterio útil. El área del conocimiento y el tipo de institución producen contrastes igual de significativos pero con efectos pequeños, porque la mayor parte de la variación ocurre dentro de cada categoría y no entre ellas; usarlos como criterio principal repartiría recursos con poca ganancia.</w:t>
      </w:r>
    </w:p>
    <w:p>
      <w:pPr>
        <w:spacing w:after="120" w:line="264"/>
        <w:jc w:val="both"/>
      </w:pPr>
      <w:r>
        <w:rPr>
          <w:b/>
          <w:bCs/>
        </w:rPr>
        <w:t xml:space="preserve">La incertidumbre acompaña, pero no impide decidir.</w:t>
      </w:r>
      <w:r>
        <w:t xml:space="preserve"> Los intervalos son estrechos y ninguna de las conclusiones anteriores cambia según el extremo del intervalo que se adopte.</w:t>
      </w:r>
    </w:p>
    <w:p>
      <w:pPr>
        <w:spacing w:after="120" w:line="264"/>
        <w:jc w:val="both"/>
      </w:pPr>
      <w:r>
        <w:t xml:space="preserve">La recomendación preliminar, por tanto, no es focalizar por categorías administrativas sino por el </w:t>
      </w:r>
      <w:r>
        <w:rPr>
          <w:b/>
          <w:bCs/>
        </w:rPr>
        <w:t xml:space="preserve">nivel de abandono medido en cada programa</w:t>
      </w:r>
      <w:r>
        <w:t xml:space="preserve">, empleando la acreditación como señal complementaria. Las categorías agregadas resultan demasiado gruesas para capturar dónde está realmente el problema.</w:t>
      </w:r>
    </w:p>
    <w:p>
      <w:pPr>
        <w:pStyle w:val="Heading1"/>
        <w:spacing w:after="130" w:before="260"/>
      </w:pPr>
      <w:r>
        <w:rPr>
          <w:b/>
          <w:bCs/>
          <w:color w:val="1F3864"/>
          <w:sz w:val="26"/>
          <w:szCs w:val="26"/>
        </w:rPr>
        <w:t xml:space="preserve">7. Limitaciones</w:t>
      </w:r>
    </w:p>
    <w:p>
      <w:pPr>
        <w:spacing w:after="120" w:line="264"/>
        <w:jc w:val="both"/>
      </w:pPr>
      <w:r>
        <w:rPr>
          <w:b/>
          <w:bCs/>
        </w:rPr>
        <w:t xml:space="preserve">El abandono es aparente, no observado</w:t>
      </w:r>
      <w:r>
        <w:t xml:space="preserve">: quien se cambia de carrera y se titula en otra parte cuenta como abandono, de modo que la magnitud estimada es una cota superior. El diagnóstico del apartado 3 acota ese efecto en los casos extremos —desplazan la media nueve milésimas— pero no lo elimina en el resto de la escala, donde no es observable. </w:t>
      </w:r>
      <w:r>
        <w:rPr>
          <w:b/>
          <w:bCs/>
        </w:rPr>
        <w:t xml:space="preserve">La unidad de análisis es el programa</w:t>
      </w:r>
      <w:r>
        <w:t xml:space="preserve">, por lo que las conclusiones no pueden trasladarse a individuos sin incurrir en falacia ecológica. </w:t>
      </w:r>
      <w:r>
        <w:rPr>
          <w:b/>
          <w:bCs/>
        </w:rPr>
        <w:t xml:space="preserve">Las asociaciones no son causas</w:t>
      </w:r>
      <w:r>
        <w:t xml:space="preserve">: no hay grupo de control ni asignación aleatoria, y la acreditación podría estar recogiendo el efecto de la selectividad del ingreso o de los recursos de la institución. </w:t>
      </w:r>
      <w:r>
        <w:rPr>
          <w:b/>
          <w:bCs/>
        </w:rPr>
        <w:t xml:space="preserve">La ventana temporal trunca las cohortes recientes</w:t>
      </w:r>
      <w:r>
        <w:t xml:space="preserve">, cuyo abandono aparente queda inflado. Y </w:t>
      </w:r>
      <w:r>
        <w:rPr>
          <w:b/>
          <w:bCs/>
        </w:rPr>
        <w:t xml:space="preserve">los contrastes son univariados</w:t>
      </w:r>
      <w:r>
        <w:t xml:space="preserve">, de modo que los efectos podrían estar confundidos entre sí; un modelo multivariado, previsto para la fase siguiente, permitiría estimar cada efecto manteniendo los demás constantes.</w:t>
      </w:r>
    </w:p>
    <w:p>
      <w:pPr>
        <w:pStyle w:val="Heading1"/>
        <w:spacing w:after="130" w:before="260"/>
      </w:pPr>
      <w:r>
        <w:rPr>
          <w:b/>
          <w:bCs/>
          <w:color w:val="1F3864"/>
          <w:sz w:val="26"/>
          <w:szCs w:val="26"/>
        </w:rPr>
        <w:t xml:space="preserve">8. Próximos pasos</w:t>
      </w:r>
    </w:p>
    <w:p>
      <w:pPr>
        <w:spacing w:after="120" w:line="264"/>
        <w:jc w:val="both"/>
      </w:pPr>
      <w:r>
        <w:t xml:space="preserve">El análisis realizado es univariado: cada factor se examina por separado. Esa es su principal limitación y define la agenda de la fase siguiente.</w:t>
      </w:r>
    </w:p>
    <w:p>
      <w:pPr>
        <w:spacing w:after="120" w:line="264"/>
        <w:jc w:val="both"/>
      </w:pPr>
      <w:r>
        <w:rPr>
          <w:b/>
          <w:bCs/>
        </w:rPr>
        <w:t xml:space="preserve">1. Modelo multivariado.</w:t>
      </w:r>
      <w:r>
        <w:t xml:space="preserve"> Una regresión del abandono sobre el conjunto de predictoras permitiría estimar el efecto de cada una manteniendo las demás constantes. Es necesario porque el apartado 3.4 mostró colinealidad: los programas que reciben egresados de enseñanza técnico-profesional son también los más cortos, de modo que hoy no puede separarse qué parte del abandono corresponde a cada rasgo.</w:t>
      </w:r>
    </w:p>
    <w:p>
      <w:pPr>
        <w:spacing w:after="120" w:line="264"/>
        <w:jc w:val="both"/>
      </w:pPr>
      <w:r>
        <w:rPr>
          <w:b/>
          <w:bCs/>
        </w:rPr>
        <w:t xml:space="preserve">2. Agrupación por institución.</w:t>
      </w:r>
      <w:r>
        <w:t xml:space="preserve"> Los programas de una misma institución comparten políticas, infraestructura y selectividad, de modo que sus observaciones no son independientes. Los errores estándar de este informe no lo recogen; un modelo con errores agrupados o una especificación jerárquica corregiría esa subestimación.</w:t>
      </w:r>
    </w:p>
    <w:p>
      <w:pPr>
        <w:spacing w:after="120" w:line="264"/>
        <w:jc w:val="both"/>
      </w:pPr>
      <w:r>
        <w:rPr>
          <w:b/>
          <w:bCs/>
        </w:rPr>
        <w:t xml:space="preserve">3. Ponderación por tamaño.</w:t>
      </w:r>
      <w:r>
        <w:t xml:space="preserve"> Aquí cada programa pesa igual, sea de 100 o de 9.994 estudiantes. Una estimación ponderada por el ingreso respondería una pregunta complementaria: cuántos estudiantes, y no cuántos programas, están expuestos a un abandono alto.</w:t>
      </w:r>
    </w:p>
    <w:p>
      <w:pPr>
        <w:spacing w:after="120" w:line="264"/>
        <w:jc w:val="both"/>
      </w:pPr>
      <w:r>
        <w:rPr>
          <w:b/>
          <w:bCs/>
        </w:rPr>
        <w:t xml:space="preserve">4. Corregir el sesgo de truncamiento.</w:t>
      </w:r>
      <w:r>
        <w:t xml:space="preserve"> Restringir la lectura longitudinal a las cohortes con ventana de exposición completa, y contrastar el abandono aparente contra las bases de retención del propio SIES, permitiría acotar cuánto del abandono medido es cambio de carrera y cuánto es salida efectiva del sistema.</w:t>
      </w:r>
    </w:p>
    <w:p>
      <w:pPr>
        <w:spacing w:after="120" w:line="264"/>
        <w:jc w:val="both"/>
      </w:pPr>
      <w:r>
        <w:rPr>
          <w:b/>
          <w:bCs/>
        </w:rPr>
        <w:t xml:space="preserve">5. Capacidad predictiva.</w:t>
      </w:r>
      <w:r>
        <w:t xml:space="preserve"> Con el modelo ajustado podría evaluarse si el abandono de un programa es anticipable a partir de sus características observables, que es la pregunta que convierte el diagnóstico en un instrumento de focalización.</w:t>
      </w:r>
    </w:p>
    <w:p>
      <w:pPr>
        <w:pStyle w:val="Heading1"/>
        <w:spacing w:after="130" w:before="260"/>
      </w:pPr>
      <w:r>
        <w:rPr>
          <w:b/>
          <w:bCs/>
          <w:color w:val="1F3864"/>
          <w:sz w:val="26"/>
          <w:szCs w:val="26"/>
        </w:rPr>
        <w:t xml:space="preserve">9. Reproducibilidad</w:t>
      </w:r>
    </w:p>
    <w:p>
      <w:pPr>
        <w:spacing w:after="120" w:line="264"/>
        <w:jc w:val="both"/>
      </w:pPr>
      <w:r>
        <w:t xml:space="preserve">Todas las cifras, tablas y figuras de este informe se generan al ejecutar el cuaderno </w:t>
      </w:r>
      <w:r>
        <w:rPr>
          <w:rFonts w:ascii="Consolas" w:cs="Consolas" w:eastAsia="Consolas" w:hAnsi="Consolas"/>
          <w:sz w:val="18"/>
          <w:szCs w:val="18"/>
        </w:rPr>
        <w:t xml:space="preserve">notebooks/Sumativa1_Analisis_Desercion.ipynb</w:t>
      </w:r>
      <w:r>
        <w:t xml:space="preserve">, que corre de principio a fin sin errores y deja sus salidas en </w:t>
      </w:r>
      <w:r>
        <w:rPr>
          <w:rFonts w:ascii="Consolas" w:cs="Consolas" w:eastAsia="Consolas" w:hAnsi="Consolas"/>
          <w:sz w:val="18"/>
          <w:szCs w:val="18"/>
        </w:rPr>
        <w:t xml:space="preserve">resultados/</w:t>
      </w:r>
      <w:r>
        <w:t xml:space="preserve">. El conjunto analítico está versionado en el repositorio, de modo que la reproducción no requiere descargar las bases originales del SIES. Las versiones de las bibliotecas están fijadas en </w:t>
      </w:r>
      <w:r>
        <w:rPr>
          <w:rFonts w:ascii="Consolas" w:cs="Consolas" w:eastAsia="Consolas" w:hAnsi="Consolas"/>
          <w:sz w:val="18"/>
          <w:szCs w:val="18"/>
        </w:rPr>
        <w:t xml:space="preserve">requirements.txt</w:t>
      </w:r>
      <w:r>
        <w:t xml:space="preserve"> y la semilla aleatoria en 42.</w:t>
      </w:r>
    </w:p>
    <w:p>
      <w:pPr>
        <w:spacing w:after="120" w:line="264"/>
        <w:jc w:val="both"/>
      </w:pPr>
      <w:r>
        <w:t xml:space="preserve">Repositorio: https://github.com/santunez75/analisis-desercion</w:t>
      </w:r>
    </w:p>
    <w:p>
      <w:pPr>
        <w:pStyle w:val="Heading1"/>
        <w:spacing w:after="130" w:before="260"/>
      </w:pPr>
      <w:r>
        <w:rPr>
          <w:b/>
          <w:bCs/>
          <w:color w:val="1F3864"/>
          <w:sz w:val="26"/>
          <w:szCs w:val="26"/>
        </w:rPr>
        <w:t xml:space="preserve">10. Referencias</w:t>
      </w:r>
    </w:p>
    <w:p>
      <w:pPr>
        <w:spacing w:after="110" w:line="264"/>
        <w:ind w:left="420" w:hanging="420"/>
        <w:jc w:val="both"/>
      </w:pPr>
      <w:r>
        <w:t xml:space="preserve">Cohen, J. (1988). </w:t>
      </w:r>
      <w:r>
        <w:rPr>
          <w:i/>
          <w:iCs/>
        </w:rPr>
        <w:t xml:space="preserve">Statistical power analysis for the behavioral sciences</w:t>
      </w:r>
      <w:r>
        <w:t xml:space="preserve"> (2.ª ed.). Lawrence Erlbaum Associates.</w:t>
      </w:r>
    </w:p>
    <w:p>
      <w:pPr>
        <w:spacing w:after="110" w:line="264"/>
        <w:ind w:left="420" w:hanging="420"/>
        <w:jc w:val="both"/>
      </w:pPr>
      <w:r>
        <w:t xml:space="preserve">Cramér, H. (1946). </w:t>
      </w:r>
      <w:r>
        <w:rPr>
          <w:i/>
          <w:iCs/>
        </w:rPr>
        <w:t xml:space="preserve">Mathematical methods of statistics</w:t>
      </w:r>
      <w:r>
        <w:t xml:space="preserve">. Princeton University Press.</w:t>
      </w:r>
    </w:p>
    <w:p>
      <w:pPr>
        <w:spacing w:after="110" w:line="264"/>
        <w:ind w:left="420" w:hanging="420"/>
        <w:jc w:val="both"/>
      </w:pPr>
      <w:r>
        <w:t xml:space="preserve">Harris, C. R., Millman, K. J., van der Walt, S. J., Gommers, R., Virtanen, P., Cournapeau, D. et al. (2020). Array programming with NumPy. </w:t>
      </w:r>
      <w:r>
        <w:rPr>
          <w:i/>
          <w:iCs/>
        </w:rPr>
        <w:t xml:space="preserve">Nature</w:t>
      </w:r>
      <w:r>
        <w:t xml:space="preserve">, 585, 357–362.</w:t>
      </w:r>
    </w:p>
    <w:p>
      <w:pPr>
        <w:spacing w:after="110" w:line="264"/>
        <w:ind w:left="420" w:hanging="420"/>
        <w:jc w:val="both"/>
      </w:pPr>
      <w:r>
        <w:t xml:space="preserve">McKinney, W. (2010). Data structures for statistical computing in Python. En </w:t>
      </w:r>
      <w:r>
        <w:rPr>
          <w:i/>
          <w:iCs/>
        </w:rPr>
        <w:t xml:space="preserve">Proceedings of the 9th Python in Science Conference</w:t>
      </w:r>
      <w:r>
        <w:t xml:space="preserve"> (pp. 56–61).</w:t>
      </w:r>
    </w:p>
    <w:p>
      <w:pPr>
        <w:spacing w:after="110" w:line="264"/>
        <w:ind w:left="420" w:hanging="420"/>
        <w:jc w:val="both"/>
      </w:pPr>
      <w:r>
        <w:t xml:space="preserve">Seabold, S. y Perktold, J. (2010). statsmodels: econometric and statistical modeling with Python. En </w:t>
      </w:r>
      <w:r>
        <w:rPr>
          <w:i/>
          <w:iCs/>
        </w:rPr>
        <w:t xml:space="preserve">Proceedings of the 9th Python in Science Conference</w:t>
      </w:r>
      <w:r>
        <w:t xml:space="preserve"> (pp. 92–96).</w:t>
      </w:r>
    </w:p>
    <w:p>
      <w:pPr>
        <w:spacing w:after="110" w:line="264"/>
        <w:ind w:left="420" w:hanging="420"/>
        <w:jc w:val="both"/>
      </w:pPr>
      <w:r>
        <w:t xml:space="preserve">Servicio de Información de Educación Superior. (2026). </w:t>
      </w:r>
      <w:r>
        <w:rPr>
          <w:i/>
          <w:iCs/>
        </w:rPr>
        <w:t xml:space="preserve">Bases de datos de matrícula en educación superior 2007–2026</w:t>
      </w:r>
      <w:r>
        <w:t xml:space="preserve">. Ministerio de Educación de Chile. https://datosabiertos.mineduc.cl/</w:t>
      </w:r>
    </w:p>
    <w:p>
      <w:pPr>
        <w:spacing w:after="110" w:line="264"/>
        <w:ind w:left="420" w:hanging="420"/>
        <w:jc w:val="both"/>
      </w:pPr>
      <w:r>
        <w:t xml:space="preserve">Servicio de Información de Educación Superior. (2026). </w:t>
      </w:r>
      <w:r>
        <w:rPr>
          <w:i/>
          <w:iCs/>
        </w:rPr>
        <w:t xml:space="preserve">Bases de datos de titulados de educación superior 2007–2025</w:t>
      </w:r>
      <w:r>
        <w:t xml:space="preserve">. Ministerio de Educación de Chile. https://datosabiertos.mineduc.cl/</w:t>
      </w:r>
    </w:p>
    <w:p>
      <w:pPr>
        <w:spacing w:after="110" w:line="264"/>
        <w:ind w:left="420" w:hanging="420"/>
        <w:jc w:val="both"/>
      </w:pPr>
      <w:r>
        <w:t xml:space="preserve">Tukey, J. W. (1949). Comparing individual means in the analysis of variance. </w:t>
      </w:r>
      <w:r>
        <w:rPr>
          <w:i/>
          <w:iCs/>
        </w:rPr>
        <w:t xml:space="preserve">Biometrics</w:t>
      </w:r>
      <w:r>
        <w:t xml:space="preserve">, 5(2), 99–114.</w:t>
      </w:r>
    </w:p>
    <w:p>
      <w:pPr>
        <w:spacing w:after="110" w:line="264"/>
        <w:ind w:left="420" w:hanging="420"/>
        <w:jc w:val="both"/>
      </w:pPr>
      <w:r>
        <w:t xml:space="preserve">Virtanen, P., Gommers, R., Oliphant, T. E., Haberland, M., Reddy, T., Cournapeau, D. et al. (2020). SciPy 1.0: fundamental algorithms for scientific computing in Python. </w:t>
      </w:r>
      <w:r>
        <w:rPr>
          <w:i/>
          <w:iCs/>
        </w:rPr>
        <w:t xml:space="preserve">Nature Methods</w:t>
      </w:r>
      <w:r>
        <w:t xml:space="preserve">, 17, 261–272.</w:t>
      </w:r>
    </w:p>
    <w:p>
      <w:pPr>
        <w:spacing w:after="110" w:line="264"/>
        <w:ind w:left="420" w:hanging="420"/>
        <w:jc w:val="both"/>
      </w:pPr>
      <w:r>
        <w:t xml:space="preserve">Wasserstein, R. L. y Lazar, N. A. (2016). The ASA statement on p-values: context, process, and purpose. </w:t>
      </w:r>
      <w:r>
        <w:rPr>
          <w:i/>
          <w:iCs/>
        </w:rPr>
        <w:t xml:space="preserve">The American Statistician</w:t>
      </w:r>
      <w:r>
        <w:t xml:space="preserve">, 70(2), 129–133.</w:t>
      </w:r>
    </w:p>
    <w:p>
      <w:pPr>
        <w:spacing w:after="110" w:line="264"/>
        <w:ind w:left="420" w:hanging="420"/>
        <w:jc w:val="both"/>
      </w:pPr>
      <w:r>
        <w:t xml:space="preserve">Welch, B. L. (1947). The generalization of «Student’s» problem when several different population variances are involved. </w:t>
      </w:r>
      <w:r>
        <w:rPr>
          <w:i/>
          <w:iCs/>
        </w:rPr>
        <w:t xml:space="preserve">Biometrika</w:t>
      </w:r>
      <w:r>
        <w:t xml:space="preserve">, 34(1–2), 28–35.</w:t>
      </w:r>
    </w:p>
    <w:p>
      <w:pPr>
        <w:spacing w:after="110" w:line="264"/>
        <w:ind w:left="420" w:hanging="420"/>
        <w:jc w:val="both"/>
      </w:pPr>
      <w:r>
        <w:t xml:space="preserve">Wilson, E. B. (1927). Probable inference, the law of succession, and statistical inference. </w:t>
      </w:r>
      <w:r>
        <w:rPr>
          <w:i/>
          <w:iCs/>
        </w:rPr>
        <w:t xml:space="preserve">Journal of the American Statistical Association</w:t>
      </w:r>
      <w:r>
        <w:t xml:space="preserve">, 22(158), 209–212.</w:t>
      </w:r>
    </w:p>
    <w:sectPr>
      <w:footerReference w:type="default" r:id="rId6"/>
      <w:pgSz w:w="12240" w:h="15840" w:orient="portrait"/>
      <w:pgMar w:top="1133" w:right="1133" w:bottom="1020" w:left="113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Sebastian Antunez Noguera · Estadística Computacional · Sumativa 1 ·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9153ba6264fa8e0d08e5e88bb1d42c56999cf39.jpg"/><Relationship Id="rId9" Type="http://schemas.openxmlformats.org/officeDocument/2006/relationships/image" Target="media/3bd32a14173b2b9d4fc1ea3bc9927689a4405474.png"/><Relationship Id="rId10" Type="http://schemas.openxmlformats.org/officeDocument/2006/relationships/image" Target="media/47b101edaae926e04f690b2f6d4f9a0496a0c64b.png"/><Relationship Id="rId11" Type="http://schemas.openxmlformats.org/officeDocument/2006/relationships/image" Target="media/98902dc53dadc082b1f2443ab11454c770e8b843.png"/><Relationship Id="rId12" Type="http://schemas.openxmlformats.org/officeDocument/2006/relationships/image" Target="media/40e608d91bc09288b6de93e44b07f6f18f3f3e51.png"/><Relationship Id="rId13" Type="http://schemas.openxmlformats.org/officeDocument/2006/relationships/image" Target="media/cac66bd0e3cc506d42bafbd688a83d0de0d7aea9.png"/><Relationship Id="rId14" Type="http://schemas.openxmlformats.org/officeDocument/2006/relationships/image" Target="media/b9b53a1d94125ed1e5a91d149473e212dbed244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de la desercion en la educacion superior chilena</dc:title>
  <dc:creator>Sebastian Antunez Noguera</dc:creator>
  <dc:description>Informe tecnico de avance - Sumativa 1, Estadistica Computacional</dc:description>
  <cp:lastModifiedBy>Un-named</cp:lastModifiedBy>
  <cp:revision>1</cp:revision>
  <dcterms:created xsi:type="dcterms:W3CDTF">2026-10-11T01:23:39.742Z</dcterms:created>
  <dcterms:modified xsi:type="dcterms:W3CDTF">2026-10-11T01:23:39.748Z</dcterms:modified>
</cp:coreProperties>
</file>

<file path=docProps/custom.xml><?xml version="1.0" encoding="utf-8"?>
<Properties xmlns="http://schemas.openxmlformats.org/officeDocument/2006/custom-properties" xmlns:vt="http://schemas.openxmlformats.org/officeDocument/2006/docPropsVTypes"/>
</file>