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3A2" w:rsidRPr="008E03A2" w:rsidRDefault="008E03A2" w:rsidP="008E03A2">
      <w:pPr>
        <w:spacing w:before="100" w:beforeAutospacing="1" w:after="100" w:afterAutospacing="1" w:line="240" w:lineRule="auto"/>
        <w:outlineLvl w:val="1"/>
        <w:rPr>
          <w:rFonts w:ascii="Arial" w:eastAsia="Times New Roman" w:hAnsi="Arial" w:cs="Arial"/>
          <w:sz w:val="35"/>
          <w:szCs w:val="35"/>
        </w:rPr>
      </w:pPr>
      <w:r w:rsidRPr="008E03A2">
        <w:rPr>
          <w:rFonts w:ascii="Arial" w:eastAsia="Times New Roman" w:hAnsi="Arial" w:cs="Arial"/>
          <w:sz w:val="35"/>
          <w:szCs w:val="35"/>
        </w:rPr>
        <w:t>Kubernetes - Cluster Architecture</w:t>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As seen in the following diagram, Kubernetes follows client-server architecture. Wherein, we have master installed on one machine and the node on separate Linux machines.</w:t>
      </w:r>
    </w:p>
    <w:p w:rsidR="008E03A2" w:rsidRPr="008E03A2" w:rsidRDefault="008E03A2" w:rsidP="008E0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00350"/>
            <wp:effectExtent l="0" t="0" r="0" b="0"/>
            <wp:docPr id="2" name="Picture 2"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00350"/>
                    </a:xfrm>
                    <a:prstGeom prst="rect">
                      <a:avLst/>
                    </a:prstGeom>
                    <a:noFill/>
                    <a:ln>
                      <a:noFill/>
                    </a:ln>
                  </pic:spPr>
                </pic:pic>
              </a:graphicData>
            </a:graphic>
          </wp:inline>
        </w:drawing>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The key components of master and node are defined in the following section.</w:t>
      </w:r>
    </w:p>
    <w:p w:rsidR="008E03A2" w:rsidRPr="008E03A2" w:rsidRDefault="008E03A2" w:rsidP="008E03A2">
      <w:pPr>
        <w:spacing w:before="100" w:beforeAutospacing="1" w:after="100" w:afterAutospacing="1" w:line="240" w:lineRule="auto"/>
        <w:outlineLvl w:val="1"/>
        <w:rPr>
          <w:rFonts w:ascii="Arial" w:eastAsia="Times New Roman" w:hAnsi="Arial" w:cs="Arial"/>
          <w:sz w:val="35"/>
          <w:szCs w:val="35"/>
        </w:rPr>
      </w:pPr>
      <w:r w:rsidRPr="008E03A2">
        <w:rPr>
          <w:rFonts w:ascii="Arial" w:eastAsia="Times New Roman" w:hAnsi="Arial" w:cs="Arial"/>
          <w:sz w:val="35"/>
          <w:szCs w:val="35"/>
        </w:rPr>
        <w:t>Kubernetes - Master Machine Components</w:t>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Following are the components of Kubernetes Master Machine.</w:t>
      </w:r>
    </w:p>
    <w:p w:rsidR="008E03A2" w:rsidRPr="008E03A2" w:rsidRDefault="008E03A2" w:rsidP="008E03A2">
      <w:pPr>
        <w:spacing w:before="100" w:beforeAutospacing="1" w:after="100" w:afterAutospacing="1" w:line="240" w:lineRule="auto"/>
        <w:outlineLvl w:val="2"/>
        <w:rPr>
          <w:rFonts w:ascii="Arial" w:eastAsia="Times New Roman" w:hAnsi="Arial" w:cs="Arial"/>
          <w:sz w:val="30"/>
          <w:szCs w:val="30"/>
        </w:rPr>
      </w:pPr>
      <w:proofErr w:type="spellStart"/>
      <w:proofErr w:type="gramStart"/>
      <w:r w:rsidRPr="008E03A2">
        <w:rPr>
          <w:rFonts w:ascii="Arial" w:eastAsia="Times New Roman" w:hAnsi="Arial" w:cs="Arial"/>
          <w:sz w:val="30"/>
          <w:szCs w:val="30"/>
        </w:rPr>
        <w:t>etcd</w:t>
      </w:r>
      <w:proofErr w:type="spellEnd"/>
      <w:proofErr w:type="gramEnd"/>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It stores the configuration information which can be used by each of the nodes in the cluster. It is a high availability key value store that can be distributed among multiple nodes. It is accessible only by Kubernetes API server as it may have some sensitive information. It is a distributed key value Store which is accessible to all.</w:t>
      </w:r>
    </w:p>
    <w:p w:rsidR="008E03A2" w:rsidRPr="008E03A2" w:rsidRDefault="008E03A2" w:rsidP="008E03A2">
      <w:pPr>
        <w:spacing w:before="100" w:beforeAutospacing="1" w:after="100" w:afterAutospacing="1" w:line="240" w:lineRule="auto"/>
        <w:outlineLvl w:val="2"/>
        <w:rPr>
          <w:rFonts w:ascii="Arial" w:eastAsia="Times New Roman" w:hAnsi="Arial" w:cs="Arial"/>
          <w:sz w:val="30"/>
          <w:szCs w:val="30"/>
        </w:rPr>
      </w:pPr>
      <w:r w:rsidRPr="008E03A2">
        <w:rPr>
          <w:rFonts w:ascii="Arial" w:eastAsia="Times New Roman" w:hAnsi="Arial" w:cs="Arial"/>
          <w:sz w:val="30"/>
          <w:szCs w:val="30"/>
        </w:rPr>
        <w:t>API Server</w:t>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Kubernetes is an API server which provides all the operation on cluster using the API. API server implements an interface, which means different tools and libraries can readily communicate with it. </w:t>
      </w:r>
      <w:proofErr w:type="spellStart"/>
      <w:r w:rsidRPr="008E03A2">
        <w:rPr>
          <w:rFonts w:ascii="Arial" w:eastAsia="Times New Roman" w:hAnsi="Arial" w:cs="Arial"/>
          <w:b/>
          <w:bCs/>
          <w:color w:val="000000"/>
          <w:sz w:val="24"/>
          <w:szCs w:val="24"/>
        </w:rPr>
        <w:t>Kubeconfig</w:t>
      </w:r>
      <w:proofErr w:type="spellEnd"/>
      <w:r w:rsidRPr="008E03A2">
        <w:rPr>
          <w:rFonts w:ascii="Arial" w:eastAsia="Times New Roman" w:hAnsi="Arial" w:cs="Arial"/>
          <w:color w:val="000000"/>
          <w:sz w:val="24"/>
          <w:szCs w:val="24"/>
        </w:rPr>
        <w:t> is a package along with the server side tools that can be used for communication. It exposes Kubernetes API.</w:t>
      </w:r>
    </w:p>
    <w:p w:rsidR="008E03A2" w:rsidRPr="008E03A2" w:rsidRDefault="008E03A2" w:rsidP="008E03A2">
      <w:pPr>
        <w:spacing w:before="100" w:beforeAutospacing="1" w:after="100" w:afterAutospacing="1" w:line="240" w:lineRule="auto"/>
        <w:outlineLvl w:val="2"/>
        <w:rPr>
          <w:rFonts w:ascii="Arial" w:eastAsia="Times New Roman" w:hAnsi="Arial" w:cs="Arial"/>
          <w:sz w:val="30"/>
          <w:szCs w:val="30"/>
        </w:rPr>
      </w:pPr>
      <w:r w:rsidRPr="008E03A2">
        <w:rPr>
          <w:rFonts w:ascii="Arial" w:eastAsia="Times New Roman" w:hAnsi="Arial" w:cs="Arial"/>
          <w:sz w:val="30"/>
          <w:szCs w:val="30"/>
        </w:rPr>
        <w:t>Controller Manager</w:t>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lastRenderedPageBreak/>
        <w:t xml:space="preserve">This component is responsible for most of the collectors that regulates the state of cluster and performs a task. In general, it can be considered as a daemon which runs in nonterminating loop and is responsible for collecting and sending information to API server. It works toward getting the shared state of cluster and then </w:t>
      </w:r>
      <w:proofErr w:type="gramStart"/>
      <w:r w:rsidRPr="008E03A2">
        <w:rPr>
          <w:rFonts w:ascii="Arial" w:eastAsia="Times New Roman" w:hAnsi="Arial" w:cs="Arial"/>
          <w:color w:val="000000"/>
          <w:sz w:val="24"/>
          <w:szCs w:val="24"/>
        </w:rPr>
        <w:t>make</w:t>
      </w:r>
      <w:proofErr w:type="gramEnd"/>
      <w:r w:rsidRPr="008E03A2">
        <w:rPr>
          <w:rFonts w:ascii="Arial" w:eastAsia="Times New Roman" w:hAnsi="Arial" w:cs="Arial"/>
          <w:color w:val="000000"/>
          <w:sz w:val="24"/>
          <w:szCs w:val="24"/>
        </w:rPr>
        <w:t xml:space="preserve"> changes to bring the current status of the server to the desired state. The key controllers are replication controller, endpoint controller, namespace controller, and service account controller. The controller manager runs different kind of controllers to handle nodes, endpoints, etc.</w:t>
      </w:r>
    </w:p>
    <w:p w:rsidR="008E03A2" w:rsidRPr="008E03A2" w:rsidRDefault="008E03A2" w:rsidP="008E03A2">
      <w:pPr>
        <w:spacing w:before="100" w:beforeAutospacing="1" w:after="100" w:afterAutospacing="1" w:line="240" w:lineRule="auto"/>
        <w:outlineLvl w:val="2"/>
        <w:rPr>
          <w:rFonts w:ascii="Arial" w:eastAsia="Times New Roman" w:hAnsi="Arial" w:cs="Arial"/>
          <w:sz w:val="30"/>
          <w:szCs w:val="30"/>
        </w:rPr>
      </w:pPr>
      <w:r w:rsidRPr="008E03A2">
        <w:rPr>
          <w:rFonts w:ascii="Arial" w:eastAsia="Times New Roman" w:hAnsi="Arial" w:cs="Arial"/>
          <w:sz w:val="30"/>
          <w:szCs w:val="30"/>
        </w:rPr>
        <w:t>Scheduler</w:t>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This is one of the key components of Kubernetes master. It is a service in master responsible for distributing the workload. It is responsible for tracking utilization of 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new node.</w:t>
      </w:r>
    </w:p>
    <w:p w:rsidR="008E03A2" w:rsidRPr="008E03A2" w:rsidRDefault="008E03A2" w:rsidP="008E03A2">
      <w:pPr>
        <w:spacing w:before="100" w:beforeAutospacing="1" w:after="100" w:afterAutospacing="1" w:line="240" w:lineRule="auto"/>
        <w:outlineLvl w:val="1"/>
        <w:rPr>
          <w:rFonts w:ascii="Arial" w:eastAsia="Times New Roman" w:hAnsi="Arial" w:cs="Arial"/>
          <w:sz w:val="35"/>
          <w:szCs w:val="35"/>
        </w:rPr>
      </w:pPr>
      <w:r w:rsidRPr="008E03A2">
        <w:rPr>
          <w:rFonts w:ascii="Arial" w:eastAsia="Times New Roman" w:hAnsi="Arial" w:cs="Arial"/>
          <w:sz w:val="35"/>
          <w:szCs w:val="35"/>
        </w:rPr>
        <w:t>Kubernetes - Node Components</w:t>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Following are the key components of Node server which are necessary to communicate with Kubernetes master.</w:t>
      </w:r>
    </w:p>
    <w:p w:rsidR="008E03A2" w:rsidRPr="008E03A2" w:rsidRDefault="008E03A2" w:rsidP="008E03A2">
      <w:pPr>
        <w:spacing w:before="100" w:beforeAutospacing="1" w:after="100" w:afterAutospacing="1" w:line="240" w:lineRule="auto"/>
        <w:outlineLvl w:val="2"/>
        <w:rPr>
          <w:rFonts w:ascii="Arial" w:eastAsia="Times New Roman" w:hAnsi="Arial" w:cs="Arial"/>
          <w:sz w:val="30"/>
          <w:szCs w:val="30"/>
        </w:rPr>
      </w:pPr>
      <w:r w:rsidRPr="008E03A2">
        <w:rPr>
          <w:rFonts w:ascii="Arial" w:eastAsia="Times New Roman" w:hAnsi="Arial" w:cs="Arial"/>
          <w:sz w:val="30"/>
          <w:szCs w:val="30"/>
        </w:rPr>
        <w:t>Docker</w:t>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The first requirement of each node is Docker which helps in running the encapsulated application containers in a relatively isolated but lightweight operating environment.</w:t>
      </w:r>
    </w:p>
    <w:p w:rsidR="008E03A2" w:rsidRPr="008E03A2" w:rsidRDefault="008E03A2" w:rsidP="008E03A2">
      <w:pPr>
        <w:spacing w:before="100" w:beforeAutospacing="1" w:after="100" w:afterAutospacing="1" w:line="240" w:lineRule="auto"/>
        <w:outlineLvl w:val="2"/>
        <w:rPr>
          <w:rFonts w:ascii="Arial" w:eastAsia="Times New Roman" w:hAnsi="Arial" w:cs="Arial"/>
          <w:sz w:val="30"/>
          <w:szCs w:val="30"/>
        </w:rPr>
      </w:pPr>
      <w:proofErr w:type="spellStart"/>
      <w:r w:rsidRPr="008E03A2">
        <w:rPr>
          <w:rFonts w:ascii="Arial" w:eastAsia="Times New Roman" w:hAnsi="Arial" w:cs="Arial"/>
          <w:sz w:val="30"/>
          <w:szCs w:val="30"/>
        </w:rPr>
        <w:t>Kubelet</w:t>
      </w:r>
      <w:proofErr w:type="spellEnd"/>
      <w:r w:rsidRPr="008E03A2">
        <w:rPr>
          <w:rFonts w:ascii="Arial" w:eastAsia="Times New Roman" w:hAnsi="Arial" w:cs="Arial"/>
          <w:sz w:val="30"/>
          <w:szCs w:val="30"/>
        </w:rPr>
        <w:t xml:space="preserve"> Service</w:t>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This is a small service in each node responsible for relaying information to and from control plane service. It interacts with </w:t>
      </w:r>
      <w:proofErr w:type="spellStart"/>
      <w:r w:rsidRPr="008E03A2">
        <w:rPr>
          <w:rFonts w:ascii="Arial" w:eastAsia="Times New Roman" w:hAnsi="Arial" w:cs="Arial"/>
          <w:b/>
          <w:bCs/>
          <w:color w:val="000000"/>
          <w:sz w:val="24"/>
          <w:szCs w:val="24"/>
        </w:rPr>
        <w:t>etcd</w:t>
      </w:r>
      <w:proofErr w:type="spellEnd"/>
      <w:r w:rsidRPr="008E03A2">
        <w:rPr>
          <w:rFonts w:ascii="Arial" w:eastAsia="Times New Roman" w:hAnsi="Arial" w:cs="Arial"/>
          <w:color w:val="000000"/>
          <w:sz w:val="24"/>
          <w:szCs w:val="24"/>
        </w:rPr>
        <w:t> store to read configuration details and wright values. This communicates with the master component to receive commands and work. The </w:t>
      </w:r>
      <w:proofErr w:type="spellStart"/>
      <w:r w:rsidRPr="008E03A2">
        <w:rPr>
          <w:rFonts w:ascii="Arial" w:eastAsia="Times New Roman" w:hAnsi="Arial" w:cs="Arial"/>
          <w:b/>
          <w:bCs/>
          <w:color w:val="000000"/>
          <w:sz w:val="24"/>
          <w:szCs w:val="24"/>
        </w:rPr>
        <w:t>kubelet</w:t>
      </w:r>
      <w:proofErr w:type="spellEnd"/>
      <w:r w:rsidRPr="008E03A2">
        <w:rPr>
          <w:rFonts w:ascii="Arial" w:eastAsia="Times New Roman" w:hAnsi="Arial" w:cs="Arial"/>
          <w:color w:val="000000"/>
          <w:sz w:val="24"/>
          <w:szCs w:val="24"/>
        </w:rPr>
        <w:t> process then assumes responsibility for maintaining the state of work and the node server. It manages network rules, port forwarding, etc.</w:t>
      </w:r>
    </w:p>
    <w:p w:rsidR="008E03A2" w:rsidRPr="008E03A2" w:rsidRDefault="008E03A2" w:rsidP="008E03A2">
      <w:pPr>
        <w:spacing w:before="100" w:beforeAutospacing="1" w:after="100" w:afterAutospacing="1" w:line="240" w:lineRule="auto"/>
        <w:outlineLvl w:val="2"/>
        <w:rPr>
          <w:rFonts w:ascii="Arial" w:eastAsia="Times New Roman" w:hAnsi="Arial" w:cs="Arial"/>
          <w:sz w:val="30"/>
          <w:szCs w:val="30"/>
        </w:rPr>
      </w:pPr>
      <w:r w:rsidRPr="008E03A2">
        <w:rPr>
          <w:rFonts w:ascii="Arial" w:eastAsia="Times New Roman" w:hAnsi="Arial" w:cs="Arial"/>
          <w:sz w:val="30"/>
          <w:szCs w:val="30"/>
        </w:rPr>
        <w:t>Kubernetes Proxy Service</w:t>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checkup, etc.</w:t>
      </w:r>
    </w:p>
    <w:p w:rsidR="008E03A2" w:rsidRPr="008E03A2" w:rsidRDefault="008E03A2" w:rsidP="008E03A2">
      <w:pPr>
        <w:spacing w:before="100" w:beforeAutospacing="1" w:after="100" w:afterAutospacing="1" w:line="240" w:lineRule="auto"/>
        <w:outlineLvl w:val="1"/>
        <w:rPr>
          <w:rFonts w:ascii="Arial" w:eastAsia="Times New Roman" w:hAnsi="Arial" w:cs="Arial"/>
          <w:sz w:val="35"/>
          <w:szCs w:val="35"/>
        </w:rPr>
      </w:pPr>
      <w:r w:rsidRPr="008E03A2">
        <w:rPr>
          <w:rFonts w:ascii="Arial" w:eastAsia="Times New Roman" w:hAnsi="Arial" w:cs="Arial"/>
          <w:sz w:val="35"/>
          <w:szCs w:val="35"/>
        </w:rPr>
        <w:lastRenderedPageBreak/>
        <w:t>Kubernetes - Master and Node Structure</w:t>
      </w:r>
    </w:p>
    <w:p w:rsidR="008E03A2" w:rsidRPr="008E03A2" w:rsidRDefault="008E03A2" w:rsidP="008E03A2">
      <w:pPr>
        <w:spacing w:before="120" w:after="144" w:line="240" w:lineRule="auto"/>
        <w:ind w:left="48" w:right="48"/>
        <w:jc w:val="both"/>
        <w:rPr>
          <w:rFonts w:ascii="Arial" w:eastAsia="Times New Roman" w:hAnsi="Arial" w:cs="Arial"/>
          <w:color w:val="000000"/>
          <w:sz w:val="24"/>
          <w:szCs w:val="24"/>
        </w:rPr>
      </w:pPr>
      <w:r w:rsidRPr="008E03A2">
        <w:rPr>
          <w:rFonts w:ascii="Arial" w:eastAsia="Times New Roman" w:hAnsi="Arial" w:cs="Arial"/>
          <w:color w:val="000000"/>
          <w:sz w:val="24"/>
          <w:szCs w:val="24"/>
        </w:rPr>
        <w:t>The following illustrations show the structure of Kubernetes Master and Node.</w:t>
      </w:r>
    </w:p>
    <w:p w:rsidR="002308CC" w:rsidRDefault="008E03A2" w:rsidP="008E03A2">
      <w:r>
        <w:rPr>
          <w:rFonts w:ascii="Times New Roman" w:eastAsia="Times New Roman" w:hAnsi="Times New Roman" w:cs="Times New Roman"/>
          <w:noProof/>
          <w:sz w:val="24"/>
          <w:szCs w:val="24"/>
        </w:rPr>
        <w:drawing>
          <wp:inline distT="0" distB="0" distL="0" distR="0">
            <wp:extent cx="5067300" cy="6267450"/>
            <wp:effectExtent l="0" t="0" r="0" b="0"/>
            <wp:docPr id="1" name="Picture 1" descr="Master and Nod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 and Node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6267450"/>
                    </a:xfrm>
                    <a:prstGeom prst="rect">
                      <a:avLst/>
                    </a:prstGeom>
                    <a:noFill/>
                    <a:ln>
                      <a:noFill/>
                    </a:ln>
                  </pic:spPr>
                </pic:pic>
              </a:graphicData>
            </a:graphic>
          </wp:inline>
        </w:drawing>
      </w:r>
      <w:bookmarkStart w:id="0" w:name="_GoBack"/>
      <w:bookmarkEnd w:id="0"/>
    </w:p>
    <w:sectPr w:rsidR="0023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64D"/>
    <w:rsid w:val="002308CC"/>
    <w:rsid w:val="008E03A2"/>
    <w:rsid w:val="00F6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03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03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3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03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03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0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3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03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03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3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03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03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0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7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2021-11-15T18:04:00Z</dcterms:created>
  <dcterms:modified xsi:type="dcterms:W3CDTF">2021-11-15T18:05:00Z</dcterms:modified>
</cp:coreProperties>
</file>