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24" w:space="6"/>
        </w:pBdr>
        <w:spacing w:after="0" w:before="240"/>
      </w:pPr>
    </w:p>
    <w:p>
      <w:pPr>
        <w:spacing w:after="600" w:before="240"/>
        <w:jc w:val="right"/>
      </w:pPr>
      <w:r>
        <w:rPr>
          <w:b/>
          <w:bCs/>
          <w:sz w:val="40"/>
          <w:szCs w:val="40"/>
        </w:rPr>
        <w:t xml:space="preserve">Documentação de Projeto</w:t>
      </w:r>
    </w:p>
    <w:p>
      <w:pPr>
        <w:spacing w:after="0"/>
        <w:jc w:val="right"/>
      </w:pPr>
      <w:r>
        <w:rPr>
          <w:sz w:val="28"/>
          <w:szCs w:val="28"/>
        </w:rPr>
        <w:t xml:space="preserve">para o sistema</w:t>
      </w:r>
    </w:p>
    <w:p>
      <w:pPr>
        <w:spacing w:after="400"/>
        <w:jc w:val="right"/>
      </w:pPr>
      <w:r>
        <w:rPr>
          <w:b/>
          <w:bCs/>
          <w:color w:val="1F4E79"/>
          <w:sz w:val="56"/>
          <w:szCs w:val="56"/>
        </w:rPr>
        <w:t xml:space="preserve">SARA — Sistema de Análise de Risco e Antifraude</w:t>
      </w:r>
    </w:p>
    <w:p>
      <w:pPr>
        <w:spacing w:after="600"/>
        <w:jc w:val="right"/>
      </w:pPr>
      <w:r>
        <w:rPr>
          <w:sz w:val="28"/>
          <w:szCs w:val="28"/>
        </w:rPr>
        <w:t xml:space="preserve">Versão 1.0</w:t>
      </w:r>
    </w:p>
    <w:p>
      <w:pPr>
        <w:spacing w:after="0"/>
        <w:jc w:val="right"/>
      </w:pPr>
      <w:r>
        <w:rPr>
          <w:sz w:val="24"/>
          <w:szCs w:val="24"/>
        </w:rPr>
        <w:t xml:space="preserve">Projeto de sistema elaborado pelo aluno Victor Gabriel Santos Rocha</w:t>
      </w:r>
    </w:p>
    <w:p>
      <w:pPr>
        <w:spacing w:after="600"/>
        <w:jc w:val="right"/>
      </w:pPr>
      <w:r>
        <w:rPr>
          <w:sz w:val="24"/>
          <w:szCs w:val="24"/>
        </w:rPr>
        <w:t xml:space="preserve">como parte da disciplina Projeto de Software.</w:t>
      </w:r>
    </w:p>
    <w:p>
      <w:pPr>
        <w:spacing w:after="0"/>
        <w:jc w:val="right"/>
      </w:pPr>
      <w:r>
        <w:rPr>
          <w:sz w:val="24"/>
          <w:szCs w:val="24"/>
        </w:rPr>
        <w:t xml:space="preserve">Belo Horizonte, junho de 2026</w:t>
      </w:r>
    </w:p>
    <w:p>
      <w:pPr>
        <w:pBdr>
          <w:bottom w:val="single" w:color="000000" w:sz="24" w:space="6"/>
        </w:pBdr>
        <w:spacing w:after="0" w:before="240"/>
      </w:pPr>
    </w:p>
    <w:p>
      <w:r>
        <w:br w:type="page"/>
      </w:r>
    </w:p>
    <w:p>
      <w:pPr>
        <w:spacing w:after="200"/>
      </w:pPr>
      <w:r>
        <w:rPr>
          <w:b/>
          <w:bCs/>
          <w:sz w:val="32"/>
          <w:szCs w:val="32"/>
        </w:rPr>
        <w:t xml:space="preserve">Tabela de Conteúdo</w:t>
      </w:r>
    </w:p>
    <w:sdt>
      <w:sdtPr>
        <w:alias w:val="Sumário"/>
      </w:sdtPr>
      <w:sdtContent>
        <w:p>
          <w:r>
            <w:fldChar w:fldCharType="begin" w:dirty="true"/>
            <w:instrText xml:space="preserve">TOC \h \o "1-3"</w:instrText>
            <w:fldChar w:fldCharType="separate"/>
          </w:r>
        </w:p>
        <w:p>
          <w:r>
            <w:fldChar w:fldCharType="end"/>
          </w:r>
        </w:p>
      </w:sdtContent>
    </w:sdt>
    <w:p>
      <w:r>
        <w:br w:type="page"/>
      </w:r>
    </w:p>
    <w:p>
      <w:pPr>
        <w:spacing w:after="160"/>
      </w:pPr>
      <w:r>
        <w:rPr>
          <w:b/>
          <w:bCs/>
          <w:sz w:val="32"/>
          <w:szCs w:val="32"/>
        </w:rPr>
        <w:t xml:space="preserve">Histórico de Revisões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1400"/>
        <w:gridCol w:w="3360"/>
        <w:gridCol w:w="1400"/>
      </w:tblGrid>
      <w:tr>
        <w:trPr>
          <w:tblHeader/>
        </w:trPr>
        <w:tc>
          <w:tcPr>
            <w:tcW w:type="dxa" w:w="3200"/>
            <w:shd w:fill="1F4E79" w:val="clear"/>
            <w:tcMar>
              <w:top w:type="dxa" w:w="60"/>
              <w:left w:type="dxa" w:w="110"/>
              <w:bottom w:type="dxa" w:w="60"/>
              <w:right w:type="dxa" w:w="110"/>
            </w:tcMar>
          </w:tcPr>
          <w:p>
            <w:pPr>
              <w:spacing w:after="0" w:line="252"/>
            </w:pPr>
            <w:r>
              <w:rPr>
                <w:b/>
                <w:bCs/>
                <w:color w:val="FFFFFF"/>
                <w:sz w:val="19"/>
                <w:szCs w:val="19"/>
              </w:rPr>
              <w:t xml:space="preserve">Nome</w:t>
            </w:r>
          </w:p>
        </w:tc>
        <w:tc>
          <w:tcPr>
            <w:tcW w:type="dxa" w:w="1400"/>
            <w:shd w:fill="1F4E79" w:val="clear"/>
            <w:tcMar>
              <w:top w:type="dxa" w:w="60"/>
              <w:left w:type="dxa" w:w="110"/>
              <w:bottom w:type="dxa" w:w="60"/>
              <w:right w:type="dxa" w:w="110"/>
            </w:tcMar>
          </w:tcPr>
          <w:p>
            <w:pPr>
              <w:spacing w:after="0" w:line="252"/>
            </w:pPr>
            <w:r>
              <w:rPr>
                <w:b/>
                <w:bCs/>
                <w:color w:val="FFFFFF"/>
                <w:sz w:val="19"/>
                <w:szCs w:val="19"/>
              </w:rPr>
              <w:t xml:space="preserve">Data</w:t>
            </w:r>
          </w:p>
        </w:tc>
        <w:tc>
          <w:tcPr>
            <w:tcW w:type="dxa" w:w="3360"/>
            <w:shd w:fill="1F4E79" w:val="clear"/>
            <w:tcMar>
              <w:top w:type="dxa" w:w="60"/>
              <w:left w:type="dxa" w:w="110"/>
              <w:bottom w:type="dxa" w:w="60"/>
              <w:right w:type="dxa" w:w="110"/>
            </w:tcMar>
          </w:tcPr>
          <w:p>
            <w:pPr>
              <w:spacing w:after="0" w:line="252"/>
            </w:pPr>
            <w:r>
              <w:rPr>
                <w:b/>
                <w:bCs/>
                <w:color w:val="FFFFFF"/>
                <w:sz w:val="19"/>
                <w:szCs w:val="19"/>
              </w:rPr>
              <w:t xml:space="preserve">Razões para Mudança</w:t>
            </w:r>
          </w:p>
        </w:tc>
        <w:tc>
          <w:tcPr>
            <w:tcW w:type="dxa" w:w="1400"/>
            <w:shd w:fill="1F4E79" w:val="clear"/>
            <w:tcMar>
              <w:top w:type="dxa" w:w="60"/>
              <w:left w:type="dxa" w:w="110"/>
              <w:bottom w:type="dxa" w:w="60"/>
              <w:right w:type="dxa" w:w="110"/>
            </w:tcMar>
          </w:tcPr>
          <w:p>
            <w:pPr>
              <w:spacing w:after="0" w:line="252"/>
            </w:pPr>
            <w:r>
              <w:rPr>
                <w:b/>
                <w:bCs/>
                <w:color w:val="FFFFFF"/>
                <w:sz w:val="19"/>
                <w:szCs w:val="19"/>
              </w:rPr>
              <w:t xml:space="preserve">Versão</w:t>
            </w:r>
          </w:p>
        </w:tc>
      </w:tr>
      <w:tr>
        <w:tc>
          <w:tcPr>
            <w:tcW w:type="dxa" w:w="3200"/>
            <w:shd w:fill="FFFFFF" w:val="clear"/>
            <w:tcMar>
              <w:top w:type="dxa" w:w="60"/>
              <w:left w:type="dxa" w:w="110"/>
              <w:bottom w:type="dxa" w:w="60"/>
              <w:right w:type="dxa" w:w="110"/>
            </w:tcMar>
          </w:tcPr>
          <w:p>
            <w:pPr>
              <w:spacing w:after="0" w:line="252"/>
            </w:pPr>
            <w:r>
              <w:t xml:space="preserve">Victor Gabriel Santos Rocha</w:t>
            </w:r>
          </w:p>
        </w:tc>
        <w:tc>
          <w:tcPr>
            <w:tcW w:type="dxa" w:w="1400"/>
            <w:shd w:fill="FFFFFF" w:val="clear"/>
            <w:tcMar>
              <w:top w:type="dxa" w:w="60"/>
              <w:left w:type="dxa" w:w="110"/>
              <w:bottom w:type="dxa" w:w="60"/>
              <w:right w:type="dxa" w:w="110"/>
            </w:tcMar>
          </w:tcPr>
          <w:p>
            <w:pPr>
              <w:spacing w:after="0" w:line="252"/>
            </w:pPr>
            <w:r>
              <w:t xml:space="preserve">10/06/2026</w:t>
            </w:r>
          </w:p>
        </w:tc>
        <w:tc>
          <w:tcPr>
            <w:tcW w:type="dxa" w:w="3360"/>
            <w:shd w:fill="FFFFFF" w:val="clear"/>
            <w:tcMar>
              <w:top w:type="dxa" w:w="60"/>
              <w:left w:type="dxa" w:w="110"/>
              <w:bottom w:type="dxa" w:w="60"/>
              <w:right w:type="dxa" w:w="110"/>
            </w:tcMar>
          </w:tcPr>
          <w:p>
            <w:pPr>
              <w:spacing w:after="0" w:line="252"/>
            </w:pPr>
            <w:r>
              <w:t xml:space="preserve">Criação inicial do documento de projeto.</w:t>
            </w:r>
          </w:p>
        </w:tc>
        <w:tc>
          <w:tcPr>
            <w:tcW w:type="dxa" w:w="1400"/>
            <w:shd w:fill="FFFFFF" w:val="clear"/>
            <w:tcMar>
              <w:top w:type="dxa" w:w="60"/>
              <w:left w:type="dxa" w:w="110"/>
              <w:bottom w:type="dxa" w:w="60"/>
              <w:right w:type="dxa" w:w="110"/>
            </w:tcMar>
          </w:tcPr>
          <w:p>
            <w:pPr>
              <w:spacing w:after="0" w:line="252"/>
            </w:pPr>
            <w:r>
              <w:t xml:space="preserve">1.0</w:t>
            </w:r>
          </w:p>
        </w:tc>
      </w:tr>
    </w:tbl>
    <w:p>
      <w:r>
        <w:br w:type="page"/>
      </w:r>
    </w:p>
    <w:p>
      <w:pPr>
        <w:pStyle w:val="Heading1"/>
      </w:pPr>
      <w:r>
        <w:t xml:space="preserve">1. Introdução</w:t>
      </w:r>
    </w:p>
    <w:p>
      <w:pPr>
        <w:spacing w:after="160" w:line="276"/>
        <w:jc w:val="both"/>
      </w:pPr>
      <w:r>
        <w:t xml:space="preserve">Este documento agrega: 1) a elaboração e revisão dos modelos de domínio e 2) os modelos de projeto para o sistema </w:t>
      </w:r>
      <w:r>
        <w:rPr>
          <w:b/>
          <w:bCs/>
        </w:rPr>
        <w:t xml:space="preserve">SARA — Sistema de Análise de Risco e Antifraude</w:t>
      </w:r>
      <w:r>
        <w:t xml:space="preserve">. A referência principal para a descrição geral do problema, do domínio e dos requisitos é o documento de especificação que descreve a visão de domínio do sistema.</w:t>
      </w:r>
    </w:p>
    <w:p>
      <w:pPr>
        <w:spacing w:after="160" w:line="276"/>
        <w:jc w:val="both"/>
      </w:pPr>
      <w:r>
        <w:t xml:space="preserve">O SARA é uma plataforma de apoio à operação de </w:t>
      </w:r>
      <w:r>
        <w:rPr>
          <w:b/>
          <w:bCs/>
        </w:rPr>
        <w:t xml:space="preserve">fintechs</w:t>
      </w:r>
      <w:r>
        <w:t xml:space="preserve"> cujo objetivo é avaliar, em tempo real, o risco de fraude associado a transações financeiras (pagamentos, transferências PIX, compras com cartão e operações de crédito) e apoiar analistas humanos na investigação dos casos suspeitos. O sistema combina um </w:t>
      </w:r>
      <w:r>
        <w:rPr>
          <w:b/>
          <w:bCs/>
        </w:rPr>
        <w:t xml:space="preserve">motor de regras</w:t>
      </w:r>
      <w:r>
        <w:t xml:space="preserve"> configurável com um </w:t>
      </w:r>
      <w:r>
        <w:rPr>
          <w:b/>
          <w:bCs/>
        </w:rPr>
        <w:t xml:space="preserve">serviço de pontuação (scoring) baseado em aprendizado de máquina</w:t>
      </w:r>
      <w:r>
        <w:t xml:space="preserve">, gerando uma decisão de aprovar, negar ou encaminhar a transação para revisão manual.</w:t>
      </w:r>
    </w:p>
    <w:p>
      <w:pPr>
        <w:spacing w:after="160" w:line="276"/>
        <w:jc w:val="both"/>
      </w:pPr>
      <w:r>
        <w:t xml:space="preserve">O problema central tratado é o equilíbrio entre </w:t>
      </w:r>
      <w:r>
        <w:rPr>
          <w:b/>
          <w:bCs/>
        </w:rPr>
        <w:t xml:space="preserve">segurança e experiência do cliente</w:t>
      </w:r>
      <w:r>
        <w:t xml:space="preserve">: regras muito restritivas elevam a taxa de falsos positivos e geram atrito (transações legítimas bloqueadas), enquanto regras frouxas aumentam a perda financeira por fraude. O SARA busca otimizar esse compromisso por meio de scoring contínuo, gestão de casos e realimentação (feedback) das decisões dos analistas para reaprendizagem do modelo.</w:t>
      </w:r>
    </w:p>
    <w:p>
      <w:pPr>
        <w:pStyle w:val="Heading2"/>
      </w:pPr>
      <w:r>
        <w:t xml:space="preserve">1.1. Escopo</w:t>
      </w:r>
    </w:p>
    <w:p>
      <w:pPr>
        <w:spacing w:after="160" w:line="276"/>
        <w:jc w:val="both"/>
      </w:pPr>
      <w:r>
        <w:t xml:space="preserve">O escopo desta documentação cobre o subsistema de detecção e investigação de fraude transacional. Estão </w:t>
      </w:r>
      <w:r>
        <w:rPr>
          <w:b/>
          <w:bCs/>
        </w:rPr>
        <w:t xml:space="preserve">dentro do escopo</w:t>
      </w:r>
      <w:r>
        <w:t xml:space="preserve">: ingestão de eventos de transação, avaliação de risco em tempo real, geração de alertas, gestão de casos pelos analistas, configuração de regras, verificação de identidade (KYC) no onboarding, gestão de listas de restrição e geração de indicadores gerenciais.</w:t>
      </w:r>
    </w:p>
    <w:p>
      <w:pPr>
        <w:spacing w:after="160" w:line="276"/>
        <w:jc w:val="both"/>
      </w:pPr>
      <w:r>
        <w:t xml:space="preserve">Estão </w:t>
      </w:r>
      <w:r>
        <w:rPr>
          <w:b/>
          <w:bCs/>
        </w:rPr>
        <w:t xml:space="preserve">fora do escopo</w:t>
      </w:r>
      <w:r>
        <w:t xml:space="preserve"> deste documento: o processamento financeiro de liquidação propriamente dito (executado pelo core bancário), a esteira de concessão de crédito e os detalhes internos de treinamento dos modelos de aprendizado de máquina, tratados aqui apenas como serviço consumido.</w:t>
      </w:r>
    </w:p>
    <w:p>
      <w:pPr>
        <w:pStyle w:val="Heading2"/>
      </w:pPr>
      <w:r>
        <w:t xml:space="preserve">1.2. Definições e Acrônimos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60"/>
      </w:tblGrid>
      <w:tr>
        <w:trPr>
          <w:tblHeader/>
        </w:trPr>
        <w:tc>
          <w:tcPr>
            <w:tcW w:type="dxa" w:w="2200"/>
            <w:shd w:fill="1F4E79" w:val="clear"/>
            <w:tcMar>
              <w:top w:type="dxa" w:w="60"/>
              <w:left w:type="dxa" w:w="110"/>
              <w:bottom w:type="dxa" w:w="60"/>
              <w:right w:type="dxa" w:w="110"/>
            </w:tcMar>
          </w:tcPr>
          <w:p>
            <w:pPr>
              <w:spacing w:after="0" w:line="252"/>
            </w:pPr>
            <w:r>
              <w:rPr>
                <w:b/>
                <w:bCs/>
                <w:color w:val="FFFFFF"/>
                <w:sz w:val="19"/>
                <w:szCs w:val="19"/>
              </w:rPr>
              <w:t xml:space="preserve">Termo</w:t>
            </w:r>
          </w:p>
        </w:tc>
        <w:tc>
          <w:tcPr>
            <w:tcW w:type="dxa" w:w="7160"/>
            <w:shd w:fill="1F4E79" w:val="clear"/>
            <w:tcMar>
              <w:top w:type="dxa" w:w="60"/>
              <w:left w:type="dxa" w:w="110"/>
              <w:bottom w:type="dxa" w:w="60"/>
              <w:right w:type="dxa" w:w="110"/>
            </w:tcMar>
          </w:tcPr>
          <w:p>
            <w:pPr>
              <w:spacing w:after="0" w:line="252"/>
            </w:pPr>
            <w:r>
              <w:rPr>
                <w:b/>
                <w:bCs/>
                <w:color w:val="FFFFFF"/>
                <w:sz w:val="19"/>
                <w:szCs w:val="19"/>
              </w:rPr>
              <w:t xml:space="preserve">Definição</w:t>
            </w:r>
          </w:p>
        </w:tc>
      </w:tr>
      <w:tr>
        <w:tc>
          <w:tcPr>
            <w:tcW w:type="dxa" w:w="2200"/>
            <w:shd w:fill="FFFFFF" w:val="clear"/>
            <w:tcMar>
              <w:top w:type="dxa" w:w="60"/>
              <w:left w:type="dxa" w:w="110"/>
              <w:bottom w:type="dxa" w:w="60"/>
              <w:right w:type="dxa" w:w="110"/>
            </w:tcMar>
          </w:tcPr>
          <w:p>
            <w:pPr>
              <w:spacing w:after="0" w:line="252"/>
            </w:pPr>
            <w:r>
              <w:t xml:space="preserve">KYC</w:t>
            </w:r>
          </w:p>
        </w:tc>
        <w:tc>
          <w:tcPr>
            <w:tcW w:type="dxa" w:w="7160"/>
            <w:shd w:fill="FFFFFF" w:val="clear"/>
            <w:tcMar>
              <w:top w:type="dxa" w:w="60"/>
              <w:left w:type="dxa" w:w="110"/>
              <w:bottom w:type="dxa" w:w="60"/>
              <w:right w:type="dxa" w:w="110"/>
            </w:tcMar>
          </w:tcPr>
          <w:p>
            <w:pPr>
              <w:spacing w:after="0" w:line="252"/>
            </w:pPr>
            <w:r>
              <w:t xml:space="preserve">Know Your Customer — verificação de identidade do cliente no onboarding.</w:t>
            </w:r>
          </w:p>
        </w:tc>
      </w:tr>
      <w:tr>
        <w:tc>
          <w:tcPr>
            <w:tcW w:type="dxa" w:w="2200"/>
            <w:shd w:fill="FFFFFF" w:val="clear"/>
            <w:tcMar>
              <w:top w:type="dxa" w:w="60"/>
              <w:left w:type="dxa" w:w="110"/>
              <w:bottom w:type="dxa" w:w="60"/>
              <w:right w:type="dxa" w:w="110"/>
            </w:tcMar>
          </w:tcPr>
          <w:p>
            <w:pPr>
              <w:spacing w:after="0" w:line="252"/>
            </w:pPr>
            <w:r>
              <w:t xml:space="preserve">Score de risco</w:t>
            </w:r>
          </w:p>
        </w:tc>
        <w:tc>
          <w:tcPr>
            <w:tcW w:type="dxa" w:w="7160"/>
            <w:shd w:fill="FFFFFF" w:val="clear"/>
            <w:tcMar>
              <w:top w:type="dxa" w:w="60"/>
              <w:left w:type="dxa" w:w="110"/>
              <w:bottom w:type="dxa" w:w="60"/>
              <w:right w:type="dxa" w:w="110"/>
            </w:tcMar>
          </w:tcPr>
          <w:p>
            <w:pPr>
              <w:spacing w:after="0" w:line="252"/>
            </w:pPr>
            <w:r>
              <w:t xml:space="preserve">Valor numérico de 0 a 1000 que representa a probabilidade de a transação ser fraudulenta.</w:t>
            </w:r>
          </w:p>
        </w:tc>
      </w:tr>
      <w:tr>
        <w:tc>
          <w:tcPr>
            <w:tcW w:type="dxa" w:w="2200"/>
            <w:shd w:fill="FFFFFF" w:val="clear"/>
            <w:tcMar>
              <w:top w:type="dxa" w:w="60"/>
              <w:left w:type="dxa" w:w="110"/>
              <w:bottom w:type="dxa" w:w="60"/>
              <w:right w:type="dxa" w:w="110"/>
            </w:tcMar>
          </w:tcPr>
          <w:p>
            <w:pPr>
              <w:spacing w:after="0" w:line="252"/>
            </w:pPr>
            <w:r>
              <w:t xml:space="preserve">Alerta</w:t>
            </w:r>
          </w:p>
        </w:tc>
        <w:tc>
          <w:tcPr>
            <w:tcW w:type="dxa" w:w="7160"/>
            <w:shd w:fill="FFFFFF" w:val="clear"/>
            <w:tcMar>
              <w:top w:type="dxa" w:w="60"/>
              <w:left w:type="dxa" w:w="110"/>
              <w:bottom w:type="dxa" w:w="60"/>
              <w:right w:type="dxa" w:w="110"/>
            </w:tcMar>
          </w:tcPr>
          <w:p>
            <w:pPr>
              <w:spacing w:after="0" w:line="252"/>
            </w:pPr>
            <w:r>
              <w:t xml:space="preserve">Sinalização automática gerada quando uma transação ultrapassa um limiar de risco.</w:t>
            </w:r>
          </w:p>
        </w:tc>
      </w:tr>
      <w:tr>
        <w:tc>
          <w:tcPr>
            <w:tcW w:type="dxa" w:w="2200"/>
            <w:shd w:fill="FFFFFF" w:val="clear"/>
            <w:tcMar>
              <w:top w:type="dxa" w:w="60"/>
              <w:left w:type="dxa" w:w="110"/>
              <w:bottom w:type="dxa" w:w="60"/>
              <w:right w:type="dxa" w:w="110"/>
            </w:tcMar>
          </w:tcPr>
          <w:p>
            <w:pPr>
              <w:spacing w:after="0" w:line="252"/>
            </w:pPr>
            <w:r>
              <w:t xml:space="preserve">Caso</w:t>
            </w:r>
          </w:p>
        </w:tc>
        <w:tc>
          <w:tcPr>
            <w:tcW w:type="dxa" w:w="7160"/>
            <w:shd w:fill="FFFFFF" w:val="clear"/>
            <w:tcMar>
              <w:top w:type="dxa" w:w="60"/>
              <w:left w:type="dxa" w:w="110"/>
              <w:bottom w:type="dxa" w:w="60"/>
              <w:right w:type="dxa" w:w="110"/>
            </w:tcMar>
          </w:tcPr>
          <w:p>
            <w:pPr>
              <w:spacing w:after="0" w:line="252"/>
            </w:pPr>
            <w:r>
              <w:t xml:space="preserve">Registro de investigação que agrupa um ou mais alertas para análise por um analista.</w:t>
            </w:r>
          </w:p>
        </w:tc>
      </w:tr>
      <w:tr>
        <w:tc>
          <w:tcPr>
            <w:tcW w:type="dxa" w:w="2200"/>
            <w:shd w:fill="FFFFFF" w:val="clear"/>
            <w:tcMar>
              <w:top w:type="dxa" w:w="60"/>
              <w:left w:type="dxa" w:w="110"/>
              <w:bottom w:type="dxa" w:w="60"/>
              <w:right w:type="dxa" w:w="110"/>
            </w:tcMar>
          </w:tcPr>
          <w:p>
            <w:pPr>
              <w:spacing w:after="0" w:line="252"/>
            </w:pPr>
            <w:r>
              <w:t xml:space="preserve">Falso positivo</w:t>
            </w:r>
          </w:p>
        </w:tc>
        <w:tc>
          <w:tcPr>
            <w:tcW w:type="dxa" w:w="7160"/>
            <w:shd w:fill="FFFFFF" w:val="clear"/>
            <w:tcMar>
              <w:top w:type="dxa" w:w="60"/>
              <w:left w:type="dxa" w:w="110"/>
              <w:bottom w:type="dxa" w:w="60"/>
              <w:right w:type="dxa" w:w="110"/>
            </w:tcMar>
          </w:tcPr>
          <w:p>
            <w:pPr>
              <w:spacing w:after="0" w:line="252"/>
            </w:pPr>
            <w:r>
              <w:t xml:space="preserve">Transação legítima classificada incorretamente como fraude.</w:t>
            </w:r>
          </w:p>
        </w:tc>
      </w:tr>
      <w:tr>
        <w:tc>
          <w:tcPr>
            <w:tcW w:type="dxa" w:w="2200"/>
            <w:shd w:fill="FFFFFF" w:val="clear"/>
            <w:tcMar>
              <w:top w:type="dxa" w:w="60"/>
              <w:left w:type="dxa" w:w="110"/>
              <w:bottom w:type="dxa" w:w="60"/>
              <w:right w:type="dxa" w:w="110"/>
            </w:tcMar>
          </w:tcPr>
          <w:p>
            <w:pPr>
              <w:spacing w:after="0" w:line="252"/>
            </w:pPr>
            <w:r>
              <w:t xml:space="preserve">Blocklist / Allowlist</w:t>
            </w:r>
          </w:p>
        </w:tc>
        <w:tc>
          <w:tcPr>
            <w:tcW w:type="dxa" w:w="7160"/>
            <w:shd w:fill="FFFFFF" w:val="clear"/>
            <w:tcMar>
              <w:top w:type="dxa" w:w="60"/>
              <w:left w:type="dxa" w:w="110"/>
              <w:bottom w:type="dxa" w:w="60"/>
              <w:right w:type="dxa" w:w="110"/>
            </w:tcMar>
          </w:tcPr>
          <w:p>
            <w:pPr>
              <w:spacing w:after="0" w:line="252"/>
            </w:pPr>
            <w:r>
              <w:t xml:space="preserve">Listas de entidades (CPF, cartão, dispositivo, IP) bloqueadas ou liberadas.</w:t>
            </w:r>
          </w:p>
        </w:tc>
      </w:tr>
      <w:tr>
        <w:tc>
          <w:tcPr>
            <w:tcW w:type="dxa" w:w="2200"/>
            <w:shd w:fill="FFFFFF" w:val="clear"/>
            <w:tcMar>
              <w:top w:type="dxa" w:w="60"/>
              <w:left w:type="dxa" w:w="110"/>
              <w:bottom w:type="dxa" w:w="60"/>
              <w:right w:type="dxa" w:w="110"/>
            </w:tcMar>
          </w:tcPr>
          <w:p>
            <w:pPr>
              <w:spacing w:after="0" w:line="252"/>
            </w:pPr>
            <w:r>
              <w:t xml:space="preserve">SSD</w:t>
            </w:r>
          </w:p>
        </w:tc>
        <w:tc>
          <w:tcPr>
            <w:tcW w:type="dxa" w:w="7160"/>
            <w:shd w:fill="FFFFFF" w:val="clear"/>
            <w:tcMar>
              <w:top w:type="dxa" w:w="60"/>
              <w:left w:type="dxa" w:w="110"/>
              <w:bottom w:type="dxa" w:w="60"/>
              <w:right w:type="dxa" w:w="110"/>
            </w:tcMar>
          </w:tcPr>
          <w:p>
            <w:pPr>
              <w:spacing w:after="0" w:line="252"/>
            </w:pPr>
            <w:r>
              <w:t xml:space="preserve">System Sequence Diagram — diagrama de sequência do sistema.</w:t>
            </w:r>
          </w:p>
        </w:tc>
      </w:tr>
    </w:tbl>
    <w:p>
      <w:pPr>
        <w:pStyle w:val="Heading1"/>
      </w:pPr>
      <w:r>
        <w:t xml:space="preserve">2. Modelos de Usuário e Requisitos</w:t>
      </w:r>
    </w:p>
    <w:p>
      <w:pPr>
        <w:pStyle w:val="Heading2"/>
      </w:pPr>
      <w:r>
        <w:t xml:space="preserve">2.1. Descrição de Atores</w:t>
      </w:r>
    </w:p>
    <w:p>
      <w:pPr>
        <w:spacing w:after="160" w:line="276"/>
        <w:jc w:val="both"/>
      </w:pPr>
      <w:r>
        <w:t xml:space="preserve">Nesta subseção são apresentados os atores que interagem com o sistema SARA. Atores primários iniciam interações para atingir um objetivo; atores de apoio (externos) fornecem serviços ao sistema.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1700"/>
        <w:gridCol w:w="5560"/>
      </w:tblGrid>
      <w:tr>
        <w:trPr>
          <w:tblHeader/>
        </w:trPr>
        <w:tc>
          <w:tcPr>
            <w:tcW w:type="dxa" w:w="2100"/>
            <w:shd w:fill="1F4E79" w:val="clear"/>
            <w:tcMar>
              <w:top w:type="dxa" w:w="60"/>
              <w:left w:type="dxa" w:w="110"/>
              <w:bottom w:type="dxa" w:w="60"/>
              <w:right w:type="dxa" w:w="110"/>
            </w:tcMar>
          </w:tcPr>
          <w:p>
            <w:pPr>
              <w:spacing w:after="0" w:line="252"/>
            </w:pPr>
            <w:r>
              <w:rPr>
                <w:b/>
                <w:bCs/>
                <w:color w:val="FFFFFF"/>
                <w:sz w:val="19"/>
                <w:szCs w:val="19"/>
              </w:rPr>
              <w:t xml:space="preserve">Ator</w:t>
            </w:r>
          </w:p>
        </w:tc>
        <w:tc>
          <w:tcPr>
            <w:tcW w:type="dxa" w:w="1700"/>
            <w:shd w:fill="1F4E79" w:val="clear"/>
            <w:tcMar>
              <w:top w:type="dxa" w:w="60"/>
              <w:left w:type="dxa" w:w="110"/>
              <w:bottom w:type="dxa" w:w="60"/>
              <w:right w:type="dxa" w:w="110"/>
            </w:tcMar>
          </w:tcPr>
          <w:p>
            <w:pPr>
              <w:spacing w:after="0" w:line="252"/>
            </w:pPr>
            <w:r>
              <w:rPr>
                <w:b/>
                <w:bCs/>
                <w:color w:val="FFFFFF"/>
                <w:sz w:val="19"/>
                <w:szCs w:val="19"/>
              </w:rPr>
              <w:t xml:space="preserve">Tipo</w:t>
            </w:r>
          </w:p>
        </w:tc>
        <w:tc>
          <w:tcPr>
            <w:tcW w:type="dxa" w:w="5560"/>
            <w:shd w:fill="1F4E79" w:val="clear"/>
            <w:tcMar>
              <w:top w:type="dxa" w:w="60"/>
              <w:left w:type="dxa" w:w="110"/>
              <w:bottom w:type="dxa" w:w="60"/>
              <w:right w:type="dxa" w:w="110"/>
            </w:tcMar>
          </w:tcPr>
          <w:p>
            <w:pPr>
              <w:spacing w:after="0" w:line="252"/>
            </w:pPr>
            <w:r>
              <w:rPr>
                <w:b/>
                <w:bCs/>
                <w:color w:val="FFFFFF"/>
                <w:sz w:val="19"/>
                <w:szCs w:val="19"/>
              </w:rPr>
              <w:t xml:space="preserve">Descrição</w:t>
            </w:r>
          </w:p>
        </w:tc>
      </w:tr>
      <w:tr>
        <w:tc>
          <w:tcPr>
            <w:tcW w:type="dxa" w:w="2100"/>
            <w:shd w:fill="FFFFFF" w:val="clear"/>
            <w:tcMar>
              <w:top w:type="dxa" w:w="60"/>
              <w:left w:type="dxa" w:w="110"/>
              <w:bottom w:type="dxa" w:w="60"/>
              <w:right w:type="dxa" w:w="110"/>
            </w:tcMar>
          </w:tcPr>
          <w:p>
            <w:pPr>
              <w:spacing w:after="0" w:line="252"/>
            </w:pPr>
            <w:r>
              <w:t xml:space="preserve">Cliente</w:t>
            </w:r>
          </w:p>
        </w:tc>
        <w:tc>
          <w:tcPr>
            <w:tcW w:type="dxa" w:w="1700"/>
            <w:shd w:fill="FFFFFF" w:val="clear"/>
            <w:tcMar>
              <w:top w:type="dxa" w:w="60"/>
              <w:left w:type="dxa" w:w="110"/>
              <w:bottom w:type="dxa" w:w="60"/>
              <w:right w:type="dxa" w:w="110"/>
            </w:tcMar>
          </w:tcPr>
          <w:p>
            <w:pPr>
              <w:spacing w:after="0" w:line="252"/>
            </w:pPr>
            <w:r>
              <w:t xml:space="preserve">Primário</w:t>
            </w:r>
          </w:p>
        </w:tc>
        <w:tc>
          <w:tcPr>
            <w:tcW w:type="dxa" w:w="5560"/>
            <w:shd w:fill="FFFFFF" w:val="clear"/>
            <w:tcMar>
              <w:top w:type="dxa" w:w="60"/>
              <w:left w:type="dxa" w:w="110"/>
              <w:bottom w:type="dxa" w:w="60"/>
              <w:right w:type="dxa" w:w="110"/>
            </w:tcMar>
          </w:tcPr>
          <w:p>
            <w:pPr>
              <w:spacing w:after="0" w:line="252"/>
            </w:pPr>
            <w:r>
              <w:t xml:space="preserve">Titular da conta na fintech. Origina transações que são avaliadas pelo sistema e pode ser notificado e solicitado a confirmar operações suspeitas.</w:t>
            </w:r>
          </w:p>
        </w:tc>
      </w:tr>
      <w:tr>
        <w:tc>
          <w:tcPr>
            <w:tcW w:type="dxa" w:w="2100"/>
            <w:shd w:fill="FFFFFF" w:val="clear"/>
            <w:tcMar>
              <w:top w:type="dxa" w:w="60"/>
              <w:left w:type="dxa" w:w="110"/>
              <w:bottom w:type="dxa" w:w="60"/>
              <w:right w:type="dxa" w:w="110"/>
            </w:tcMar>
          </w:tcPr>
          <w:p>
            <w:pPr>
              <w:spacing w:after="0" w:line="252"/>
            </w:pPr>
            <w:r>
              <w:t xml:space="preserve">Analista de Fraude</w:t>
            </w:r>
          </w:p>
        </w:tc>
        <w:tc>
          <w:tcPr>
            <w:tcW w:type="dxa" w:w="1700"/>
            <w:shd w:fill="FFFFFF" w:val="clear"/>
            <w:tcMar>
              <w:top w:type="dxa" w:w="60"/>
              <w:left w:type="dxa" w:w="110"/>
              <w:bottom w:type="dxa" w:w="60"/>
              <w:right w:type="dxa" w:w="110"/>
            </w:tcMar>
          </w:tcPr>
          <w:p>
            <w:pPr>
              <w:spacing w:after="0" w:line="252"/>
            </w:pPr>
            <w:r>
              <w:t xml:space="preserve">Primário</w:t>
            </w:r>
          </w:p>
        </w:tc>
        <w:tc>
          <w:tcPr>
            <w:tcW w:type="dxa" w:w="5560"/>
            <w:shd w:fill="FFFFFF" w:val="clear"/>
            <w:tcMar>
              <w:top w:type="dxa" w:w="60"/>
              <w:left w:type="dxa" w:w="110"/>
              <w:bottom w:type="dxa" w:w="60"/>
              <w:right w:type="dxa" w:w="110"/>
            </w:tcMar>
          </w:tcPr>
          <w:p>
            <w:pPr>
              <w:spacing w:after="0" w:line="252"/>
            </w:pPr>
            <w:r>
              <w:t xml:space="preserve">Profissional que investiga os casos abertos, decide aprovar ou negar transações em revisão e registra o desfecho (fraude confirmada / legítima).</w:t>
            </w:r>
          </w:p>
        </w:tc>
      </w:tr>
      <w:tr>
        <w:tc>
          <w:tcPr>
            <w:tcW w:type="dxa" w:w="2100"/>
            <w:shd w:fill="FFFFFF" w:val="clear"/>
            <w:tcMar>
              <w:top w:type="dxa" w:w="60"/>
              <w:left w:type="dxa" w:w="110"/>
              <w:bottom w:type="dxa" w:w="60"/>
              <w:right w:type="dxa" w:w="110"/>
            </w:tcMar>
          </w:tcPr>
          <w:p>
            <w:pPr>
              <w:spacing w:after="0" w:line="252"/>
            </w:pPr>
            <w:r>
              <w:t xml:space="preserve">Gerente de Risco</w:t>
            </w:r>
          </w:p>
        </w:tc>
        <w:tc>
          <w:tcPr>
            <w:tcW w:type="dxa" w:w="1700"/>
            <w:shd w:fill="FFFFFF" w:val="clear"/>
            <w:tcMar>
              <w:top w:type="dxa" w:w="60"/>
              <w:left w:type="dxa" w:w="110"/>
              <w:bottom w:type="dxa" w:w="60"/>
              <w:right w:type="dxa" w:w="110"/>
            </w:tcMar>
          </w:tcPr>
          <w:p>
            <w:pPr>
              <w:spacing w:after="0" w:line="252"/>
            </w:pPr>
            <w:r>
              <w:t xml:space="preserve">Primário</w:t>
            </w:r>
          </w:p>
        </w:tc>
        <w:tc>
          <w:tcPr>
            <w:tcW w:type="dxa" w:w="5560"/>
            <w:shd w:fill="FFFFFF" w:val="clear"/>
            <w:tcMar>
              <w:top w:type="dxa" w:w="60"/>
              <w:left w:type="dxa" w:w="110"/>
              <w:bottom w:type="dxa" w:w="60"/>
              <w:right w:type="dxa" w:w="110"/>
            </w:tcMar>
          </w:tcPr>
          <w:p>
            <w:pPr>
              <w:spacing w:after="0" w:line="252"/>
            </w:pPr>
            <w:r>
              <w:t xml:space="preserve">Define políticas de risco, acompanha indicadores e relatórios gerenciais e aprova mudanças relevantes de regras.</w:t>
            </w:r>
          </w:p>
        </w:tc>
      </w:tr>
      <w:tr>
        <w:tc>
          <w:tcPr>
            <w:tcW w:type="dxa" w:w="2100"/>
            <w:shd w:fill="FFFFFF" w:val="clear"/>
            <w:tcMar>
              <w:top w:type="dxa" w:w="60"/>
              <w:left w:type="dxa" w:w="110"/>
              <w:bottom w:type="dxa" w:w="60"/>
              <w:right w:type="dxa" w:w="110"/>
            </w:tcMar>
          </w:tcPr>
          <w:p>
            <w:pPr>
              <w:spacing w:after="0" w:line="252"/>
            </w:pPr>
            <w:r>
              <w:t xml:space="preserve">Administrador do Sistema</w:t>
            </w:r>
          </w:p>
        </w:tc>
        <w:tc>
          <w:tcPr>
            <w:tcW w:type="dxa" w:w="1700"/>
            <w:shd w:fill="FFFFFF" w:val="clear"/>
            <w:tcMar>
              <w:top w:type="dxa" w:w="60"/>
              <w:left w:type="dxa" w:w="110"/>
              <w:bottom w:type="dxa" w:w="60"/>
              <w:right w:type="dxa" w:w="110"/>
            </w:tcMar>
          </w:tcPr>
          <w:p>
            <w:pPr>
              <w:spacing w:after="0" w:line="252"/>
            </w:pPr>
            <w:r>
              <w:t xml:space="preserve">Primário</w:t>
            </w:r>
          </w:p>
        </w:tc>
        <w:tc>
          <w:tcPr>
            <w:tcW w:type="dxa" w:w="5560"/>
            <w:shd w:fill="FFFFFF" w:val="clear"/>
            <w:tcMar>
              <w:top w:type="dxa" w:w="60"/>
              <w:left w:type="dxa" w:w="110"/>
              <w:bottom w:type="dxa" w:w="60"/>
              <w:right w:type="dxa" w:w="110"/>
            </w:tcMar>
          </w:tcPr>
          <w:p>
            <w:pPr>
              <w:spacing w:after="0" w:line="252"/>
            </w:pPr>
            <w:r>
              <w:t xml:space="preserve">Configura regras de detecção, parâmetros de limiar, listas de restrição e usuários/perfis de acesso.</w:t>
            </w:r>
          </w:p>
        </w:tc>
      </w:tr>
      <w:tr>
        <w:tc>
          <w:tcPr>
            <w:tcW w:type="dxa" w:w="2100"/>
            <w:shd w:fill="FFFFFF" w:val="clear"/>
            <w:tcMar>
              <w:top w:type="dxa" w:w="60"/>
              <w:left w:type="dxa" w:w="110"/>
              <w:bottom w:type="dxa" w:w="60"/>
              <w:right w:type="dxa" w:w="110"/>
            </w:tcMar>
          </w:tcPr>
          <w:p>
            <w:pPr>
              <w:spacing w:after="0" w:line="252"/>
            </w:pPr>
            <w:r>
              <w:t xml:space="preserve">Gateway de Pagamentos</w:t>
            </w:r>
          </w:p>
        </w:tc>
        <w:tc>
          <w:tcPr>
            <w:tcW w:type="dxa" w:w="1700"/>
            <w:shd w:fill="FFFFFF" w:val="clear"/>
            <w:tcMar>
              <w:top w:type="dxa" w:w="60"/>
              <w:left w:type="dxa" w:w="110"/>
              <w:bottom w:type="dxa" w:w="60"/>
              <w:right w:type="dxa" w:w="110"/>
            </w:tcMar>
          </w:tcPr>
          <w:p>
            <w:pPr>
              <w:spacing w:after="0" w:line="252"/>
            </w:pPr>
            <w:r>
              <w:t xml:space="preserve">Apoio (externo)</w:t>
            </w:r>
          </w:p>
        </w:tc>
        <w:tc>
          <w:tcPr>
            <w:tcW w:type="dxa" w:w="5560"/>
            <w:shd w:fill="FFFFFF" w:val="clear"/>
            <w:tcMar>
              <w:top w:type="dxa" w:w="60"/>
              <w:left w:type="dxa" w:w="110"/>
              <w:bottom w:type="dxa" w:w="60"/>
              <w:right w:type="dxa" w:w="110"/>
            </w:tcMar>
          </w:tcPr>
          <w:p>
            <w:pPr>
              <w:spacing w:after="0" w:line="252"/>
            </w:pPr>
            <w:r>
              <w:t xml:space="preserve">Sistema externo que envia os eventos de transação ao SARA e recebe a decisão (aprovar/negar/revisar).</w:t>
            </w:r>
          </w:p>
        </w:tc>
      </w:tr>
      <w:tr>
        <w:tc>
          <w:tcPr>
            <w:tcW w:type="dxa" w:w="2100"/>
            <w:shd w:fill="FFFFFF" w:val="clear"/>
            <w:tcMar>
              <w:top w:type="dxa" w:w="60"/>
              <w:left w:type="dxa" w:w="110"/>
              <w:bottom w:type="dxa" w:w="60"/>
              <w:right w:type="dxa" w:w="110"/>
            </w:tcMar>
          </w:tcPr>
          <w:p>
            <w:pPr>
              <w:spacing w:after="0" w:line="252"/>
            </w:pPr>
            <w:r>
              <w:t xml:space="preserve">Serviço de Bureau / KYC</w:t>
            </w:r>
          </w:p>
        </w:tc>
        <w:tc>
          <w:tcPr>
            <w:tcW w:type="dxa" w:w="1700"/>
            <w:shd w:fill="FFFFFF" w:val="clear"/>
            <w:tcMar>
              <w:top w:type="dxa" w:w="60"/>
              <w:left w:type="dxa" w:w="110"/>
              <w:bottom w:type="dxa" w:w="60"/>
              <w:right w:type="dxa" w:w="110"/>
            </w:tcMar>
          </w:tcPr>
          <w:p>
            <w:pPr>
              <w:spacing w:after="0" w:line="252"/>
            </w:pPr>
            <w:r>
              <w:t xml:space="preserve">Apoio (externo)</w:t>
            </w:r>
          </w:p>
        </w:tc>
        <w:tc>
          <w:tcPr>
            <w:tcW w:type="dxa" w:w="5560"/>
            <w:shd w:fill="FFFFFF" w:val="clear"/>
            <w:tcMar>
              <w:top w:type="dxa" w:w="60"/>
              <w:left w:type="dxa" w:w="110"/>
              <w:bottom w:type="dxa" w:w="60"/>
              <w:right w:type="dxa" w:w="110"/>
            </w:tcMar>
          </w:tcPr>
          <w:p>
            <w:pPr>
              <w:spacing w:after="0" w:line="252"/>
            </w:pPr>
            <w:r>
              <w:t xml:space="preserve">Provedor externo que fornece dados de verificação de identidade, antecedentes e validação documental.</w:t>
            </w:r>
          </w:p>
        </w:tc>
      </w:tr>
      <w:tr>
        <w:tc>
          <w:tcPr>
            <w:tcW w:type="dxa" w:w="2100"/>
            <w:shd w:fill="FFFFFF" w:val="clear"/>
            <w:tcMar>
              <w:top w:type="dxa" w:w="60"/>
              <w:left w:type="dxa" w:w="110"/>
              <w:bottom w:type="dxa" w:w="60"/>
              <w:right w:type="dxa" w:w="110"/>
            </w:tcMar>
          </w:tcPr>
          <w:p>
            <w:pPr>
              <w:spacing w:after="0" w:line="252"/>
            </w:pPr>
            <w:r>
              <w:t xml:space="preserve">Serviço de Scoring (ML)</w:t>
            </w:r>
          </w:p>
        </w:tc>
        <w:tc>
          <w:tcPr>
            <w:tcW w:type="dxa" w:w="1700"/>
            <w:shd w:fill="FFFFFF" w:val="clear"/>
            <w:tcMar>
              <w:top w:type="dxa" w:w="60"/>
              <w:left w:type="dxa" w:w="110"/>
              <w:bottom w:type="dxa" w:w="60"/>
              <w:right w:type="dxa" w:w="110"/>
            </w:tcMar>
          </w:tcPr>
          <w:p>
            <w:pPr>
              <w:spacing w:after="0" w:line="252"/>
            </w:pPr>
            <w:r>
              <w:t xml:space="preserve">Apoio (externo/interno)</w:t>
            </w:r>
          </w:p>
        </w:tc>
        <w:tc>
          <w:tcPr>
            <w:tcW w:type="dxa" w:w="5560"/>
            <w:shd w:fill="FFFFFF" w:val="clear"/>
            <w:tcMar>
              <w:top w:type="dxa" w:w="60"/>
              <w:left w:type="dxa" w:w="110"/>
              <w:bottom w:type="dxa" w:w="60"/>
              <w:right w:type="dxa" w:w="110"/>
            </w:tcMar>
          </w:tcPr>
          <w:p>
            <w:pPr>
              <w:spacing w:after="0" w:line="252"/>
            </w:pPr>
            <w:r>
              <w:t xml:space="preserve">Modelo de aprendizado de máquina que calcula a probabilidade de fraude a partir das características da transação.</w:t>
            </w:r>
          </w:p>
        </w:tc>
      </w:tr>
    </w:tbl>
    <w:p>
      <w:pPr>
        <w:pStyle w:val="Heading2"/>
      </w:pPr>
      <w:r>
        <w:t xml:space="preserve">2.2. Modelo de Casos de Uso</w:t>
      </w:r>
    </w:p>
    <w:p>
      <w:pPr>
        <w:spacing w:after="160" w:line="276"/>
        <w:jc w:val="both"/>
      </w:pPr>
      <w:r>
        <w:t xml:space="preserve">A figura a seguir apresenta o diagrama de casos de uso do sistema. Cada caso de uso recebe um identificador (UC-NN) usado como referência no restante do documento. O código PlantUML do diagrama é apresentado abaixo e pode ser renderizado em qualquer ferramenta compatível (PlantUML/PlantText).</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@startuml CasosDeUso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left to right direction</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skinparam packageStyle rectangle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actor "Cliente" as CLI</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actor "Analista de Fraude" as ANA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actor "Gerente de Risco" as GER</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actor "Administrador" as ADM</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actor "Gateway de Pagamentos" as GTW</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actor "Bureau / KYC" as KYC</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actor "Serviço de Scoring (ML)" as ML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rectangle "SARA — Sistema de Análise de Risco e Antifraude"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usecase "UC-01 Avaliar risco da transação" as UC01</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usecase "UC-02 Gerar alerta de fraude" as UC02</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usecase "UC-03 Revisar caso de fraude" as UC03</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usecase "UC-04 Decidir transação manualmente" as UC04</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usecase "UC-05 Configurar regras de detecção" as UC05</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usecase "UC-06 Realizar verificação KYC" as UC06</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usecase "UC-07 Gerar relatórios e indicadores" as UC07</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usecase "UC-08 Gerenciar listas de restrição" as UC08</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usecase "UC-09 Notificar cliente sobre transação suspeita" as UC09</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usecase "UC-10 Registrar feedback da decisão" as UC10</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GTW --&gt; UC01</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UC01 ..&gt; ML : &lt;&lt;include&gt;&gt;</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UC01 ..&gt; UC02 : &lt;&lt;extend&gt;&gt;</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UC02 ..&gt; UC09 : &lt;&lt;include&gt;&gt;</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ANA --&gt; UC03</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UC03 ..&gt; UC04 : &lt;&lt;include&gt;&gt;</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UC04 ..&gt; UC10 : &lt;&lt;include&gt;&gt;</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ADM --&gt; UC05</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ADM --&gt; UC08</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CLI --&gt; UC06</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UC06 ..&gt; KYC : &lt;&lt;include&gt;&gt;</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GER --&gt; UC07</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CLI --&gt; UC09</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@enduml</w:t>
      </w:r>
    </w:p>
    <w:p>
      <w:pPr>
        <w:spacing w:after="200" w:before="80"/>
        <w:jc w:val="center"/>
      </w:pPr>
      <w:r>
        <w:rPr>
          <w:i/>
          <w:iCs/>
          <w:color w:val="595959"/>
          <w:sz w:val="18"/>
          <w:szCs w:val="18"/>
        </w:rPr>
        <w:t xml:space="preserve">Figura 1 — Diagrama de Casos de Uso do SARA.</w:t>
      </w:r>
    </w:p>
    <w:p>
      <w:pPr>
        <w:pStyle w:val="Heading3"/>
      </w:pPr>
      <w:r>
        <w:t xml:space="preserve">2.2.1. Descrição resumida dos casos de uso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2500"/>
        <w:gridCol w:w="2060"/>
        <w:gridCol w:w="4000"/>
      </w:tblGrid>
      <w:tr>
        <w:trPr>
          <w:tblHeader/>
        </w:trPr>
        <w:tc>
          <w:tcPr>
            <w:tcW w:type="dxa" w:w="800"/>
            <w:shd w:fill="1F4E79" w:val="clear"/>
            <w:tcMar>
              <w:top w:type="dxa" w:w="60"/>
              <w:left w:type="dxa" w:w="110"/>
              <w:bottom w:type="dxa" w:w="60"/>
              <w:right w:type="dxa" w:w="110"/>
            </w:tcMar>
          </w:tcPr>
          <w:p>
            <w:pPr>
              <w:spacing w:after="0" w:line="252"/>
            </w:pPr>
            <w:r>
              <w:rPr>
                <w:b/>
                <w:bCs/>
                <w:color w:val="FFFFFF"/>
                <w:sz w:val="19"/>
                <w:szCs w:val="19"/>
              </w:rPr>
              <w:t xml:space="preserve">ID</w:t>
            </w:r>
          </w:p>
        </w:tc>
        <w:tc>
          <w:tcPr>
            <w:tcW w:type="dxa" w:w="2500"/>
            <w:shd w:fill="1F4E79" w:val="clear"/>
            <w:tcMar>
              <w:top w:type="dxa" w:w="60"/>
              <w:left w:type="dxa" w:w="110"/>
              <w:bottom w:type="dxa" w:w="60"/>
              <w:right w:type="dxa" w:w="110"/>
            </w:tcMar>
          </w:tcPr>
          <w:p>
            <w:pPr>
              <w:spacing w:after="0" w:line="252"/>
            </w:pPr>
            <w:r>
              <w:rPr>
                <w:b/>
                <w:bCs/>
                <w:color w:val="FFFFFF"/>
                <w:sz w:val="19"/>
                <w:szCs w:val="19"/>
              </w:rPr>
              <w:t xml:space="preserve">Caso de Uso</w:t>
            </w:r>
          </w:p>
        </w:tc>
        <w:tc>
          <w:tcPr>
            <w:tcW w:type="dxa" w:w="2060"/>
            <w:shd w:fill="1F4E79" w:val="clear"/>
            <w:tcMar>
              <w:top w:type="dxa" w:w="60"/>
              <w:left w:type="dxa" w:w="110"/>
              <w:bottom w:type="dxa" w:w="60"/>
              <w:right w:type="dxa" w:w="110"/>
            </w:tcMar>
          </w:tcPr>
          <w:p>
            <w:pPr>
              <w:spacing w:after="0" w:line="252"/>
            </w:pPr>
            <w:r>
              <w:rPr>
                <w:b/>
                <w:bCs/>
                <w:color w:val="FFFFFF"/>
                <w:sz w:val="19"/>
                <w:szCs w:val="19"/>
              </w:rPr>
              <w:t xml:space="preserve">Ator principal</w:t>
            </w:r>
          </w:p>
        </w:tc>
        <w:tc>
          <w:tcPr>
            <w:tcW w:type="dxa" w:w="4000"/>
            <w:shd w:fill="1F4E79" w:val="clear"/>
            <w:tcMar>
              <w:top w:type="dxa" w:w="60"/>
              <w:left w:type="dxa" w:w="110"/>
              <w:bottom w:type="dxa" w:w="60"/>
              <w:right w:type="dxa" w:w="110"/>
            </w:tcMar>
          </w:tcPr>
          <w:p>
            <w:pPr>
              <w:spacing w:after="0" w:line="252"/>
            </w:pPr>
            <w:r>
              <w:rPr>
                <w:b/>
                <w:bCs/>
                <w:color w:val="FFFFFF"/>
                <w:sz w:val="19"/>
                <w:szCs w:val="19"/>
              </w:rPr>
              <w:t xml:space="preserve">Descrição sucinta</w:t>
            </w:r>
          </w:p>
        </w:tc>
      </w:tr>
      <w:tr>
        <w:tc>
          <w:tcPr>
            <w:tcW w:type="dxa" w:w="800"/>
            <w:shd w:fill="FFFFFF" w:val="clear"/>
            <w:tcMar>
              <w:top w:type="dxa" w:w="60"/>
              <w:left w:type="dxa" w:w="110"/>
              <w:bottom w:type="dxa" w:w="60"/>
              <w:right w:type="dxa" w:w="110"/>
            </w:tcMar>
          </w:tcPr>
          <w:p>
            <w:pPr>
              <w:spacing w:after="0" w:line="252"/>
            </w:pPr>
            <w:r>
              <w:t xml:space="preserve">UC-01</w:t>
            </w:r>
          </w:p>
        </w:tc>
        <w:tc>
          <w:tcPr>
            <w:tcW w:type="dxa" w:w="2500"/>
            <w:shd w:fill="FFFFFF" w:val="clear"/>
            <w:tcMar>
              <w:top w:type="dxa" w:w="60"/>
              <w:left w:type="dxa" w:w="110"/>
              <w:bottom w:type="dxa" w:w="60"/>
              <w:right w:type="dxa" w:w="110"/>
            </w:tcMar>
          </w:tcPr>
          <w:p>
            <w:pPr>
              <w:spacing w:after="0" w:line="252"/>
            </w:pPr>
            <w:r>
              <w:t xml:space="preserve">Avaliar risco da transação</w:t>
            </w:r>
          </w:p>
        </w:tc>
        <w:tc>
          <w:tcPr>
            <w:tcW w:type="dxa" w:w="2060"/>
            <w:shd w:fill="FFFFFF" w:val="clear"/>
            <w:tcMar>
              <w:top w:type="dxa" w:w="60"/>
              <w:left w:type="dxa" w:w="110"/>
              <w:bottom w:type="dxa" w:w="60"/>
              <w:right w:type="dxa" w:w="110"/>
            </w:tcMar>
          </w:tcPr>
          <w:p>
            <w:pPr>
              <w:spacing w:after="0" w:line="252"/>
            </w:pPr>
            <w:r>
              <w:t xml:space="preserve">Gateway de Pagamentos</w:t>
            </w:r>
          </w:p>
        </w:tc>
        <w:tc>
          <w:tcPr>
            <w:tcW w:type="dxa" w:w="4000"/>
            <w:shd w:fill="FFFFFF" w:val="clear"/>
            <w:tcMar>
              <w:top w:type="dxa" w:w="60"/>
              <w:left w:type="dxa" w:w="110"/>
              <w:bottom w:type="dxa" w:w="60"/>
              <w:right w:type="dxa" w:w="110"/>
            </w:tcMar>
          </w:tcPr>
          <w:p>
            <w:pPr>
              <w:spacing w:after="0" w:line="252"/>
            </w:pPr>
            <w:r>
              <w:t xml:space="preserve">Calcula o score de risco de uma transação combinando regras e modelo de ML e retorna a decisão.</w:t>
            </w:r>
          </w:p>
        </w:tc>
      </w:tr>
      <w:tr>
        <w:tc>
          <w:tcPr>
            <w:tcW w:type="dxa" w:w="800"/>
            <w:shd w:fill="FFFFFF" w:val="clear"/>
            <w:tcMar>
              <w:top w:type="dxa" w:w="60"/>
              <w:left w:type="dxa" w:w="110"/>
              <w:bottom w:type="dxa" w:w="60"/>
              <w:right w:type="dxa" w:w="110"/>
            </w:tcMar>
          </w:tcPr>
          <w:p>
            <w:pPr>
              <w:spacing w:after="0" w:line="252"/>
            </w:pPr>
            <w:r>
              <w:t xml:space="preserve">UC-02</w:t>
            </w:r>
          </w:p>
        </w:tc>
        <w:tc>
          <w:tcPr>
            <w:tcW w:type="dxa" w:w="2500"/>
            <w:shd w:fill="FFFFFF" w:val="clear"/>
            <w:tcMar>
              <w:top w:type="dxa" w:w="60"/>
              <w:left w:type="dxa" w:w="110"/>
              <w:bottom w:type="dxa" w:w="60"/>
              <w:right w:type="dxa" w:w="110"/>
            </w:tcMar>
          </w:tcPr>
          <w:p>
            <w:pPr>
              <w:spacing w:after="0" w:line="252"/>
            </w:pPr>
            <w:r>
              <w:t xml:space="preserve">Gerar alerta de fraude</w:t>
            </w:r>
          </w:p>
        </w:tc>
        <w:tc>
          <w:tcPr>
            <w:tcW w:type="dxa" w:w="2060"/>
            <w:shd w:fill="FFFFFF" w:val="clear"/>
            <w:tcMar>
              <w:top w:type="dxa" w:w="60"/>
              <w:left w:type="dxa" w:w="110"/>
              <w:bottom w:type="dxa" w:w="60"/>
              <w:right w:type="dxa" w:w="110"/>
            </w:tcMar>
          </w:tcPr>
          <w:p>
            <w:pPr>
              <w:spacing w:after="0" w:line="252"/>
            </w:pPr>
            <w:r>
              <w:t xml:space="preserve">Sistema</w:t>
            </w:r>
          </w:p>
        </w:tc>
        <w:tc>
          <w:tcPr>
            <w:tcW w:type="dxa" w:w="4000"/>
            <w:shd w:fill="FFFFFF" w:val="clear"/>
            <w:tcMar>
              <w:top w:type="dxa" w:w="60"/>
              <w:left w:type="dxa" w:w="110"/>
              <w:bottom w:type="dxa" w:w="60"/>
              <w:right w:type="dxa" w:w="110"/>
            </w:tcMar>
          </w:tcPr>
          <w:p>
            <w:pPr>
              <w:spacing w:after="0" w:line="252"/>
            </w:pPr>
            <w:r>
              <w:t xml:space="preserve">Cria um alerta quando o score ultrapassa o limiar configurado.</w:t>
            </w:r>
          </w:p>
        </w:tc>
      </w:tr>
      <w:tr>
        <w:tc>
          <w:tcPr>
            <w:tcW w:type="dxa" w:w="800"/>
            <w:shd w:fill="FFFFFF" w:val="clear"/>
            <w:tcMar>
              <w:top w:type="dxa" w:w="60"/>
              <w:left w:type="dxa" w:w="110"/>
              <w:bottom w:type="dxa" w:w="60"/>
              <w:right w:type="dxa" w:w="110"/>
            </w:tcMar>
          </w:tcPr>
          <w:p>
            <w:pPr>
              <w:spacing w:after="0" w:line="252"/>
            </w:pPr>
            <w:r>
              <w:t xml:space="preserve">UC-03</w:t>
            </w:r>
          </w:p>
        </w:tc>
        <w:tc>
          <w:tcPr>
            <w:tcW w:type="dxa" w:w="2500"/>
            <w:shd w:fill="FFFFFF" w:val="clear"/>
            <w:tcMar>
              <w:top w:type="dxa" w:w="60"/>
              <w:left w:type="dxa" w:w="110"/>
              <w:bottom w:type="dxa" w:w="60"/>
              <w:right w:type="dxa" w:w="110"/>
            </w:tcMar>
          </w:tcPr>
          <w:p>
            <w:pPr>
              <w:spacing w:after="0" w:line="252"/>
            </w:pPr>
            <w:r>
              <w:t xml:space="preserve">Revisar caso de fraude</w:t>
            </w:r>
          </w:p>
        </w:tc>
        <w:tc>
          <w:tcPr>
            <w:tcW w:type="dxa" w:w="2060"/>
            <w:shd w:fill="FFFFFF" w:val="clear"/>
            <w:tcMar>
              <w:top w:type="dxa" w:w="60"/>
              <w:left w:type="dxa" w:w="110"/>
              <w:bottom w:type="dxa" w:w="60"/>
              <w:right w:type="dxa" w:w="110"/>
            </w:tcMar>
          </w:tcPr>
          <w:p>
            <w:pPr>
              <w:spacing w:after="0" w:line="252"/>
            </w:pPr>
            <w:r>
              <w:t xml:space="preserve">Analista de Fraude</w:t>
            </w:r>
          </w:p>
        </w:tc>
        <w:tc>
          <w:tcPr>
            <w:tcW w:type="dxa" w:w="4000"/>
            <w:shd w:fill="FFFFFF" w:val="clear"/>
            <w:tcMar>
              <w:top w:type="dxa" w:w="60"/>
              <w:left w:type="dxa" w:w="110"/>
              <w:bottom w:type="dxa" w:w="60"/>
              <w:right w:type="dxa" w:w="110"/>
            </w:tcMar>
          </w:tcPr>
          <w:p>
            <w:pPr>
              <w:spacing w:after="0" w:line="252"/>
            </w:pPr>
            <w:r>
              <w:t xml:space="preserve">Investiga os alertas agrupados em um caso e conduz a análise.</w:t>
            </w:r>
          </w:p>
        </w:tc>
      </w:tr>
      <w:tr>
        <w:tc>
          <w:tcPr>
            <w:tcW w:type="dxa" w:w="800"/>
            <w:shd w:fill="FFFFFF" w:val="clear"/>
            <w:tcMar>
              <w:top w:type="dxa" w:w="60"/>
              <w:left w:type="dxa" w:w="110"/>
              <w:bottom w:type="dxa" w:w="60"/>
              <w:right w:type="dxa" w:w="110"/>
            </w:tcMar>
          </w:tcPr>
          <w:p>
            <w:pPr>
              <w:spacing w:after="0" w:line="252"/>
            </w:pPr>
            <w:r>
              <w:t xml:space="preserve">UC-04</w:t>
            </w:r>
          </w:p>
        </w:tc>
        <w:tc>
          <w:tcPr>
            <w:tcW w:type="dxa" w:w="2500"/>
            <w:shd w:fill="FFFFFF" w:val="clear"/>
            <w:tcMar>
              <w:top w:type="dxa" w:w="60"/>
              <w:left w:type="dxa" w:w="110"/>
              <w:bottom w:type="dxa" w:w="60"/>
              <w:right w:type="dxa" w:w="110"/>
            </w:tcMar>
          </w:tcPr>
          <w:p>
            <w:pPr>
              <w:spacing w:after="0" w:line="252"/>
            </w:pPr>
            <w:r>
              <w:t xml:space="preserve">Decidir transação manualmente</w:t>
            </w:r>
          </w:p>
        </w:tc>
        <w:tc>
          <w:tcPr>
            <w:tcW w:type="dxa" w:w="2060"/>
            <w:shd w:fill="FFFFFF" w:val="clear"/>
            <w:tcMar>
              <w:top w:type="dxa" w:w="60"/>
              <w:left w:type="dxa" w:w="110"/>
              <w:bottom w:type="dxa" w:w="60"/>
              <w:right w:type="dxa" w:w="110"/>
            </w:tcMar>
          </w:tcPr>
          <w:p>
            <w:pPr>
              <w:spacing w:after="0" w:line="252"/>
            </w:pPr>
            <w:r>
              <w:t xml:space="preserve">Analista de Fraude</w:t>
            </w:r>
          </w:p>
        </w:tc>
        <w:tc>
          <w:tcPr>
            <w:tcW w:type="dxa" w:w="4000"/>
            <w:shd w:fill="FFFFFF" w:val="clear"/>
            <w:tcMar>
              <w:top w:type="dxa" w:w="60"/>
              <w:left w:type="dxa" w:w="110"/>
              <w:bottom w:type="dxa" w:w="60"/>
              <w:right w:type="dxa" w:w="110"/>
            </w:tcMar>
          </w:tcPr>
          <w:p>
            <w:pPr>
              <w:spacing w:after="0" w:line="252"/>
            </w:pPr>
            <w:r>
              <w:t xml:space="preserve">Aprova ou nega a transação em revisão e justifica a decisão.</w:t>
            </w:r>
          </w:p>
        </w:tc>
      </w:tr>
      <w:tr>
        <w:tc>
          <w:tcPr>
            <w:tcW w:type="dxa" w:w="800"/>
            <w:shd w:fill="FFFFFF" w:val="clear"/>
            <w:tcMar>
              <w:top w:type="dxa" w:w="60"/>
              <w:left w:type="dxa" w:w="110"/>
              <w:bottom w:type="dxa" w:w="60"/>
              <w:right w:type="dxa" w:w="110"/>
            </w:tcMar>
          </w:tcPr>
          <w:p>
            <w:pPr>
              <w:spacing w:after="0" w:line="252"/>
            </w:pPr>
            <w:r>
              <w:t xml:space="preserve">UC-05</w:t>
            </w:r>
          </w:p>
        </w:tc>
        <w:tc>
          <w:tcPr>
            <w:tcW w:type="dxa" w:w="2500"/>
            <w:shd w:fill="FFFFFF" w:val="clear"/>
            <w:tcMar>
              <w:top w:type="dxa" w:w="60"/>
              <w:left w:type="dxa" w:w="110"/>
              <w:bottom w:type="dxa" w:w="60"/>
              <w:right w:type="dxa" w:w="110"/>
            </w:tcMar>
          </w:tcPr>
          <w:p>
            <w:pPr>
              <w:spacing w:after="0" w:line="252"/>
            </w:pPr>
            <w:r>
              <w:t xml:space="preserve">Configurar regras de detecção</w:t>
            </w:r>
          </w:p>
        </w:tc>
        <w:tc>
          <w:tcPr>
            <w:tcW w:type="dxa" w:w="2060"/>
            <w:shd w:fill="FFFFFF" w:val="clear"/>
            <w:tcMar>
              <w:top w:type="dxa" w:w="60"/>
              <w:left w:type="dxa" w:w="110"/>
              <w:bottom w:type="dxa" w:w="60"/>
              <w:right w:type="dxa" w:w="110"/>
            </w:tcMar>
          </w:tcPr>
          <w:p>
            <w:pPr>
              <w:spacing w:after="0" w:line="252"/>
            </w:pPr>
            <w:r>
              <w:t xml:space="preserve">Administrador</w:t>
            </w:r>
          </w:p>
        </w:tc>
        <w:tc>
          <w:tcPr>
            <w:tcW w:type="dxa" w:w="4000"/>
            <w:shd w:fill="FFFFFF" w:val="clear"/>
            <w:tcMar>
              <w:top w:type="dxa" w:w="60"/>
              <w:left w:type="dxa" w:w="110"/>
              <w:bottom w:type="dxa" w:w="60"/>
              <w:right w:type="dxa" w:w="110"/>
            </w:tcMar>
          </w:tcPr>
          <w:p>
            <w:pPr>
              <w:spacing w:after="0" w:line="252"/>
            </w:pPr>
            <w:r>
              <w:t xml:space="preserve">Cria, edita e ativa/desativa regras e seus limiares.</w:t>
            </w:r>
          </w:p>
        </w:tc>
      </w:tr>
      <w:tr>
        <w:tc>
          <w:tcPr>
            <w:tcW w:type="dxa" w:w="800"/>
            <w:shd w:fill="FFFFFF" w:val="clear"/>
            <w:tcMar>
              <w:top w:type="dxa" w:w="60"/>
              <w:left w:type="dxa" w:w="110"/>
              <w:bottom w:type="dxa" w:w="60"/>
              <w:right w:type="dxa" w:w="110"/>
            </w:tcMar>
          </w:tcPr>
          <w:p>
            <w:pPr>
              <w:spacing w:after="0" w:line="252"/>
            </w:pPr>
            <w:r>
              <w:t xml:space="preserve">UC-06</w:t>
            </w:r>
          </w:p>
        </w:tc>
        <w:tc>
          <w:tcPr>
            <w:tcW w:type="dxa" w:w="2500"/>
            <w:shd w:fill="FFFFFF" w:val="clear"/>
            <w:tcMar>
              <w:top w:type="dxa" w:w="60"/>
              <w:left w:type="dxa" w:w="110"/>
              <w:bottom w:type="dxa" w:w="60"/>
              <w:right w:type="dxa" w:w="110"/>
            </w:tcMar>
          </w:tcPr>
          <w:p>
            <w:pPr>
              <w:spacing w:after="0" w:line="252"/>
            </w:pPr>
            <w:r>
              <w:t xml:space="preserve">Realizar verificação KYC</w:t>
            </w:r>
          </w:p>
        </w:tc>
        <w:tc>
          <w:tcPr>
            <w:tcW w:type="dxa" w:w="2060"/>
            <w:shd w:fill="FFFFFF" w:val="clear"/>
            <w:tcMar>
              <w:top w:type="dxa" w:w="60"/>
              <w:left w:type="dxa" w:w="110"/>
              <w:bottom w:type="dxa" w:w="60"/>
              <w:right w:type="dxa" w:w="110"/>
            </w:tcMar>
          </w:tcPr>
          <w:p>
            <w:pPr>
              <w:spacing w:after="0" w:line="252"/>
            </w:pPr>
            <w:r>
              <w:t xml:space="preserve">Cliente</w:t>
            </w:r>
          </w:p>
        </w:tc>
        <w:tc>
          <w:tcPr>
            <w:tcW w:type="dxa" w:w="4000"/>
            <w:shd w:fill="FFFFFF" w:val="clear"/>
            <w:tcMar>
              <w:top w:type="dxa" w:w="60"/>
              <w:left w:type="dxa" w:w="110"/>
              <w:bottom w:type="dxa" w:w="60"/>
              <w:right w:type="dxa" w:w="110"/>
            </w:tcMar>
          </w:tcPr>
          <w:p>
            <w:pPr>
              <w:spacing w:after="0" w:line="252"/>
            </w:pPr>
            <w:r>
              <w:t xml:space="preserve">Valida a identidade do cliente no onboarding via bureau externo.</w:t>
            </w:r>
          </w:p>
        </w:tc>
      </w:tr>
      <w:tr>
        <w:tc>
          <w:tcPr>
            <w:tcW w:type="dxa" w:w="800"/>
            <w:shd w:fill="FFFFFF" w:val="clear"/>
            <w:tcMar>
              <w:top w:type="dxa" w:w="60"/>
              <w:left w:type="dxa" w:w="110"/>
              <w:bottom w:type="dxa" w:w="60"/>
              <w:right w:type="dxa" w:w="110"/>
            </w:tcMar>
          </w:tcPr>
          <w:p>
            <w:pPr>
              <w:spacing w:after="0" w:line="252"/>
            </w:pPr>
            <w:r>
              <w:t xml:space="preserve">UC-07</w:t>
            </w:r>
          </w:p>
        </w:tc>
        <w:tc>
          <w:tcPr>
            <w:tcW w:type="dxa" w:w="2500"/>
            <w:shd w:fill="FFFFFF" w:val="clear"/>
            <w:tcMar>
              <w:top w:type="dxa" w:w="60"/>
              <w:left w:type="dxa" w:w="110"/>
              <w:bottom w:type="dxa" w:w="60"/>
              <w:right w:type="dxa" w:w="110"/>
            </w:tcMar>
          </w:tcPr>
          <w:p>
            <w:pPr>
              <w:spacing w:after="0" w:line="252"/>
            </w:pPr>
            <w:r>
              <w:t xml:space="preserve">Gerar relatórios e indicadores</w:t>
            </w:r>
          </w:p>
        </w:tc>
        <w:tc>
          <w:tcPr>
            <w:tcW w:type="dxa" w:w="2060"/>
            <w:shd w:fill="FFFFFF" w:val="clear"/>
            <w:tcMar>
              <w:top w:type="dxa" w:w="60"/>
              <w:left w:type="dxa" w:w="110"/>
              <w:bottom w:type="dxa" w:w="60"/>
              <w:right w:type="dxa" w:w="110"/>
            </w:tcMar>
          </w:tcPr>
          <w:p>
            <w:pPr>
              <w:spacing w:after="0" w:line="252"/>
            </w:pPr>
            <w:r>
              <w:t xml:space="preserve">Gerente de Risco</w:t>
            </w:r>
          </w:p>
        </w:tc>
        <w:tc>
          <w:tcPr>
            <w:tcW w:type="dxa" w:w="4000"/>
            <w:shd w:fill="FFFFFF" w:val="clear"/>
            <w:tcMar>
              <w:top w:type="dxa" w:w="60"/>
              <w:left w:type="dxa" w:w="110"/>
              <w:bottom w:type="dxa" w:w="60"/>
              <w:right w:type="dxa" w:w="110"/>
            </w:tcMar>
          </w:tcPr>
          <w:p>
            <w:pPr>
              <w:spacing w:after="0" w:line="252"/>
            </w:pPr>
            <w:r>
              <w:t xml:space="preserve">Produz indicadores de fraude, perdas e desempenho do modelo.</w:t>
            </w:r>
          </w:p>
        </w:tc>
      </w:tr>
      <w:tr>
        <w:tc>
          <w:tcPr>
            <w:tcW w:type="dxa" w:w="800"/>
            <w:shd w:fill="FFFFFF" w:val="clear"/>
            <w:tcMar>
              <w:top w:type="dxa" w:w="60"/>
              <w:left w:type="dxa" w:w="110"/>
              <w:bottom w:type="dxa" w:w="60"/>
              <w:right w:type="dxa" w:w="110"/>
            </w:tcMar>
          </w:tcPr>
          <w:p>
            <w:pPr>
              <w:spacing w:after="0" w:line="252"/>
            </w:pPr>
            <w:r>
              <w:t xml:space="preserve">UC-08</w:t>
            </w:r>
          </w:p>
        </w:tc>
        <w:tc>
          <w:tcPr>
            <w:tcW w:type="dxa" w:w="2500"/>
            <w:shd w:fill="FFFFFF" w:val="clear"/>
            <w:tcMar>
              <w:top w:type="dxa" w:w="60"/>
              <w:left w:type="dxa" w:w="110"/>
              <w:bottom w:type="dxa" w:w="60"/>
              <w:right w:type="dxa" w:w="110"/>
            </w:tcMar>
          </w:tcPr>
          <w:p>
            <w:pPr>
              <w:spacing w:after="0" w:line="252"/>
            </w:pPr>
            <w:r>
              <w:t xml:space="preserve">Gerenciar listas de restrição</w:t>
            </w:r>
          </w:p>
        </w:tc>
        <w:tc>
          <w:tcPr>
            <w:tcW w:type="dxa" w:w="2060"/>
            <w:shd w:fill="FFFFFF" w:val="clear"/>
            <w:tcMar>
              <w:top w:type="dxa" w:w="60"/>
              <w:left w:type="dxa" w:w="110"/>
              <w:bottom w:type="dxa" w:w="60"/>
              <w:right w:type="dxa" w:w="110"/>
            </w:tcMar>
          </w:tcPr>
          <w:p>
            <w:pPr>
              <w:spacing w:after="0" w:line="252"/>
            </w:pPr>
            <w:r>
              <w:t xml:space="preserve">Administrador</w:t>
            </w:r>
          </w:p>
        </w:tc>
        <w:tc>
          <w:tcPr>
            <w:tcW w:type="dxa" w:w="4000"/>
            <w:shd w:fill="FFFFFF" w:val="clear"/>
            <w:tcMar>
              <w:top w:type="dxa" w:w="60"/>
              <w:left w:type="dxa" w:w="110"/>
              <w:bottom w:type="dxa" w:w="60"/>
              <w:right w:type="dxa" w:w="110"/>
            </w:tcMar>
          </w:tcPr>
          <w:p>
            <w:pPr>
              <w:spacing w:after="0" w:line="252"/>
            </w:pPr>
            <w:r>
              <w:t xml:space="preserve">Inclui/remove entidades em blocklist e allowlist.</w:t>
            </w:r>
          </w:p>
        </w:tc>
      </w:tr>
      <w:tr>
        <w:tc>
          <w:tcPr>
            <w:tcW w:type="dxa" w:w="800"/>
            <w:shd w:fill="FFFFFF" w:val="clear"/>
            <w:tcMar>
              <w:top w:type="dxa" w:w="60"/>
              <w:left w:type="dxa" w:w="110"/>
              <w:bottom w:type="dxa" w:w="60"/>
              <w:right w:type="dxa" w:w="110"/>
            </w:tcMar>
          </w:tcPr>
          <w:p>
            <w:pPr>
              <w:spacing w:after="0" w:line="252"/>
            </w:pPr>
            <w:r>
              <w:t xml:space="preserve">UC-09</w:t>
            </w:r>
          </w:p>
        </w:tc>
        <w:tc>
          <w:tcPr>
            <w:tcW w:type="dxa" w:w="2500"/>
            <w:shd w:fill="FFFFFF" w:val="clear"/>
            <w:tcMar>
              <w:top w:type="dxa" w:w="60"/>
              <w:left w:type="dxa" w:w="110"/>
              <w:bottom w:type="dxa" w:w="60"/>
              <w:right w:type="dxa" w:w="110"/>
            </w:tcMar>
          </w:tcPr>
          <w:p>
            <w:pPr>
              <w:spacing w:after="0" w:line="252"/>
            </w:pPr>
            <w:r>
              <w:t xml:space="preserve">Notificar cliente</w:t>
            </w:r>
          </w:p>
        </w:tc>
        <w:tc>
          <w:tcPr>
            <w:tcW w:type="dxa" w:w="2060"/>
            <w:shd w:fill="FFFFFF" w:val="clear"/>
            <w:tcMar>
              <w:top w:type="dxa" w:w="60"/>
              <w:left w:type="dxa" w:w="110"/>
              <w:bottom w:type="dxa" w:w="60"/>
              <w:right w:type="dxa" w:w="110"/>
            </w:tcMar>
          </w:tcPr>
          <w:p>
            <w:pPr>
              <w:spacing w:after="0" w:line="252"/>
            </w:pPr>
            <w:r>
              <w:t xml:space="preserve">Sistema / Cliente</w:t>
            </w:r>
          </w:p>
        </w:tc>
        <w:tc>
          <w:tcPr>
            <w:tcW w:type="dxa" w:w="4000"/>
            <w:shd w:fill="FFFFFF" w:val="clear"/>
            <w:tcMar>
              <w:top w:type="dxa" w:w="60"/>
              <w:left w:type="dxa" w:w="110"/>
              <w:bottom w:type="dxa" w:w="60"/>
              <w:right w:type="dxa" w:w="110"/>
            </w:tcMar>
          </w:tcPr>
          <w:p>
            <w:pPr>
              <w:spacing w:after="0" w:line="252"/>
            </w:pPr>
            <w:r>
              <w:t xml:space="preserve">Comunica e solicita confirmação de transação suspeita.</w:t>
            </w:r>
          </w:p>
        </w:tc>
      </w:tr>
      <w:tr>
        <w:tc>
          <w:tcPr>
            <w:tcW w:type="dxa" w:w="800"/>
            <w:shd w:fill="FFFFFF" w:val="clear"/>
            <w:tcMar>
              <w:top w:type="dxa" w:w="60"/>
              <w:left w:type="dxa" w:w="110"/>
              <w:bottom w:type="dxa" w:w="60"/>
              <w:right w:type="dxa" w:w="110"/>
            </w:tcMar>
          </w:tcPr>
          <w:p>
            <w:pPr>
              <w:spacing w:after="0" w:line="252"/>
            </w:pPr>
            <w:r>
              <w:t xml:space="preserve">UC-10</w:t>
            </w:r>
          </w:p>
        </w:tc>
        <w:tc>
          <w:tcPr>
            <w:tcW w:type="dxa" w:w="2500"/>
            <w:shd w:fill="FFFFFF" w:val="clear"/>
            <w:tcMar>
              <w:top w:type="dxa" w:w="60"/>
              <w:left w:type="dxa" w:w="110"/>
              <w:bottom w:type="dxa" w:w="60"/>
              <w:right w:type="dxa" w:w="110"/>
            </w:tcMar>
          </w:tcPr>
          <w:p>
            <w:pPr>
              <w:spacing w:after="0" w:line="252"/>
            </w:pPr>
            <w:r>
              <w:t xml:space="preserve">Registrar feedback da decisão</w:t>
            </w:r>
          </w:p>
        </w:tc>
        <w:tc>
          <w:tcPr>
            <w:tcW w:type="dxa" w:w="2060"/>
            <w:shd w:fill="FFFFFF" w:val="clear"/>
            <w:tcMar>
              <w:top w:type="dxa" w:w="60"/>
              <w:left w:type="dxa" w:w="110"/>
              <w:bottom w:type="dxa" w:w="60"/>
              <w:right w:type="dxa" w:w="110"/>
            </w:tcMar>
          </w:tcPr>
          <w:p>
            <w:pPr>
              <w:spacing w:after="0" w:line="252"/>
            </w:pPr>
            <w:r>
              <w:t xml:space="preserve">Analista de Fraude</w:t>
            </w:r>
          </w:p>
        </w:tc>
        <w:tc>
          <w:tcPr>
            <w:tcW w:type="dxa" w:w="4000"/>
            <w:shd w:fill="FFFFFF" w:val="clear"/>
            <w:tcMar>
              <w:top w:type="dxa" w:w="60"/>
              <w:left w:type="dxa" w:w="110"/>
              <w:bottom w:type="dxa" w:w="60"/>
              <w:right w:type="dxa" w:w="110"/>
            </w:tcMar>
          </w:tcPr>
          <w:p>
            <w:pPr>
              <w:spacing w:after="0" w:line="252"/>
            </w:pPr>
            <w:r>
              <w:t xml:space="preserve">Persiste o desfecho da análise para reaprendizagem do modelo.</w:t>
            </w:r>
          </w:p>
        </w:tc>
      </w:tr>
    </w:tbl>
    <w:p>
      <w:pPr>
        <w:pStyle w:val="Heading3"/>
      </w:pPr>
      <w:r>
        <w:t xml:space="preserve">2.2.2. Caso de Uso detalhado — UC-01 Avaliar risco da transação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460"/>
      </w:tblGrid>
      <w:tr>
        <w:trPr>
          <w:tblHeader/>
        </w:trPr>
        <w:tc>
          <w:tcPr>
            <w:tcW w:type="dxa" w:w="1900"/>
            <w:shd w:fill="1F4E79" w:val="clear"/>
            <w:tcMar>
              <w:top w:type="dxa" w:w="60"/>
              <w:left w:type="dxa" w:w="110"/>
              <w:bottom w:type="dxa" w:w="60"/>
              <w:right w:type="dxa" w:w="110"/>
            </w:tcMar>
          </w:tcPr>
          <w:p>
            <w:pPr>
              <w:spacing w:after="0" w:line="252"/>
            </w:pPr>
            <w:r>
              <w:rPr>
                <w:b/>
                <w:bCs/>
                <w:color w:val="FFFFFF"/>
                <w:sz w:val="19"/>
                <w:szCs w:val="19"/>
              </w:rPr>
              <w:t xml:space="preserve">Campo</w:t>
            </w:r>
          </w:p>
        </w:tc>
        <w:tc>
          <w:tcPr>
            <w:tcW w:type="dxa" w:w="7460"/>
            <w:shd w:fill="1F4E79" w:val="clear"/>
            <w:tcMar>
              <w:top w:type="dxa" w:w="60"/>
              <w:left w:type="dxa" w:w="110"/>
              <w:bottom w:type="dxa" w:w="60"/>
              <w:right w:type="dxa" w:w="110"/>
            </w:tcMar>
          </w:tcPr>
          <w:p>
            <w:pPr>
              <w:spacing w:after="0" w:line="252"/>
            </w:pPr>
            <w:r>
              <w:rPr>
                <w:b/>
                <w:bCs/>
                <w:color w:val="FFFFFF"/>
                <w:sz w:val="19"/>
                <w:szCs w:val="19"/>
              </w:rPr>
              <w:t xml:space="preserve">Conteúdo</w:t>
            </w:r>
          </w:p>
        </w:tc>
      </w:tr>
      <w:tr>
        <w:tc>
          <w:tcPr>
            <w:tcW w:type="dxa" w:w="1900"/>
            <w:shd w:fill="FFFFFF" w:val="clear"/>
            <w:tcMar>
              <w:top w:type="dxa" w:w="60"/>
              <w:left w:type="dxa" w:w="110"/>
              <w:bottom w:type="dxa" w:w="60"/>
              <w:right w:type="dxa" w:w="110"/>
            </w:tcMar>
          </w:tcPr>
          <w:p>
            <w:pPr>
              <w:spacing w:after="0" w:line="252"/>
            </w:pPr>
            <w:r>
              <w:t xml:space="preserve">Identificador</w:t>
            </w:r>
          </w:p>
        </w:tc>
        <w:tc>
          <w:tcPr>
            <w:tcW w:type="dxa" w:w="7460"/>
            <w:shd w:fill="FFFFFF" w:val="clear"/>
            <w:tcMar>
              <w:top w:type="dxa" w:w="60"/>
              <w:left w:type="dxa" w:w="110"/>
              <w:bottom w:type="dxa" w:w="60"/>
              <w:right w:type="dxa" w:w="110"/>
            </w:tcMar>
          </w:tcPr>
          <w:p>
            <w:pPr>
              <w:spacing w:after="0" w:line="252"/>
            </w:pPr>
            <w:r>
              <w:t xml:space="preserve">UC-01</w:t>
            </w:r>
          </w:p>
        </w:tc>
      </w:tr>
      <w:tr>
        <w:tc>
          <w:tcPr>
            <w:tcW w:type="dxa" w:w="1900"/>
            <w:shd w:fill="FFFFFF" w:val="clear"/>
            <w:tcMar>
              <w:top w:type="dxa" w:w="60"/>
              <w:left w:type="dxa" w:w="110"/>
              <w:bottom w:type="dxa" w:w="60"/>
              <w:right w:type="dxa" w:w="110"/>
            </w:tcMar>
          </w:tcPr>
          <w:p>
            <w:pPr>
              <w:spacing w:after="0" w:line="252"/>
            </w:pPr>
            <w:r>
              <w:t xml:space="preserve">Ator principal</w:t>
            </w:r>
          </w:p>
        </w:tc>
        <w:tc>
          <w:tcPr>
            <w:tcW w:type="dxa" w:w="7460"/>
            <w:shd w:fill="FFFFFF" w:val="clear"/>
            <w:tcMar>
              <w:top w:type="dxa" w:w="60"/>
              <w:left w:type="dxa" w:w="110"/>
              <w:bottom w:type="dxa" w:w="60"/>
              <w:right w:type="dxa" w:w="110"/>
            </w:tcMar>
          </w:tcPr>
          <w:p>
            <w:pPr>
              <w:spacing w:after="0" w:line="252"/>
            </w:pPr>
            <w:r>
              <w:t xml:space="preserve">Gateway de Pagamentos</w:t>
            </w:r>
          </w:p>
        </w:tc>
      </w:tr>
      <w:tr>
        <w:tc>
          <w:tcPr>
            <w:tcW w:type="dxa" w:w="1900"/>
            <w:shd w:fill="FFFFFF" w:val="clear"/>
            <w:tcMar>
              <w:top w:type="dxa" w:w="60"/>
              <w:left w:type="dxa" w:w="110"/>
              <w:bottom w:type="dxa" w:w="60"/>
              <w:right w:type="dxa" w:w="110"/>
            </w:tcMar>
          </w:tcPr>
          <w:p>
            <w:pPr>
              <w:spacing w:after="0" w:line="252"/>
            </w:pPr>
            <w:r>
              <w:t xml:space="preserve">Atores de apoio</w:t>
            </w:r>
          </w:p>
        </w:tc>
        <w:tc>
          <w:tcPr>
            <w:tcW w:type="dxa" w:w="7460"/>
            <w:shd w:fill="FFFFFF" w:val="clear"/>
            <w:tcMar>
              <w:top w:type="dxa" w:w="60"/>
              <w:left w:type="dxa" w:w="110"/>
              <w:bottom w:type="dxa" w:w="60"/>
              <w:right w:type="dxa" w:w="110"/>
            </w:tcMar>
          </w:tcPr>
          <w:p>
            <w:pPr>
              <w:spacing w:after="0" w:line="252"/>
            </w:pPr>
            <w:r>
              <w:t xml:space="preserve">Serviço de Scoring (ML)</w:t>
            </w:r>
          </w:p>
        </w:tc>
      </w:tr>
      <w:tr>
        <w:tc>
          <w:tcPr>
            <w:tcW w:type="dxa" w:w="1900"/>
            <w:shd w:fill="FFFFFF" w:val="clear"/>
            <w:tcMar>
              <w:top w:type="dxa" w:w="60"/>
              <w:left w:type="dxa" w:w="110"/>
              <w:bottom w:type="dxa" w:w="60"/>
              <w:right w:type="dxa" w:w="110"/>
            </w:tcMar>
          </w:tcPr>
          <w:p>
            <w:pPr>
              <w:spacing w:after="0" w:line="252"/>
            </w:pPr>
            <w:r>
              <w:t xml:space="preserve">Pré-condições</w:t>
            </w:r>
          </w:p>
        </w:tc>
        <w:tc>
          <w:tcPr>
            <w:tcW w:type="dxa" w:w="7460"/>
            <w:shd w:fill="FFFFFF" w:val="clear"/>
            <w:tcMar>
              <w:top w:type="dxa" w:w="60"/>
              <w:left w:type="dxa" w:w="110"/>
              <w:bottom w:type="dxa" w:w="60"/>
              <w:right w:type="dxa" w:w="110"/>
            </w:tcMar>
          </w:tcPr>
          <w:p>
            <w:pPr>
              <w:spacing w:after="0" w:line="252"/>
            </w:pPr>
            <w:r>
              <w:t xml:space="preserve">A transação contém os dados mínimos (origem, destino, valor, dispositivo) e o cliente está autenticado no canal de origem.</w:t>
            </w:r>
          </w:p>
        </w:tc>
      </w:tr>
      <w:tr>
        <w:tc>
          <w:tcPr>
            <w:tcW w:type="dxa" w:w="1900"/>
            <w:shd w:fill="FFFFFF" w:val="clear"/>
            <w:tcMar>
              <w:top w:type="dxa" w:w="60"/>
              <w:left w:type="dxa" w:w="110"/>
              <w:bottom w:type="dxa" w:w="60"/>
              <w:right w:type="dxa" w:w="110"/>
            </w:tcMar>
          </w:tcPr>
          <w:p>
            <w:pPr>
              <w:spacing w:after="0" w:line="252"/>
            </w:pPr>
            <w:r>
              <w:t xml:space="preserve">Fluxo principal</w:t>
            </w:r>
          </w:p>
        </w:tc>
        <w:tc>
          <w:tcPr>
            <w:tcW w:type="dxa" w:w="7460"/>
            <w:shd w:fill="FFFFFF" w:val="clear"/>
            <w:tcMar>
              <w:top w:type="dxa" w:w="60"/>
              <w:left w:type="dxa" w:w="110"/>
              <w:bottom w:type="dxa" w:w="60"/>
              <w:right w:type="dxa" w:w="110"/>
            </w:tcMar>
          </w:tcPr>
          <w:p>
            <w:pPr>
              <w:spacing w:after="0" w:line="252"/>
            </w:pPr>
            <w:r>
              <w:t xml:space="preserve">1. O Gateway envia o evento de transação ao SARA.</w:t>
            </w:r>
          </w:p>
          <w:p>
            <w:pPr>
              <w:spacing w:after="0" w:line="252"/>
            </w:pPr>
            <w:r>
              <w:t xml:space="preserve">2. O sistema enriquece a transação com histórico e atributos do cliente.</w:t>
            </w:r>
          </w:p>
          <w:p>
            <w:pPr>
              <w:spacing w:after="0" w:line="252"/>
            </w:pPr>
            <w:r>
              <w:t xml:space="preserve">3. O sistema aplica o motor de regras.</w:t>
            </w:r>
          </w:p>
          <w:p>
            <w:pPr>
              <w:spacing w:after="0" w:line="252"/>
            </w:pPr>
            <w:r>
              <w:t xml:space="preserve">4. O sistema solicita o score ao serviço de ML.</w:t>
            </w:r>
          </w:p>
          <w:p>
            <w:pPr>
              <w:spacing w:after="0" w:line="252"/>
            </w:pPr>
            <w:r>
              <w:t xml:space="preserve">5. O sistema combina regras e score em uma decisão.</w:t>
            </w:r>
          </w:p>
          <w:p>
            <w:pPr>
              <w:spacing w:after="0" w:line="252"/>
            </w:pPr>
            <w:r>
              <w:t xml:space="preserve">6. O sistema retorna a decisão (APROVAR/NEGAR/REVISAR) ao Gateway.</w:t>
            </w:r>
          </w:p>
          <w:p>
            <w:pPr>
              <w:spacing w:after="0" w:line="252"/>
            </w:pPr>
            <w:r>
              <w:t xml:space="preserve">7. O sistema registra a avaliação para auditoria.</w:t>
            </w:r>
          </w:p>
        </w:tc>
      </w:tr>
      <w:tr>
        <w:tc>
          <w:tcPr>
            <w:tcW w:type="dxa" w:w="1900"/>
            <w:shd w:fill="FFFFFF" w:val="clear"/>
            <w:tcMar>
              <w:top w:type="dxa" w:w="60"/>
              <w:left w:type="dxa" w:w="110"/>
              <w:bottom w:type="dxa" w:w="60"/>
              <w:right w:type="dxa" w:w="110"/>
            </w:tcMar>
          </w:tcPr>
          <w:p>
            <w:pPr>
              <w:spacing w:after="0" w:line="252"/>
            </w:pPr>
            <w:r>
              <w:t xml:space="preserve">Fluxos alternativos</w:t>
            </w:r>
          </w:p>
        </w:tc>
        <w:tc>
          <w:tcPr>
            <w:tcW w:type="dxa" w:w="7460"/>
            <w:shd w:fill="FFFFFF" w:val="clear"/>
            <w:tcMar>
              <w:top w:type="dxa" w:w="60"/>
              <w:left w:type="dxa" w:w="110"/>
              <w:bottom w:type="dxa" w:w="60"/>
              <w:right w:type="dxa" w:w="110"/>
            </w:tcMar>
          </w:tcPr>
          <w:p>
            <w:pPr>
              <w:spacing w:after="0" w:line="252"/>
            </w:pPr>
            <w:r>
              <w:t xml:space="preserve">4a. Serviço de ML indisponível: o sistema decide apenas pelas regras e marca a avaliação como degradada.</w:t>
            </w:r>
          </w:p>
          <w:p>
            <w:pPr>
              <w:spacing w:after="0" w:line="252"/>
            </w:pPr>
            <w:r>
              <w:t xml:space="preserve">5a. Score acima do limiar: estende para UC-02 (gerar alerta) e UC-09 (notificar cliente).</w:t>
            </w:r>
          </w:p>
        </w:tc>
      </w:tr>
      <w:tr>
        <w:tc>
          <w:tcPr>
            <w:tcW w:type="dxa" w:w="1900"/>
            <w:shd w:fill="FFFFFF" w:val="clear"/>
            <w:tcMar>
              <w:top w:type="dxa" w:w="60"/>
              <w:left w:type="dxa" w:w="110"/>
              <w:bottom w:type="dxa" w:w="60"/>
              <w:right w:type="dxa" w:w="110"/>
            </w:tcMar>
          </w:tcPr>
          <w:p>
            <w:pPr>
              <w:spacing w:after="0" w:line="252"/>
            </w:pPr>
            <w:r>
              <w:t xml:space="preserve">Pós-condições</w:t>
            </w:r>
          </w:p>
        </w:tc>
        <w:tc>
          <w:tcPr>
            <w:tcW w:type="dxa" w:w="7460"/>
            <w:shd w:fill="FFFFFF" w:val="clear"/>
            <w:tcMar>
              <w:top w:type="dxa" w:w="60"/>
              <w:left w:type="dxa" w:w="110"/>
              <w:bottom w:type="dxa" w:w="60"/>
              <w:right w:type="dxa" w:w="110"/>
            </w:tcMar>
          </w:tcPr>
          <w:p>
            <w:pPr>
              <w:spacing w:after="0" w:line="252"/>
            </w:pPr>
            <w:r>
              <w:t xml:space="preserve">A decisão é retornada e a avaliação fica registrada; se aplicável, um alerta é criado.</w:t>
            </w:r>
          </w:p>
        </w:tc>
      </w:tr>
    </w:tbl>
    <w:p>
      <w:pPr>
        <w:pStyle w:val="Heading2"/>
      </w:pPr>
      <w:r>
        <w:t xml:space="preserve">2.3. Diagrama de Sequência do Sistema</w:t>
      </w:r>
    </w:p>
    <w:p>
      <w:pPr>
        <w:spacing w:after="160" w:line="276"/>
        <w:jc w:val="both"/>
      </w:pPr>
      <w:r>
        <w:t xml:space="preserve">Nesta subseção é apresentado o diagrama de sequência do sistema (SSD) de três casos de uso descritos na Seção 2.2. Os SSDs mostram a interação entre os atores e o sistema tratado como uma caixa-preta, evidenciando as operações de sistema.</w:t>
      </w:r>
    </w:p>
    <w:p>
      <w:pPr>
        <w:pStyle w:val="Heading3"/>
      </w:pPr>
      <w:r>
        <w:t xml:space="preserve">2.3.1. SSD — UC-01 Avaliar risco da transação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@startuml SSD-UC01</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actor "Gateway" as GTW</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participant ":SARA" as 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participant ":Scoring(ML)" as ML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GTW -&gt; S : avaliarRisco(transacao)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activate 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 -&gt; S : enriquecerTransacao()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 -&gt; ML : calcularScore(features)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ML --&gt; S : score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 --&gt; GTW : decisao(APROVAR | NEGAR | REVISAR)</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deactivate 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@enduml</w:t>
      </w:r>
    </w:p>
    <w:p>
      <w:pPr>
        <w:spacing w:after="200" w:before="80"/>
        <w:jc w:val="center"/>
      </w:pPr>
      <w:r>
        <w:rPr>
          <w:i/>
          <w:iCs/>
          <w:color w:val="595959"/>
          <w:sz w:val="18"/>
          <w:szCs w:val="18"/>
        </w:rPr>
        <w:t xml:space="preserve">Figura 2 — SSD do UC-01.</w:t>
      </w:r>
    </w:p>
    <w:p>
      <w:pPr>
        <w:pStyle w:val="Heading3"/>
      </w:pPr>
      <w:r>
        <w:t xml:space="preserve">2.3.2. SSD — UC-03 Revisar caso de fraude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@startuml SSD-UC03</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actor "Analista" as ANA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participant ":SARA" as 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ANA -&gt; S : abrirCaso(casoId)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activate 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 --&gt; ANA : detalhesCaso(alertas, transacoes)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deactivate 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ANA -&gt; S : registrarDecisao(casoId, decisao, justificativa)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activate 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 --&gt; ANA : confirmacao(casoId, status)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deactivate 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@enduml</w:t>
      </w:r>
    </w:p>
    <w:p>
      <w:pPr>
        <w:spacing w:after="200" w:before="80"/>
        <w:jc w:val="center"/>
      </w:pPr>
      <w:r>
        <w:rPr>
          <w:i/>
          <w:iCs/>
          <w:color w:val="595959"/>
          <w:sz w:val="18"/>
          <w:szCs w:val="18"/>
        </w:rPr>
        <w:t xml:space="preserve">Figura 3 — SSD do UC-03.</w:t>
      </w:r>
    </w:p>
    <w:p>
      <w:pPr>
        <w:pStyle w:val="Heading3"/>
      </w:pPr>
      <w:r>
        <w:t xml:space="preserve">2.3.3. SSD — UC-06 Realizar verificação KYC</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@startuml SSD-UC06</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actor "Cliente" as CLI</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participant ":SARA" as 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participant ":Bureau/KYC" as KYC</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CLI -&gt; S : solicitarVerificacao(dados, documentos)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activate 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 -&gt; KYC : verificarIdentidade(dados, documentos)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KYC --&gt; S : resultadoKYC(status, score)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 --&gt; CLI : resultadoOnboarding(APROVADO | PENDENTE | NEGADO)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deactivate 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@enduml</w:t>
      </w:r>
    </w:p>
    <w:p>
      <w:pPr>
        <w:spacing w:after="200" w:before="80"/>
        <w:jc w:val="center"/>
      </w:pPr>
      <w:r>
        <w:rPr>
          <w:i/>
          <w:iCs/>
          <w:color w:val="595959"/>
          <w:sz w:val="18"/>
          <w:szCs w:val="18"/>
        </w:rPr>
        <w:t xml:space="preserve">Figura 4 — SSD do UC-06.</w:t>
      </w:r>
    </w:p>
    <w:p>
      <w:pPr>
        <w:pStyle w:val="Heading3"/>
      </w:pPr>
      <w:r>
        <w:t xml:space="preserve">2.3.4. Contratos de Operação</w:t>
      </w:r>
    </w:p>
    <w:p>
      <w:pPr>
        <w:spacing w:after="160" w:line="276"/>
        <w:jc w:val="both"/>
      </w:pPr>
      <w:r>
        <w:t xml:space="preserve">Para cada operação de sistema identificada nos SSDs é apresentado um contrato no formato Contrato / Operação / Referências cruzadas / Pré-condições / Pós-condições.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60"/>
      </w:tblGrid>
      <w:tr>
        <w:trPr>
          <w:tblHeader/>
        </w:trPr>
        <w:tc>
          <w:tcPr>
            <w:tcW w:type="dxa" w:w="2200"/>
            <w:shd w:fill="1F4E79" w:val="clear"/>
            <w:tcMar>
              <w:top w:type="dxa" w:w="60"/>
              <w:left w:type="dxa" w:w="110"/>
              <w:bottom w:type="dxa" w:w="60"/>
              <w:right w:type="dxa" w:w="110"/>
            </w:tcMar>
          </w:tcPr>
          <w:p>
            <w:pPr>
              <w:spacing w:after="0" w:line="252"/>
            </w:pPr>
            <w:r>
              <w:rPr>
                <w:b/>
                <w:bCs/>
                <w:color w:val="FFFFFF"/>
                <w:sz w:val="19"/>
                <w:szCs w:val="19"/>
              </w:rPr>
              <w:t xml:space="preserve">Contrato</w:t>
            </w:r>
          </w:p>
        </w:tc>
        <w:tc>
          <w:tcPr>
            <w:tcW w:type="dxa" w:w="7160"/>
            <w:shd w:fill="1F4E79" w:val="clear"/>
            <w:tcMar>
              <w:top w:type="dxa" w:w="60"/>
              <w:left w:type="dxa" w:w="110"/>
              <w:bottom w:type="dxa" w:w="60"/>
              <w:right w:type="dxa" w:w="110"/>
            </w:tcMar>
          </w:tcPr>
          <w:p>
            <w:pPr>
              <w:spacing w:after="0" w:line="252"/>
            </w:pPr>
            <w:r>
              <w:rPr>
                <w:b/>
                <w:bCs/>
                <w:color w:val="FFFFFF"/>
                <w:sz w:val="19"/>
                <w:szCs w:val="19"/>
              </w:rPr>
              <w:t xml:space="preserve">CO-01 avaliarRisco</w:t>
            </w:r>
          </w:p>
        </w:tc>
      </w:tr>
      <w:tr>
        <w:tc>
          <w:tcPr>
            <w:tcW w:type="dxa" w:w="2200"/>
            <w:shd w:fill="FFFFFF" w:val="clear"/>
            <w:tcMar>
              <w:top w:type="dxa" w:w="60"/>
              <w:left w:type="dxa" w:w="110"/>
              <w:bottom w:type="dxa" w:w="60"/>
              <w:right w:type="dxa" w:w="110"/>
            </w:tcMar>
          </w:tcPr>
          <w:p>
            <w:pPr>
              <w:spacing w:after="0" w:line="252"/>
            </w:pPr>
            <w:r>
              <w:t xml:space="preserve">Operação</w:t>
            </w:r>
          </w:p>
        </w:tc>
        <w:tc>
          <w:tcPr>
            <w:tcW w:type="dxa" w:w="7160"/>
            <w:shd w:fill="FFFFFF" w:val="clear"/>
            <w:tcMar>
              <w:top w:type="dxa" w:w="60"/>
              <w:left w:type="dxa" w:w="110"/>
              <w:bottom w:type="dxa" w:w="60"/>
              <w:right w:type="dxa" w:w="110"/>
            </w:tcMar>
          </w:tcPr>
          <w:p>
            <w:pPr>
              <w:spacing w:after="0" w:line="252"/>
            </w:pPr>
            <w:r>
              <w:t xml:space="preserve">avaliarRisco(transacao: Transacao): Decisao</w:t>
            </w:r>
          </w:p>
        </w:tc>
      </w:tr>
      <w:tr>
        <w:tc>
          <w:tcPr>
            <w:tcW w:type="dxa" w:w="2200"/>
            <w:shd w:fill="FFFFFF" w:val="clear"/>
            <w:tcMar>
              <w:top w:type="dxa" w:w="60"/>
              <w:left w:type="dxa" w:w="110"/>
              <w:bottom w:type="dxa" w:w="60"/>
              <w:right w:type="dxa" w:w="110"/>
            </w:tcMar>
          </w:tcPr>
          <w:p>
            <w:pPr>
              <w:spacing w:after="0" w:line="252"/>
            </w:pPr>
            <w:r>
              <w:t xml:space="preserve">Referências cruzadas</w:t>
            </w:r>
          </w:p>
        </w:tc>
        <w:tc>
          <w:tcPr>
            <w:tcW w:type="dxa" w:w="7160"/>
            <w:shd w:fill="FFFFFF" w:val="clear"/>
            <w:tcMar>
              <w:top w:type="dxa" w:w="60"/>
              <w:left w:type="dxa" w:w="110"/>
              <w:bottom w:type="dxa" w:w="60"/>
              <w:right w:type="dxa" w:w="110"/>
            </w:tcMar>
          </w:tcPr>
          <w:p>
            <w:pPr>
              <w:spacing w:after="0" w:line="252"/>
            </w:pPr>
            <w:r>
              <w:t xml:space="preserve">UC-01</w:t>
            </w:r>
          </w:p>
        </w:tc>
      </w:tr>
      <w:tr>
        <w:tc>
          <w:tcPr>
            <w:tcW w:type="dxa" w:w="2200"/>
            <w:shd w:fill="FFFFFF" w:val="clear"/>
            <w:tcMar>
              <w:top w:type="dxa" w:w="60"/>
              <w:left w:type="dxa" w:w="110"/>
              <w:bottom w:type="dxa" w:w="60"/>
              <w:right w:type="dxa" w:w="110"/>
            </w:tcMar>
          </w:tcPr>
          <w:p>
            <w:pPr>
              <w:spacing w:after="0" w:line="252"/>
            </w:pPr>
            <w:r>
              <w:t xml:space="preserve">Pré-condições</w:t>
            </w:r>
          </w:p>
        </w:tc>
        <w:tc>
          <w:tcPr>
            <w:tcW w:type="dxa" w:w="7160"/>
            <w:shd w:fill="FFFFFF" w:val="clear"/>
            <w:tcMar>
              <w:top w:type="dxa" w:w="60"/>
              <w:left w:type="dxa" w:w="110"/>
              <w:bottom w:type="dxa" w:w="60"/>
              <w:right w:type="dxa" w:w="110"/>
            </w:tcMar>
          </w:tcPr>
          <w:p>
            <w:pPr>
              <w:spacing w:after="0" w:line="252"/>
            </w:pPr>
            <w:r>
              <w:t xml:space="preserve">A transação contém dados obrigatórios válidos.</w:t>
            </w:r>
          </w:p>
          <w:p>
            <w:pPr>
              <w:spacing w:after="0" w:line="252"/>
            </w:pPr>
            <w:r>
              <w:t xml:space="preserve">O cliente associado existe no sistema.</w:t>
            </w:r>
          </w:p>
        </w:tc>
      </w:tr>
      <w:tr>
        <w:tc>
          <w:tcPr>
            <w:tcW w:type="dxa" w:w="2200"/>
            <w:shd w:fill="FFFFFF" w:val="clear"/>
            <w:tcMar>
              <w:top w:type="dxa" w:w="60"/>
              <w:left w:type="dxa" w:w="110"/>
              <w:bottom w:type="dxa" w:w="60"/>
              <w:right w:type="dxa" w:w="110"/>
            </w:tcMar>
          </w:tcPr>
          <w:p>
            <w:pPr>
              <w:spacing w:after="0" w:line="252"/>
            </w:pPr>
            <w:r>
              <w:t xml:space="preserve">Pós-condições</w:t>
            </w:r>
          </w:p>
        </w:tc>
        <w:tc>
          <w:tcPr>
            <w:tcW w:type="dxa" w:w="7160"/>
            <w:shd w:fill="FFFFFF" w:val="clear"/>
            <w:tcMar>
              <w:top w:type="dxa" w:w="60"/>
              <w:left w:type="dxa" w:w="110"/>
              <w:bottom w:type="dxa" w:w="60"/>
              <w:right w:type="dxa" w:w="110"/>
            </w:tcMar>
          </w:tcPr>
          <w:p>
            <w:pPr>
              <w:spacing w:after="0" w:line="252"/>
            </w:pPr>
            <w:r>
              <w:t xml:space="preserve">Uma instância de Avaliacao foi criada e associada à transação.</w:t>
            </w:r>
          </w:p>
          <w:p>
            <w:pPr>
              <w:spacing w:after="0" w:line="252"/>
            </w:pPr>
            <w:r>
              <w:t xml:space="preserve">Um ScoreRisco foi calculado e registrado.</w:t>
            </w:r>
          </w:p>
          <w:p>
            <w:pPr>
              <w:spacing w:after="0" w:line="252"/>
            </w:pPr>
            <w:r>
              <w:t xml:space="preserve">Se o score ultrapassou o limiar, um Alerta foi criado (UC-02).</w:t>
            </w:r>
          </w:p>
          <w:p>
            <w:pPr>
              <w:spacing w:after="0" w:line="252"/>
            </w:pPr>
            <w:r>
              <w:t xml:space="preserve">A Decisao (APROVAR/NEGAR/REVISAR) foi retornada ao Gateway.</w:t>
            </w:r>
          </w:p>
        </w:tc>
      </w:tr>
    </w:tbl>
    <w:p>
      <w:pPr>
        <w:spacing w:after="8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60"/>
      </w:tblGrid>
      <w:tr>
        <w:trPr>
          <w:tblHeader/>
        </w:trPr>
        <w:tc>
          <w:tcPr>
            <w:tcW w:type="dxa" w:w="2200"/>
            <w:shd w:fill="1F4E79" w:val="clear"/>
            <w:tcMar>
              <w:top w:type="dxa" w:w="60"/>
              <w:left w:type="dxa" w:w="110"/>
              <w:bottom w:type="dxa" w:w="60"/>
              <w:right w:type="dxa" w:w="110"/>
            </w:tcMar>
          </w:tcPr>
          <w:p>
            <w:pPr>
              <w:spacing w:after="0" w:line="252"/>
            </w:pPr>
            <w:r>
              <w:rPr>
                <w:b/>
                <w:bCs/>
                <w:color w:val="FFFFFF"/>
                <w:sz w:val="19"/>
                <w:szCs w:val="19"/>
              </w:rPr>
              <w:t xml:space="preserve">Contrato</w:t>
            </w:r>
          </w:p>
        </w:tc>
        <w:tc>
          <w:tcPr>
            <w:tcW w:type="dxa" w:w="7160"/>
            <w:shd w:fill="1F4E79" w:val="clear"/>
            <w:tcMar>
              <w:top w:type="dxa" w:w="60"/>
              <w:left w:type="dxa" w:w="110"/>
              <w:bottom w:type="dxa" w:w="60"/>
              <w:right w:type="dxa" w:w="110"/>
            </w:tcMar>
          </w:tcPr>
          <w:p>
            <w:pPr>
              <w:spacing w:after="0" w:line="252"/>
            </w:pPr>
            <w:r>
              <w:rPr>
                <w:b/>
                <w:bCs/>
                <w:color w:val="FFFFFF"/>
                <w:sz w:val="19"/>
                <w:szCs w:val="19"/>
              </w:rPr>
              <w:t xml:space="preserve">CO-02 registrarDecisao</w:t>
            </w:r>
          </w:p>
        </w:tc>
      </w:tr>
      <w:tr>
        <w:tc>
          <w:tcPr>
            <w:tcW w:type="dxa" w:w="2200"/>
            <w:shd w:fill="FFFFFF" w:val="clear"/>
            <w:tcMar>
              <w:top w:type="dxa" w:w="60"/>
              <w:left w:type="dxa" w:w="110"/>
              <w:bottom w:type="dxa" w:w="60"/>
              <w:right w:type="dxa" w:w="110"/>
            </w:tcMar>
          </w:tcPr>
          <w:p>
            <w:pPr>
              <w:spacing w:after="0" w:line="252"/>
            </w:pPr>
            <w:r>
              <w:t xml:space="preserve">Operação</w:t>
            </w:r>
          </w:p>
        </w:tc>
        <w:tc>
          <w:tcPr>
            <w:tcW w:type="dxa" w:w="7160"/>
            <w:shd w:fill="FFFFFF" w:val="clear"/>
            <w:tcMar>
              <w:top w:type="dxa" w:w="60"/>
              <w:left w:type="dxa" w:w="110"/>
              <w:bottom w:type="dxa" w:w="60"/>
              <w:right w:type="dxa" w:w="110"/>
            </w:tcMar>
          </w:tcPr>
          <w:p>
            <w:pPr>
              <w:spacing w:after="0" w:line="252"/>
            </w:pPr>
            <w:r>
              <w:t xml:space="preserve">registrarDecisao(casoId, decisao: Decisao, justificativa: String)</w:t>
            </w:r>
          </w:p>
        </w:tc>
      </w:tr>
      <w:tr>
        <w:tc>
          <w:tcPr>
            <w:tcW w:type="dxa" w:w="2200"/>
            <w:shd w:fill="FFFFFF" w:val="clear"/>
            <w:tcMar>
              <w:top w:type="dxa" w:w="60"/>
              <w:left w:type="dxa" w:w="110"/>
              <w:bottom w:type="dxa" w:w="60"/>
              <w:right w:type="dxa" w:w="110"/>
            </w:tcMar>
          </w:tcPr>
          <w:p>
            <w:pPr>
              <w:spacing w:after="0" w:line="252"/>
            </w:pPr>
            <w:r>
              <w:t xml:space="preserve">Referências cruzadas</w:t>
            </w:r>
          </w:p>
        </w:tc>
        <w:tc>
          <w:tcPr>
            <w:tcW w:type="dxa" w:w="7160"/>
            <w:shd w:fill="FFFFFF" w:val="clear"/>
            <w:tcMar>
              <w:top w:type="dxa" w:w="60"/>
              <w:left w:type="dxa" w:w="110"/>
              <w:bottom w:type="dxa" w:w="60"/>
              <w:right w:type="dxa" w:w="110"/>
            </w:tcMar>
          </w:tcPr>
          <w:p>
            <w:pPr>
              <w:spacing w:after="0" w:line="252"/>
            </w:pPr>
            <w:r>
              <w:t xml:space="preserve">UC-03, UC-04, UC-10</w:t>
            </w:r>
          </w:p>
        </w:tc>
      </w:tr>
      <w:tr>
        <w:tc>
          <w:tcPr>
            <w:tcW w:type="dxa" w:w="2200"/>
            <w:shd w:fill="FFFFFF" w:val="clear"/>
            <w:tcMar>
              <w:top w:type="dxa" w:w="60"/>
              <w:left w:type="dxa" w:w="110"/>
              <w:bottom w:type="dxa" w:w="60"/>
              <w:right w:type="dxa" w:w="110"/>
            </w:tcMar>
          </w:tcPr>
          <w:p>
            <w:pPr>
              <w:spacing w:after="0" w:line="252"/>
            </w:pPr>
            <w:r>
              <w:t xml:space="preserve">Pré-condições</w:t>
            </w:r>
          </w:p>
        </w:tc>
        <w:tc>
          <w:tcPr>
            <w:tcW w:type="dxa" w:w="7160"/>
            <w:shd w:fill="FFFFFF" w:val="clear"/>
            <w:tcMar>
              <w:top w:type="dxa" w:w="60"/>
              <w:left w:type="dxa" w:w="110"/>
              <w:bottom w:type="dxa" w:w="60"/>
              <w:right w:type="dxa" w:w="110"/>
            </w:tcMar>
          </w:tcPr>
          <w:p>
            <w:pPr>
              <w:spacing w:after="0" w:line="252"/>
            </w:pPr>
            <w:r>
              <w:t xml:space="preserve">O caso identificado por casoId existe e está EM_ANALISE.</w:t>
            </w:r>
          </w:p>
          <w:p>
            <w:pPr>
              <w:spacing w:after="0" w:line="252"/>
            </w:pPr>
            <w:r>
              <w:t xml:space="preserve">O analista possui permissão para decidir.</w:t>
            </w:r>
          </w:p>
        </w:tc>
      </w:tr>
      <w:tr>
        <w:tc>
          <w:tcPr>
            <w:tcW w:type="dxa" w:w="2200"/>
            <w:shd w:fill="FFFFFF" w:val="clear"/>
            <w:tcMar>
              <w:top w:type="dxa" w:w="60"/>
              <w:left w:type="dxa" w:w="110"/>
              <w:bottom w:type="dxa" w:w="60"/>
              <w:right w:type="dxa" w:w="110"/>
            </w:tcMar>
          </w:tcPr>
          <w:p>
            <w:pPr>
              <w:spacing w:after="0" w:line="252"/>
            </w:pPr>
            <w:r>
              <w:t xml:space="preserve">Pós-condições</w:t>
            </w:r>
          </w:p>
        </w:tc>
        <w:tc>
          <w:tcPr>
            <w:tcW w:type="dxa" w:w="7160"/>
            <w:shd w:fill="FFFFFF" w:val="clear"/>
            <w:tcMar>
              <w:top w:type="dxa" w:w="60"/>
              <w:left w:type="dxa" w:w="110"/>
              <w:bottom w:type="dxa" w:w="60"/>
              <w:right w:type="dxa" w:w="110"/>
            </w:tcMar>
          </w:tcPr>
          <w:p>
            <w:pPr>
              <w:spacing w:after="0" w:line="252"/>
            </w:pPr>
            <w:r>
              <w:t xml:space="preserve">O atributo decisao do Caso foi atualizado.</w:t>
            </w:r>
          </w:p>
          <w:p>
            <w:pPr>
              <w:spacing w:after="0" w:line="252"/>
            </w:pPr>
            <w:r>
              <w:t xml:space="preserve">O status do Caso passou para RESOLVIDO.</w:t>
            </w:r>
          </w:p>
          <w:p>
            <w:pPr>
              <w:spacing w:after="0" w:line="252"/>
            </w:pPr>
            <w:r>
              <w:t xml:space="preserve">Um registro de Feedback foi criado para reaprendizagem (UC-10).</w:t>
            </w:r>
          </w:p>
          <w:p>
            <w:pPr>
              <w:spacing w:after="0" w:line="252"/>
            </w:pPr>
            <w:r>
              <w:t xml:space="preserve">As transações associadas tiveram seu estado atualizado (APROVADA/NEGADA).</w:t>
            </w:r>
          </w:p>
        </w:tc>
      </w:tr>
    </w:tbl>
    <w:p>
      <w:pPr>
        <w:spacing w:after="8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60"/>
      </w:tblGrid>
      <w:tr>
        <w:trPr>
          <w:tblHeader/>
        </w:trPr>
        <w:tc>
          <w:tcPr>
            <w:tcW w:type="dxa" w:w="2200"/>
            <w:shd w:fill="1F4E79" w:val="clear"/>
            <w:tcMar>
              <w:top w:type="dxa" w:w="60"/>
              <w:left w:type="dxa" w:w="110"/>
              <w:bottom w:type="dxa" w:w="60"/>
              <w:right w:type="dxa" w:w="110"/>
            </w:tcMar>
          </w:tcPr>
          <w:p>
            <w:pPr>
              <w:spacing w:after="0" w:line="252"/>
            </w:pPr>
            <w:r>
              <w:rPr>
                <w:b/>
                <w:bCs/>
                <w:color w:val="FFFFFF"/>
                <w:sz w:val="19"/>
                <w:szCs w:val="19"/>
              </w:rPr>
              <w:t xml:space="preserve">Contrato</w:t>
            </w:r>
          </w:p>
        </w:tc>
        <w:tc>
          <w:tcPr>
            <w:tcW w:type="dxa" w:w="7160"/>
            <w:shd w:fill="1F4E79" w:val="clear"/>
            <w:tcMar>
              <w:top w:type="dxa" w:w="60"/>
              <w:left w:type="dxa" w:w="110"/>
              <w:bottom w:type="dxa" w:w="60"/>
              <w:right w:type="dxa" w:w="110"/>
            </w:tcMar>
          </w:tcPr>
          <w:p>
            <w:pPr>
              <w:spacing w:after="0" w:line="252"/>
            </w:pPr>
            <w:r>
              <w:rPr>
                <w:b/>
                <w:bCs/>
                <w:color w:val="FFFFFF"/>
                <w:sz w:val="19"/>
                <w:szCs w:val="19"/>
              </w:rPr>
              <w:t xml:space="preserve">CO-03 verificarIdentidade</w:t>
            </w:r>
          </w:p>
        </w:tc>
      </w:tr>
      <w:tr>
        <w:tc>
          <w:tcPr>
            <w:tcW w:type="dxa" w:w="2200"/>
            <w:shd w:fill="FFFFFF" w:val="clear"/>
            <w:tcMar>
              <w:top w:type="dxa" w:w="60"/>
              <w:left w:type="dxa" w:w="110"/>
              <w:bottom w:type="dxa" w:w="60"/>
              <w:right w:type="dxa" w:w="110"/>
            </w:tcMar>
          </w:tcPr>
          <w:p>
            <w:pPr>
              <w:spacing w:after="0" w:line="252"/>
            </w:pPr>
            <w:r>
              <w:t xml:space="preserve">Operação</w:t>
            </w:r>
          </w:p>
        </w:tc>
        <w:tc>
          <w:tcPr>
            <w:tcW w:type="dxa" w:w="7160"/>
            <w:shd w:fill="FFFFFF" w:val="clear"/>
            <w:tcMar>
              <w:top w:type="dxa" w:w="60"/>
              <w:left w:type="dxa" w:w="110"/>
              <w:bottom w:type="dxa" w:w="60"/>
              <w:right w:type="dxa" w:w="110"/>
            </w:tcMar>
          </w:tcPr>
          <w:p>
            <w:pPr>
              <w:spacing w:after="0" w:line="252"/>
            </w:pPr>
            <w:r>
              <w:t xml:space="preserve">solicitarVerificacao(clienteId, documentos: List&lt;Documento&gt;): ResultadoKYC</w:t>
            </w:r>
          </w:p>
        </w:tc>
      </w:tr>
      <w:tr>
        <w:tc>
          <w:tcPr>
            <w:tcW w:type="dxa" w:w="2200"/>
            <w:shd w:fill="FFFFFF" w:val="clear"/>
            <w:tcMar>
              <w:top w:type="dxa" w:w="60"/>
              <w:left w:type="dxa" w:w="110"/>
              <w:bottom w:type="dxa" w:w="60"/>
              <w:right w:type="dxa" w:w="110"/>
            </w:tcMar>
          </w:tcPr>
          <w:p>
            <w:pPr>
              <w:spacing w:after="0" w:line="252"/>
            </w:pPr>
            <w:r>
              <w:t xml:space="preserve">Referências cruzadas</w:t>
            </w:r>
          </w:p>
        </w:tc>
        <w:tc>
          <w:tcPr>
            <w:tcW w:type="dxa" w:w="7160"/>
            <w:shd w:fill="FFFFFF" w:val="clear"/>
            <w:tcMar>
              <w:top w:type="dxa" w:w="60"/>
              <w:left w:type="dxa" w:w="110"/>
              <w:bottom w:type="dxa" w:w="60"/>
              <w:right w:type="dxa" w:w="110"/>
            </w:tcMar>
          </w:tcPr>
          <w:p>
            <w:pPr>
              <w:spacing w:after="0" w:line="252"/>
            </w:pPr>
            <w:r>
              <w:t xml:space="preserve">UC-06</w:t>
            </w:r>
          </w:p>
        </w:tc>
      </w:tr>
      <w:tr>
        <w:tc>
          <w:tcPr>
            <w:tcW w:type="dxa" w:w="2200"/>
            <w:shd w:fill="FFFFFF" w:val="clear"/>
            <w:tcMar>
              <w:top w:type="dxa" w:w="60"/>
              <w:left w:type="dxa" w:w="110"/>
              <w:bottom w:type="dxa" w:w="60"/>
              <w:right w:type="dxa" w:w="110"/>
            </w:tcMar>
          </w:tcPr>
          <w:p>
            <w:pPr>
              <w:spacing w:after="0" w:line="252"/>
            </w:pPr>
            <w:r>
              <w:t xml:space="preserve">Pré-condições</w:t>
            </w:r>
          </w:p>
        </w:tc>
        <w:tc>
          <w:tcPr>
            <w:tcW w:type="dxa" w:w="7160"/>
            <w:shd w:fill="FFFFFF" w:val="clear"/>
            <w:tcMar>
              <w:top w:type="dxa" w:w="60"/>
              <w:left w:type="dxa" w:w="110"/>
              <w:bottom w:type="dxa" w:w="60"/>
              <w:right w:type="dxa" w:w="110"/>
            </w:tcMar>
          </w:tcPr>
          <w:p>
            <w:pPr>
              <w:spacing w:after="0" w:line="252"/>
            </w:pPr>
            <w:r>
              <w:t xml:space="preserve">O cliente está em estado de onboarding (PENDENTE).</w:t>
            </w:r>
          </w:p>
          <w:p>
            <w:pPr>
              <w:spacing w:after="0" w:line="252"/>
            </w:pPr>
            <w:r>
              <w:t xml:space="preserve">Os documentos exigidos foram fornecidos.</w:t>
            </w:r>
          </w:p>
        </w:tc>
      </w:tr>
      <w:tr>
        <w:tc>
          <w:tcPr>
            <w:tcW w:type="dxa" w:w="2200"/>
            <w:shd w:fill="FFFFFF" w:val="clear"/>
            <w:tcMar>
              <w:top w:type="dxa" w:w="60"/>
              <w:left w:type="dxa" w:w="110"/>
              <w:bottom w:type="dxa" w:w="60"/>
              <w:right w:type="dxa" w:w="110"/>
            </w:tcMar>
          </w:tcPr>
          <w:p>
            <w:pPr>
              <w:spacing w:after="0" w:line="252"/>
            </w:pPr>
            <w:r>
              <w:t xml:space="preserve">Pós-condições</w:t>
            </w:r>
          </w:p>
        </w:tc>
        <w:tc>
          <w:tcPr>
            <w:tcW w:type="dxa" w:w="7160"/>
            <w:shd w:fill="FFFFFF" w:val="clear"/>
            <w:tcMar>
              <w:top w:type="dxa" w:w="60"/>
              <w:left w:type="dxa" w:w="110"/>
              <w:bottom w:type="dxa" w:w="60"/>
              <w:right w:type="dxa" w:w="110"/>
            </w:tcMar>
          </w:tcPr>
          <w:p>
            <w:pPr>
              <w:spacing w:after="0" w:line="252"/>
            </w:pPr>
            <w:r>
              <w:t xml:space="preserve">Um ResultadoKYC foi criado e associado ao Cliente.</w:t>
            </w:r>
          </w:p>
          <w:p>
            <w:pPr>
              <w:spacing w:after="0" w:line="252"/>
            </w:pPr>
            <w:r>
              <w:t xml:space="preserve">O estado do Cliente foi atualizado para APROVADO, PENDENTE ou NEGADO.</w:t>
            </w:r>
          </w:p>
          <w:p>
            <w:pPr>
              <w:spacing w:after="0" w:line="252"/>
            </w:pPr>
            <w:r>
              <w:t xml:space="preserve">O resultado foi retornado ao canal de origem.</w:t>
            </w:r>
          </w:p>
        </w:tc>
      </w:tr>
    </w:tbl>
    <w:p>
      <w:r>
        <w:br w:type="page"/>
      </w:r>
    </w:p>
    <w:p>
      <w:pPr>
        <w:pStyle w:val="Heading1"/>
      </w:pPr>
      <w:r>
        <w:t xml:space="preserve">3. Modelos de Projeto</w:t>
      </w:r>
    </w:p>
    <w:p>
      <w:pPr>
        <w:pStyle w:val="Heading2"/>
      </w:pPr>
      <w:r>
        <w:t xml:space="preserve">3.1. Arquitetura</w:t>
      </w:r>
    </w:p>
    <w:p>
      <w:pPr>
        <w:spacing w:after="160" w:line="276"/>
        <w:jc w:val="both"/>
      </w:pPr>
      <w:r>
        <w:t xml:space="preserve">A arquitetura do SARA segue um estilo de </w:t>
      </w:r>
      <w:r>
        <w:rPr>
          <w:b/>
          <w:bCs/>
        </w:rPr>
        <w:t xml:space="preserve">microsserviços orientados a eventos</w:t>
      </w:r>
      <w:r>
        <w:t xml:space="preserve">, descrito a seguir por meio do </w:t>
      </w:r>
      <w:r>
        <w:rPr>
          <w:b/>
          <w:bCs/>
        </w:rPr>
        <w:t xml:space="preserve">C4 Model</w:t>
      </w:r>
      <w:r>
        <w:t xml:space="preserve"> (níveis de Contexto e Contêineres). A ingestão de transações é assíncrona, baseada em um barramento de eventos (Kafka), enquanto a avaliação de risco expõe uma API síncrona de baixa latência consumida pelo Gateway de Pagamentos.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@startuml C4-Contexto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!define PERSON rectangle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title C4 - Nivel 1: Contexto do SARA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PERSON "Cliente" as cli</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PERSON "Analista de Fraude" as ana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PERSON "Gerente de Risco" as ger</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rectangle "SARA\nPlataforma Antifraude" as sara #1F4E79</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rectangle "Gateway de Pagamentos" as gtw</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rectangle "Bureau / KYC" as kyc</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rectangle "Core Bancario" as core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gtw --&gt; sara : eventos de transacao / decisao (REST)</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sara --&gt; kyc : verificacao de identidade (REST)</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sara --&gt; core : consulta de conta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ana --&gt; sara : investiga casos (Web)</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ger --&gt; sara : consulta indicadores (Web)</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cli --&gt; sara : confirma transacao (App)</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@enduml</w:t>
      </w:r>
    </w:p>
    <w:p>
      <w:pPr>
        <w:spacing w:after="200" w:before="80"/>
        <w:jc w:val="center"/>
      </w:pPr>
      <w:r>
        <w:rPr>
          <w:i/>
          <w:iCs/>
          <w:color w:val="595959"/>
          <w:sz w:val="18"/>
          <w:szCs w:val="18"/>
        </w:rPr>
        <w:t xml:space="preserve">Figura 5 — C4 Nível 1: Diagrama de Contexto.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@startuml C4-Containers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title C4 - Nivel 2: Conteineres do SARA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rectangle "API Gateway / BFF" as api</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rectangle "Servico de Ingestao\n(Transaction Ingestion)" as ing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queue "Barramento de Eventos (Kafka)" as bus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rectangle "Motor de Regras\n(Rule Engine)" as rules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rectangle "Servico de Scoring (ML)" as score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rectangle "Gestao de Casos\n(Case Management)" as cases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rectangle "Servico de Notificacao" as notif</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rectangle "Servico de Relatorios" as rep</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database "PostgreSQL\n(casos, regras, clientes)" as pg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database "Redis\n(feature store / cache)" as redis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database "Data Lake\n(eventos / treino)" as lake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api --&gt; ing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ing --&gt; bus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bus --&gt; rules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rules --&gt; score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rules --&gt; cases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rules --&gt; redis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cases --&gt; pg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notif &lt;-- bus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rep --&gt; pg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rep --&gt; lake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score --&gt; redis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@enduml</w:t>
      </w:r>
    </w:p>
    <w:p>
      <w:pPr>
        <w:spacing w:after="200" w:before="80"/>
        <w:jc w:val="center"/>
      </w:pPr>
      <w:r>
        <w:rPr>
          <w:i/>
          <w:iCs/>
          <w:color w:val="595959"/>
          <w:sz w:val="18"/>
          <w:szCs w:val="18"/>
        </w:rPr>
        <w:t xml:space="preserve">Figura 6 — C4 Nível 2: Diagrama de Contêineres.</w:t>
      </w:r>
    </w:p>
    <w:p>
      <w:pPr>
        <w:pStyle w:val="Heading2"/>
      </w:pPr>
      <w:r>
        <w:t xml:space="preserve">3.2. Diagrama de Componentes e Implantação</w:t>
      </w:r>
    </w:p>
    <w:p>
      <w:pPr>
        <w:spacing w:after="160" w:line="276"/>
        <w:jc w:val="both"/>
      </w:pPr>
      <w:r>
        <w:t xml:space="preserve">O diagrama de componentes detalha os módulos internos e suas interfaces; o diagrama de implantação mostra onde os componentes são alocados para execução (cluster Kubernetes em nuvem).</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@startuml Componentes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package "Motor de Avaliacao"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[API de Risco] as apirisk</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[Orquestrador de Avaliacao] as orq</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[Adaptador de Regras] as adrules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[Adaptador de Scoring] as adscore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[Repositorio de Avaliacoes] as repo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interface "REST /avaliar" as Iaval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Iaval - apirisk</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apirisk --&gt; orq</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orq --&gt; adrules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orq --&gt; adscore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orq --&gt; repo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adscore ..&gt; [Servico ML] : gRPC</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adrules ..&gt; [Base de Regras] : JDBC</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@enduml</w:t>
      </w:r>
    </w:p>
    <w:p>
      <w:pPr>
        <w:spacing w:after="200" w:before="80"/>
        <w:jc w:val="center"/>
      </w:pPr>
      <w:r>
        <w:rPr>
          <w:i/>
          <w:iCs/>
          <w:color w:val="595959"/>
          <w:sz w:val="18"/>
          <w:szCs w:val="18"/>
        </w:rPr>
        <w:t xml:space="preserve">Figura 7 — Diagrama de Componentes do Motor de Avaliação.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@startuml Implantacao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node "Cluster Kubernetes (Nuvem)"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node "Pod: api-gateway" { [API Gateway]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node "Pod: rule-engine" { [Motor de Regras]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node "Pod: scoring" { [Servico de Scoring]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node "Pod: case-mgmt" { [Gestao de Casos]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node "Broker" { [Kafka]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node "Servico Gerenciado"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database "PostgreSQL"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database "Redis"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cloud "Provedores Externos"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[Gateway de Pagamentos]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[Bureau / KYC]</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[Gateway de Pagamentos] --&gt; [API Gateway] : HTTPS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[API Gateway] --&gt; [Motor de Regras]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[Motor de Regras] --&gt; [Servico de Scoring]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[Motor de Regras] --&gt; [Kafka]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[Gestao de Casos] --&gt; PostgreSQL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[Servico de Scoring] --&gt; Redis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[Motor de Regras] --&gt; [Bureau / KYC] : HTTPS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@enduml</w:t>
      </w:r>
    </w:p>
    <w:p>
      <w:pPr>
        <w:spacing w:after="200" w:before="80"/>
        <w:jc w:val="center"/>
      </w:pPr>
      <w:r>
        <w:rPr>
          <w:i/>
          <w:iCs/>
          <w:color w:val="595959"/>
          <w:sz w:val="18"/>
          <w:szCs w:val="18"/>
        </w:rPr>
        <w:t xml:space="preserve">Figura 8 — Diagrama de Implantação.</w:t>
      </w:r>
    </w:p>
    <w:p>
      <w:pPr>
        <w:pStyle w:val="Heading2"/>
      </w:pPr>
      <w:r>
        <w:t xml:space="preserve">3.3. Diagrama de Classes</w:t>
      </w:r>
    </w:p>
    <w:p>
      <w:pPr>
        <w:spacing w:after="160" w:line="276"/>
        <w:jc w:val="both"/>
      </w:pPr>
      <w:r>
        <w:t xml:space="preserve">O diagrama de classes a seguir representa o modelo de projeto do domínio de avaliação de risco e gestão de casos, com atributos, principais operações e relacionamentos (associação, composição e multiplicidade).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@startuml Classes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class Cliente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id: UUID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nome: String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cpf: String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statusKyc: StatusKyc</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estaVerificado(): boolean</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class Conta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id: UUID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numero: String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saldo: Money</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class Transacao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id: UUID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valor: Money</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dataHora: DateTime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canal: Canal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estado: EstadoTransacao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class Avaliacao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id: UUID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dataHora: DateTime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decisao: Decisao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combinar(score, regras): Decisao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class ScoreRisco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valor: int</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modeloVersao: String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class RegraDeteccao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id: UUID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nome: String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expressao: String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limiar: int</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ativa: boolean</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avaliar(t: Transacao): boolean</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class Alerta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id: UUID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severidade: Severidade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criadoEm: DateTime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class Caso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id: UUID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status: StatusCaso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abertoEm: DateTime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adicionarAlerta(a: Alerta)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resolver(d: Decisao)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class Decisao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tipo: TipoDecisao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justificativa: String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class Feedback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rotulo: Rotulo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registradoEm: DateTime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class ListaRestricao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tipo: TipoLista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entidade: String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class Analista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id: UUID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 nome: String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Cliente "1" -- "0..*" Conta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Conta "1" -- "0..*" Transacao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Transacao "1" -- "1" Avaliacao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Avaliacao "1" *-- "1" ScoreRisco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Avaliacao "1" -- "0..*" Alerta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RegraDeteccao "0..*" -- "0..*" Avaliacao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Alerta "0..*" --o "1" Caso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Caso "1" -- "0..1" Decisao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Caso "1" -- "0..1" Feedback</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Analista "1" -- "0..*" Caso : investiga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Cliente "1" -- "0..*" ListaRestricao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@enduml</w:t>
      </w:r>
    </w:p>
    <w:p>
      <w:pPr>
        <w:spacing w:after="200" w:before="80"/>
        <w:jc w:val="center"/>
      </w:pPr>
      <w:r>
        <w:rPr>
          <w:i/>
          <w:iCs/>
          <w:color w:val="595959"/>
          <w:sz w:val="18"/>
          <w:szCs w:val="18"/>
        </w:rPr>
        <w:t xml:space="preserve">Figura 9 — Diagrama de Classes de Projeto.</w:t>
      </w:r>
    </w:p>
    <w:p>
      <w:pPr>
        <w:pStyle w:val="Heading2"/>
      </w:pPr>
      <w:r>
        <w:t xml:space="preserve">3.4. Diagramas de Sequência</w:t>
      </w:r>
    </w:p>
    <w:p>
      <w:pPr>
        <w:spacing w:after="160" w:line="276"/>
        <w:jc w:val="both"/>
      </w:pPr>
      <w:r>
        <w:t xml:space="preserve">O diagrama de sequência a seguir detalha a realização do caso de uso UC-01 no nível dos objetos de projeto, mostrando as mensagens trocadas entre os controladores, o motor de regras e o serviço de scoring.</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@startuml Seq-UC01</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participant ":APIRisco" as api</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participant ":Orquestrador" as orq</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participant ":MotorRegras" as mr</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participant ":AdaptadorScoring" as as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participant ":RepoAvaliacoes" as repo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api -&gt; orq : avaliarRisco(transacao)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activate orq</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orq -&gt; mr : aplicarRegras(transacao)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activate mr</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mr --&gt; orq : List&lt;RegraDisparada&gt;</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deactivate mr</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orq -&gt; as : calcularScore(features)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activate as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as --&gt; orq : ScoreRisco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deactivate as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orq -&gt; orq : combinar(score, regras)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orq -&gt; repo : salvar(avaliacao)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orq --&gt; api : Decisao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deactivate orq</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@enduml</w:t>
      </w:r>
    </w:p>
    <w:p>
      <w:pPr>
        <w:spacing w:after="200" w:before="80"/>
        <w:jc w:val="center"/>
      </w:pPr>
      <w:r>
        <w:rPr>
          <w:i/>
          <w:iCs/>
          <w:color w:val="595959"/>
          <w:sz w:val="18"/>
          <w:szCs w:val="18"/>
        </w:rPr>
        <w:t xml:space="preserve">Figura 10 — Diagrama de Sequência (realização do UC-01).</w:t>
      </w:r>
    </w:p>
    <w:p>
      <w:pPr>
        <w:pStyle w:val="Heading2"/>
      </w:pPr>
      <w:r>
        <w:t xml:space="preserve">3.5. Diagramas de Comunicação</w:t>
      </w:r>
    </w:p>
    <w:p>
      <w:pPr>
        <w:spacing w:after="160" w:line="276"/>
        <w:jc w:val="both"/>
      </w:pPr>
      <w:r>
        <w:t xml:space="preserve">O diagrama de comunicação apresenta a mesma realização do UC-01 sob a ótica dos vínculos entre objetos, com mensagens numeradas para evidenciar a ordem de execução.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@startuml Com-UC01</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object ":APIRisco" as api</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object ":Orquestrador" as orq</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object ":MotorRegras" as mr</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object ":AdaptadorScoring" as as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object ":RepoAvaliacoes" as repo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api --&gt; orq : 1: avaliarRisco(transacao)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orq --&gt; mr : 2: aplicarRegras(transacao)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orq --&gt; as : 3: calcularScore(features)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orq --&gt; orq : 4: combinar(score, regras)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orq --&gt; repo : 5: salvar(avaliacao)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@enduml</w:t>
      </w:r>
    </w:p>
    <w:p>
      <w:pPr>
        <w:spacing w:after="200" w:before="80"/>
        <w:jc w:val="center"/>
      </w:pPr>
      <w:r>
        <w:rPr>
          <w:i/>
          <w:iCs/>
          <w:color w:val="595959"/>
          <w:sz w:val="18"/>
          <w:szCs w:val="18"/>
        </w:rPr>
        <w:t xml:space="preserve">Figura 11 — Diagrama de Comunicação (realização do UC-01).</w:t>
      </w:r>
    </w:p>
    <w:p>
      <w:pPr>
        <w:pStyle w:val="Heading2"/>
      </w:pPr>
      <w:r>
        <w:t xml:space="preserve">3.6. Diagramas de Estados</w:t>
      </w:r>
    </w:p>
    <w:p>
      <w:pPr>
        <w:spacing w:after="160" w:line="276"/>
        <w:jc w:val="both"/>
      </w:pPr>
      <w:r>
        <w:t xml:space="preserve">São apresentadas duas máquinas de estados relevantes: o ciclo de vida da </w:t>
      </w:r>
      <w:r>
        <w:rPr>
          <w:b/>
          <w:bCs/>
        </w:rPr>
        <w:t xml:space="preserve">Transação</w:t>
      </w:r>
      <w:r>
        <w:t xml:space="preserve"> (do recebimento à conclusão) e o ciclo de vida do </w:t>
      </w:r>
      <w:r>
        <w:rPr>
          <w:b/>
          <w:bCs/>
        </w:rPr>
        <w:t xml:space="preserve">Caso</w:t>
      </w:r>
      <w:r>
        <w:t xml:space="preserve"> de investigação.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@startuml Estados-Transacao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--&gt; Recebida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Recebida --&gt; EmAvaliacao : avaliarRisco()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EmAvaliacao --&gt; Aprovada : decisao = APROVAR</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EmAvaliacao --&gt; Negada : decisao = NEGAR</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EmAvaliacao --&gt; EmRevisao : decisao = REVISAR</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EmRevisao --&gt; Aprovada : analista aprova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EmRevisao --&gt; Negada : analista nega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Aprovada --&gt; Concluida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Negada --&gt; Concluida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Concluida --&gt;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@enduml</w:t>
      </w:r>
    </w:p>
    <w:p>
      <w:pPr>
        <w:spacing w:after="200" w:before="80"/>
        <w:jc w:val="center"/>
      </w:pPr>
      <w:r>
        <w:rPr>
          <w:i/>
          <w:iCs/>
          <w:color w:val="595959"/>
          <w:sz w:val="18"/>
          <w:szCs w:val="18"/>
        </w:rPr>
        <w:t xml:space="preserve">Figura 12 — Máquina de Estados da Transação.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@startuml Estados-Caso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--&gt; Aberto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Aberto --&gt; EmAnalise : analista assume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EmAnalise --&gt; Escalado : requer aprovacao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Escalado --&gt; EmAnalise : devolvido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EmAnalise --&gt; Resolvido : registrarDecisao()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Resolvido --&gt; Fechado : auditoria concluida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Fechado --&gt;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@enduml</w:t>
      </w:r>
    </w:p>
    <w:p>
      <w:pPr>
        <w:spacing w:after="200" w:before="80"/>
        <w:jc w:val="center"/>
      </w:pPr>
      <w:r>
        <w:rPr>
          <w:i/>
          <w:iCs/>
          <w:color w:val="595959"/>
          <w:sz w:val="18"/>
          <w:szCs w:val="18"/>
        </w:rPr>
        <w:t xml:space="preserve">Figura 13 — Máquina de Estados do Caso.</w:t>
      </w:r>
    </w:p>
    <w:p>
      <w:r>
        <w:br w:type="page"/>
      </w:r>
    </w:p>
    <w:p>
      <w:pPr>
        <w:pStyle w:val="Heading1"/>
      </w:pPr>
      <w:r>
        <w:t xml:space="preserve">4. Modelos de Dados</w:t>
      </w:r>
    </w:p>
    <w:p>
      <w:pPr>
        <w:spacing w:after="160" w:line="276"/>
        <w:jc w:val="both"/>
      </w:pPr>
      <w:r>
        <w:t xml:space="preserve">Esta seção apresenta os esquemas de banco de dados e as estratégias de mapeamento entre as representações de objetos e não-objetos. O SARA adota </w:t>
      </w:r>
      <w:r>
        <w:rPr>
          <w:b/>
          <w:bCs/>
        </w:rPr>
        <w:t xml:space="preserve">persistência poliglota</w:t>
      </w:r>
      <w:r>
        <w:t xml:space="preserve">: um banco relacional (PostgreSQL) para os dados transacionais e de gestão de casos, um armazenamento chave-valor (Redis) como feature store de baixa latência, e um data lake para os eventos brutos usados no treinamento dos modelos.</w:t>
      </w:r>
    </w:p>
    <w:p>
      <w:pPr>
        <w:pStyle w:val="Heading2"/>
      </w:pPr>
      <w:r>
        <w:t xml:space="preserve">4.1. Esquema Relacional</w:t>
      </w:r>
    </w:p>
    <w:p>
      <w:pPr>
        <w:spacing w:after="160" w:line="276"/>
        <w:jc w:val="both"/>
      </w:pPr>
      <w:r>
        <w:t xml:space="preserve">O modelo lógico relacional a seguir é apresentado em DDL simplificado (PostgreSQL). As chaves primárias são UUID e as chaves estrangeiras preservam os relacionamentos do modelo de classes.</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CREATE TABLE cliente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id           UUID PRIMARY KEY,</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nome         VARCHAR(120)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cpf          CHAR(11) UNIQUE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status_kyc   VARCHAR(20) NOT NULL DEFAULT 'PENDENTE'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CREATE TABLE conta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id           UUID PRIMARY KEY,</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cliente_id   UUID NOT NULL REFERENCES cliente(id),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numero       VARCHAR(20)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saldo        NUMERIC(15,2) NOT NULL DEFAULT 0</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CREATE TABLE transacao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id           UUID PRIMARY KEY,</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conta_id     UUID NOT NULL REFERENCES conta(id),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valor        NUMERIC(15,2)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data_hora    TIMESTAMP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canal        VARCHAR(20)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estado       VARCHAR(20) NOT NULL DEFAULT 'RECEBIDA'</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CREATE TABLE avaliacao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id           UUID PRIMARY KEY,</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transacao_id UUID NOT NULL UNIQUE REFERENCES transacao(id),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score        INT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modelo_versao VARCHAR(20),</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decisao      VARCHAR(20)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data_hora    TIMESTAMP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CREATE TABLE regra_deteccao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id           UUID PRIMARY KEY,</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nome         VARCHAR(80)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expressao    TEXT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limiar       INT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ativa        BOOLEAN NOT NULL DEFAULT TRUE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CREATE TABLE alerta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id           UUID PRIMARY KEY,</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avaliacao_id UUID NOT NULL REFERENCES avaliacao(id),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caso_id      UUID REFERENCES caso(id),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severidade   VARCHAR(20)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criado_em    TIMESTAMP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CREATE TABLE caso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id           UUID PRIMARY KEY,</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analista_id  UUID,</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status       VARCHAR(20) NOT NULL DEFAULT 'ABERTO',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decisao      VARCHAR(20),</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justificativa TEXT,</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aberto_em    TIMESTAMP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CREATE TABLE lista_restricao (</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id           UUID PRIMARY KEY,</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tipo         VARCHAR(10) NOT NULL,  -- BLOCK | ALLOW</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entidade_tipo VARCHAR(20) NOT NULL, -- CPF | CARTAO | IP | DISPOSITIVO</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  entidade     VARCHAR(120) NOT NULL</w:t>
      </w:r>
    </w:p>
    <w:p>
      <w:pPr>
        <w:pBdr>
          <w:left w:val="single" w:color="1F4E79" w:sz="18" w:space="6"/>
        </w:pBdr>
        <w:shd w:fill="F2F2F2" w:val="clear"/>
        <w:spacing w:after="0" w:before="0" w:line="240"/>
        <w:ind w:left="120" w:right="120"/>
      </w:pPr>
      <w:r>
        <w:rPr>
          <w:rFonts w:ascii="Consolas" w:cs="Consolas" w:eastAsia="Consolas" w:hAnsi="Consolas"/>
          <w:sz w:val="17"/>
          <w:szCs w:val="17"/>
        </w:rPr>
        <w:t xml:space="preserve">);</w:t>
      </w:r>
    </w:p>
    <w:p>
      <w:pPr>
        <w:spacing w:after="200" w:before="80"/>
        <w:jc w:val="center"/>
      </w:pPr>
      <w:r>
        <w:rPr>
          <w:i/>
          <w:iCs/>
          <w:color w:val="595959"/>
          <w:sz w:val="18"/>
          <w:szCs w:val="18"/>
        </w:rPr>
        <w:t xml:space="preserve">Figura 14 — Esquema relacional (DDL simplificado).</w:t>
      </w:r>
    </w:p>
    <w:p>
      <w:pPr>
        <w:pStyle w:val="Heading2"/>
      </w:pPr>
      <w:r>
        <w:t xml:space="preserve">4.2. Estratégia de Mapeamento Objeto-Relacional</w:t>
      </w:r>
    </w:p>
    <w:p>
      <w:pPr>
        <w:spacing w:after="160" w:line="276"/>
        <w:jc w:val="both"/>
      </w:pPr>
      <w:r>
        <w:t xml:space="preserve">O mapeamento entre o modelo de classes (Seção 3.3) e o esquema relacional (Seção 4.1) segue as estratégias clássicas de mapeamento objeto-relacional, abaixo resumidas.</w:t>
      </w:r>
    </w:p>
    <w:p>
      <w:pPr>
        <w:pStyle w:val="ListParagraph"/>
        <w:numPr>
          <w:ilvl w:val="0"/>
          <w:numId w:val="2"/>
        </w:numPr>
        <w:spacing w:after="60" w:line="264"/>
      </w:pPr>
      <w:r>
        <w:rPr>
          <w:b/>
          <w:bCs/>
        </w:rPr>
        <w:t xml:space="preserve">Identidade:</w:t>
      </w:r>
      <w:r>
        <w:t xml:space="preserve"> cada entidade persistente possui chave substituta (UUID), independente das chaves de negócio, evitando acoplamento entre identidade de objeto e atributos mutáveis.</w:t>
      </w:r>
    </w:p>
    <w:p>
      <w:pPr>
        <w:pStyle w:val="ListParagraph"/>
        <w:numPr>
          <w:ilvl w:val="0"/>
          <w:numId w:val="2"/>
        </w:numPr>
        <w:spacing w:after="60" w:line="264"/>
      </w:pPr>
      <w:r>
        <w:t xml:space="preserve">**Associações 1..*:** mapeadas por chave estrangeira na tabela do lado “muitos” (ex.: conta.cliente_id, transacao.conta_id).</w:t>
      </w:r>
    </w:p>
    <w:p>
      <w:pPr>
        <w:pStyle w:val="ListParagraph"/>
        <w:numPr>
          <w:ilvl w:val="0"/>
          <w:numId w:val="2"/>
        </w:numPr>
        <w:spacing w:after="60" w:line="264"/>
      </w:pPr>
      <w:r>
        <w:rPr>
          <w:b/>
          <w:bCs/>
        </w:rPr>
        <w:t xml:space="preserve">Composição:</w:t>
      </w:r>
      <w:r>
        <w:t xml:space="preserve"> ScoreRisco é mapeado como colunas embutidas na tabela avaliacao (score, modelo_versao), pois não possui ciclo de vida próprio fora da Avaliação.</w:t>
      </w:r>
    </w:p>
    <w:p>
      <w:pPr>
        <w:pStyle w:val="ListParagraph"/>
        <w:numPr>
          <w:ilvl w:val="0"/>
          <w:numId w:val="2"/>
        </w:numPr>
        <w:spacing w:after="60" w:line="264"/>
      </w:pPr>
      <w:r>
        <w:rPr>
          <w:b/>
          <w:bCs/>
        </w:rPr>
        <w:t xml:space="preserve">Objetos de valor (Money):</w:t>
      </w:r>
      <w:r>
        <w:t xml:space="preserve"> mapeados para colunas NUMERIC, sem tabela própria.</w:t>
      </w:r>
    </w:p>
    <w:p>
      <w:pPr>
        <w:pStyle w:val="ListParagraph"/>
        <w:numPr>
          <w:ilvl w:val="0"/>
          <w:numId w:val="2"/>
        </w:numPr>
        <w:spacing w:after="60" w:line="264"/>
      </w:pPr>
      <w:r>
        <w:rPr>
          <w:b/>
          <w:bCs/>
        </w:rPr>
        <w:t xml:space="preserve">Enumerações</w:t>
      </w:r>
      <w:r>
        <w:t xml:space="preserve"> (EstadoTransacao, StatusCaso, TipoDecisao): persistidas como VARCHAR com domínio controlado por verificação na camada de aplicação.</w:t>
      </w:r>
    </w:p>
    <w:p>
      <w:pPr>
        <w:pStyle w:val="ListParagraph"/>
        <w:numPr>
          <w:ilvl w:val="0"/>
          <w:numId w:val="2"/>
        </w:numPr>
        <w:spacing w:after="60" w:line="264"/>
      </w:pPr>
      <w:r>
        <w:rPr>
          <w:b/>
          <w:bCs/>
        </w:rPr>
        <w:t xml:space="preserve">Agregados:</w:t>
      </w:r>
      <w:r>
        <w:t xml:space="preserve"> Caso é a raiz do agregado de investigação; Alertas referenciam o Caso por chave estrangeira (alerta.caso_id), e o acesso aos alertas se dá sempre pela raiz.</w:t>
      </w:r>
    </w:p>
    <w:p>
      <w:pPr>
        <w:pStyle w:val="Heading2"/>
      </w:pPr>
      <w:r>
        <w:t xml:space="preserve">4.3. Estratégia para Dados Não-Relacionais</w:t>
      </w:r>
    </w:p>
    <w:p>
      <w:pPr>
        <w:spacing w:after="160" w:line="276"/>
        <w:jc w:val="both"/>
      </w:pPr>
      <w:r>
        <w:t xml:space="preserve">Os atributos derivados em tempo real (frequência de transações por janela, valor médio, distância geográfica entre operações) são materializados como </w:t>
      </w:r>
      <w:r>
        <w:rPr>
          <w:b/>
          <w:bCs/>
        </w:rPr>
        <w:t xml:space="preserve">features</w:t>
      </w:r>
      <w:r>
        <w:t xml:space="preserve"> no Redis, indexadas por cliente e por dispositivo, com expiração (TTL) compatível com as janelas de análise. Os eventos brutos de transação e as decisões com seus rótulos (Feedback) são persistidos de forma imutável no </w:t>
      </w:r>
      <w:r>
        <w:rPr>
          <w:b/>
          <w:bCs/>
        </w:rPr>
        <w:t xml:space="preserve">data lake</w:t>
      </w:r>
      <w:r>
        <w:t xml:space="preserve"> em formato colunar (Parquet), servindo de base para o re-treinamento periódico do serviço de scoring e para auditoria histórica.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SARA — Documentação de Projeto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de Projeto — SARA</dc:title>
  <dc:creator>Victor Gabriel Santos Rocha</dc:creator>
  <cp:lastModifiedBy>Un-named</cp:lastModifiedBy>
  <cp:revision>1</cp:revision>
  <dcterms:created xsi:type="dcterms:W3CDTF">2026-06-11T02:53:36.925Z</dcterms:created>
  <dcterms:modified xsi:type="dcterms:W3CDTF">2026-06-11T02:53:36.925Z</dcterms:modified>
</cp:coreProperties>
</file>

<file path=docProps/custom.xml><?xml version="1.0" encoding="utf-8"?>
<Properties xmlns="http://schemas.openxmlformats.org/officeDocument/2006/custom-properties" xmlns:vt="http://schemas.openxmlformats.org/officeDocument/2006/docPropsVTypes"/>
</file>