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"requiresAttributes":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"value":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"name": "com.amazonaws.ecs.capability.docker-remote-api.1.17"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"value":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"name": "com.amazonaws.ecs.capability.ecr-auth"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"taskDefinitionArn": "arn:aws:ecs:us-east-1:826816620147:task-definition/Aviate:12",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"status": "ACTIVE",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"revision": 12,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"containerDefinitions":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"volumesFrom":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"memory": 128,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"extraHosts":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"dnsServers":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"disableNetworking":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"dnsSearchDomains":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"portMappings":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"hostPort": 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"containerPort": 8080,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"protocol": "tcp"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"hostname":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"essential":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"entryPoint":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"mountPoints":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"name": "aviate",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"ulimits":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"dockerSecurityOptions":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"environment":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"links":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"workingDirectory": "/usr/local/tomcat",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"readonlyRootFilesystem":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"image": "826816620147.dkr.ecr.us-east-1.amazonaws.com/aviate",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"command":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"catalina.sh",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"run"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"user":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"dockerLabels":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"logConfiguration":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"cpu":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"privileged":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"expanded":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"volumesFrom":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"memory": 128,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"extraHosts":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"dnsServers":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"disableNetworking":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"dnsSearchDomains":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"portMappings":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"hostPort": 9000,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"containerPort": 8080,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"protocol": "tcp"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"hostname":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"essential": true,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"entryPoint":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"mountPoints":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"name": "aviate2",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"ulimits":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"dockerSecurityOptions":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"environment":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"links":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"workingDirectory": "/usr/local/tomcat",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"readonlyRootFilesystem":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"image": "826816620147.dkr.ecr.us-east-1.amazonaws.com/aviate",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"command":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"catalina.sh",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"run"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"user":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"dockerLabels":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"logConfiguration":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"cpu": 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"privileged":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"volumes": [],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"family": "Aviate"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