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Access Management Policy</w:t>
      </w:r>
    </w:p>
    <w:p>
      <w:pPr>
        <w:jc w:val="center"/>
      </w:pPr>
      <w:r>
        <w:rPr>
          <w:b/>
          <w:sz w:val="24"/>
        </w:rPr>
        <w:t>CyberTech</w:t>
      </w:r>
    </w:p>
    <w:p>
      <w:pPr>
        <w:pStyle w:val="Heading1"/>
      </w:pPr>
      <w:r>
        <w:t>Purpose</w:t>
      </w:r>
    </w:p>
    <w:p>
      <w:r>
        <w:t>This policy establishes requirements for controlling and managing access to CyberTech’s systems, applications, and information. It aims to reduce unauthorized access by ensuring appropriate authentication safeguards are applied consistently.</w:t>
      </w:r>
    </w:p>
    <w:p>
      <w:pPr>
        <w:pStyle w:val="Heading1"/>
      </w:pPr>
      <w:r>
        <w:t>Scope</w:t>
      </w:r>
    </w:p>
    <w:p>
      <w:r>
        <w:t>This policy applies to CyberTech employees, contractors, administrators, and other authorized users, and covers user accounts and credentials used to access CyberTech systems, applications, and information resources. It applies to systems that support configurable account-lockout controls.</w:t>
      </w:r>
    </w:p>
    <w:p>
      <w:pPr>
        <w:pStyle w:val="Heading1"/>
      </w:pPr>
      <w:r>
        <w:t>Safeguards</w:t>
      </w:r>
    </w:p>
    <w:p>
      <w:r>
        <w:t>AM-01 — CyberTech shall configure in-scope user accounts to lock after five (5) consecutive failed login attempts.</w:t>
      </w:r>
    </w:p>
    <w:p>
      <w:r>
        <w:t>AM-02 — The lockout configuration shall be implemented through the approved change-management process. The change record must document the business justification, systems affected, risk and impact assessment, implementation steps, test plan, rollback plan, and approval.</w:t>
      </w:r>
    </w:p>
    <w:p>
      <w:r>
        <w:t>AM-03 — The administrator shall test the control in an authorized test account or approved test environment and retain evidence confirming whether lockout occurs after five consecutive failed attempts.</w:t>
      </w:r>
    </w:p>
    <w:p>
      <w:r>
        <w:t>AM-04 — Failed-login and account-lockout events shall be reviewed where system logging supports it.</w:t>
      </w:r>
    </w:p>
    <w:p>
      <w:r>
        <w:t>AM-05 — The account-lockout configuration and supporting documentation shall be reviewed periodically and after relevant system or authentication changes.</w:t>
      </w:r>
    </w:p>
    <w:p>
      <w:r>
        <w:t>AM-06 — Any system exception must be documented with a business justification, risk assessment, compensating safeguards, responsible owner, and review date, and approved by the designated authority.</w:t>
      </w:r>
    </w:p>
    <w:p>
      <w:pPr>
        <w:pStyle w:val="Heading1"/>
      </w:pPr>
      <w:r>
        <w:t>Policy Sanctions</w:t>
      </w:r>
    </w:p>
    <w:p>
      <w:r>
        <w:t>Failure to comply with this policy may result in corrective or disciplinary action in accordance with CyberTech’s applicable human resources procedures and contractual requirements. Any suspected violation or unauthorized exception shall be reported to the designated Information Security or management authority for review.</w:t>
      </w:r>
    </w:p>
    <w:p>
      <w:r>
        <w:t>Document status: Draft for approval. The five-attempt threshold is a proposed CyberTech control for this project and is not presented as an explicit requirement from the original SANS template.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CyberTech Access Management Policy | Internal 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6"/>
      </w:rPr>
      <w:t>CYBERTECH | INFORMATION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