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F5496"/>
          <w:sz w:val="40"/>
        </w:rPr>
        <w:t>Ablation Study: FBSL-KAGS Multi-Agent Architecture</w:t>
      </w:r>
    </w:p>
    <w:p>
      <w:pPr>
        <w:jc w:val="center"/>
      </w:pPr>
      <w:r>
        <w:rPr>
          <w:i/>
          <w:color w:val="595659"/>
          <w:sz w:val="26"/>
        </w:rPr>
        <w:t>Component Contribution Analysis via Systematic Removal</w:t>
      </w:r>
    </w:p>
    <w:p>
      <w:pPr>
        <w:pStyle w:val="Heading1"/>
      </w:pPr>
      <w:r>
        <w:t>Abstract</w:t>
      </w:r>
    </w:p>
    <w:p>
      <w:r>
        <w:t>This study presents a systematic ablation analysis of the FBSL-KAGS multi-agent pipeline for automated architectural layout generation. By selectively disabling each of the nine core pipeline components and evaluating the resulting design quality through the MCDA scoring agent, we quantify each module’s individual contribution to the composite design score. Experiments across three architectural scenarios of varying complexity demonstrate that every component contributes measurably, with FBS Reasoning (−32.2%) and MCDA Scoring (−30.9%) identified as the most critical modules. The Refinement Agent contributes 13.4%, the Layout Agent 6.5%, while exploration and optimization components (GoT, RAG, Pruning, Aggregation) collectively account for 9.3%. These results validate the architectural necessity of each agent in the pipeline.</w:t>
      </w:r>
    </w:p>
    <w:p>
      <w:pPr>
        <w:pStyle w:val="Heading1"/>
      </w:pPr>
      <w:r>
        <w:t>1. Introduction</w:t>
      </w:r>
    </w:p>
    <w:p>
      <w:r>
        <w:t>The FBSL-KAGS system employs a hierarchical multi-agent architecture to transform unstructured design requirements into optimized spatial layout prototypes. The pipeline comprises nine functional modules operating in sequence: requirement encoding, precedent retrieval (RAG), design-space exploration (GoT), physics-based behavior calculation (FBS Reasoning), iterative refinement (Gero’s FBS reformulation), force-directed layout optimization, multi-criteria scoring (MCDA), score-based pruning, and high-scoring node aggregation.</w:t>
      </w:r>
    </w:p>
    <w:p>
      <w:r>
        <w:t>While the integrated system achieves composite scores of 0.87–0.90 across diverse scenarios, a key question is whether each component justifies its presence in the pipeline. This ablation study answers that question through controlled experiments that isolate the contribution of each module.</w:t>
      </w:r>
    </w:p>
    <w:p>
      <w:pPr>
        <w:pStyle w:val="Heading1"/>
      </w:pPr>
      <w:r>
        <w:t>2. Methodology</w:t>
      </w:r>
    </w:p>
    <w:p>
      <w:pPr>
        <w:pStyle w:val="Heading2"/>
      </w:pPr>
      <w:r>
        <w:t>2.1 Experimental Protocol</w:t>
      </w:r>
    </w:p>
    <w:p>
      <w:r>
        <w:t>We employ a leave-one-out ablation protocol: for each experiment, exactly one pipeline component is disabled while all others remain active. The resulting design node is evaluated using the MCDA ScoringAgent (ρ = 1.0) to obtain the composite quality score. This ensures that measured performance differences arise directly from the ablated component’s absence.</w:t>
      </w:r>
    </w:p>
    <w:p>
      <w:pPr>
        <w:pStyle w:val="Heading2"/>
      </w:pPr>
      <w:r>
        <w:t>2.2 Scoring Formulation</w:t>
      </w:r>
    </w:p>
    <w:p>
      <w:pPr>
        <w:jc w:val="center"/>
      </w:pPr>
      <w:r>
        <w:rPr>
          <w:i/>
        </w:rPr>
        <w:t>Sₜ = w_f · S_f + w_b · S_b + w_s · S_s + w_l · S_l + wₛ · Sₛ</w:t>
      </w:r>
    </w:p>
    <w:p>
      <w:r>
        <w:t>where S_f (functional adequacy, w=0.25) measures behavior coverage per function weighted by priority, S_b (behavioral performance, w=0.20) uses the geometric mean of actual/target ratios across all expected behaviors, S_s (structural feasibility, w=0.20) evaluates structural completeness, S_l (layout efficiency, w=0.25) combines space utilization, circulation efficiency, adjacency satisfaction, and compactness, and S_sust (sustainability, w=0.10) captures environmental performance. The geometric mean for S_b is critical: it ensures that a single poorly-performing behavior cannot be masked by high performance in other dimensions.</w:t>
      </w:r>
    </w:p>
    <w:p>
      <w:pPr>
        <w:pStyle w:val="Heading2"/>
      </w:pPr>
      <w:r>
        <w:t>2.3 Test Scenarios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jc w:val="left"/>
            </w:pPr>
            <w:r>
              <w:rPr>
                <w:rFonts w:ascii="Calibri" w:hAnsi="Calibri"/>
                <w:b/>
                <w:color w:val="FFFFFF"/>
                <w:sz w:val="18"/>
              </w:rPr>
              <w:t>Scenario</w:t>
            </w:r>
          </w:p>
        </w:tc>
        <w:tc>
          <w:tcPr>
            <w:tcW w:type="dxa" w:w="1728"/>
            <w:shd w:fill="2F5496" w:val="clear"/>
          </w:tcPr>
          <w:p>
            <w:pPr>
              <w:jc w:val="center"/>
            </w:pPr>
            <w:r>
              <w:rPr>
                <w:rFonts w:ascii="Calibri" w:hAnsi="Calibri"/>
                <w:b/>
                <w:color w:val="FFFFFF"/>
                <w:sz w:val="18"/>
              </w:rPr>
              <w:t>Complexity</w:t>
            </w:r>
          </w:p>
        </w:tc>
        <w:tc>
          <w:tcPr>
            <w:tcW w:type="dxa" w:w="1728"/>
            <w:shd w:fill="2F5496" w:val="clear"/>
          </w:tcPr>
          <w:p>
            <w:pPr>
              <w:jc w:val="center"/>
            </w:pPr>
            <w:r>
              <w:rPr>
                <w:rFonts w:ascii="Calibri" w:hAnsi="Calibri"/>
                <w:b/>
                <w:color w:val="FFFFFF"/>
                <w:sz w:val="18"/>
              </w:rPr>
              <w:t>Rooms</w:t>
            </w:r>
          </w:p>
        </w:tc>
        <w:tc>
          <w:tcPr>
            <w:tcW w:type="dxa" w:w="1728"/>
            <w:shd w:fill="2F5496" w:val="clear"/>
          </w:tcPr>
          <w:p>
            <w:pPr>
              <w:jc w:val="center"/>
            </w:pPr>
            <w:r>
              <w:rPr>
                <w:rFonts w:ascii="Calibri" w:hAnsi="Calibri"/>
                <w:b/>
                <w:color w:val="FFFFFF"/>
                <w:sz w:val="18"/>
              </w:rPr>
              <w:t>Behaviors</w:t>
            </w:r>
          </w:p>
        </w:tc>
        <w:tc>
          <w:tcPr>
            <w:tcW w:type="dxa" w:w="1728"/>
            <w:shd w:fill="2F5496" w:val="clear"/>
          </w:tcPr>
          <w:p>
            <w:pPr>
              <w:jc w:val="center"/>
            </w:pPr>
            <w:r>
              <w:rPr>
                <w:rFonts w:ascii="Calibri" w:hAnsi="Calibri"/>
                <w:b/>
                <w:color w:val="FFFFFF"/>
                <w:sz w:val="18"/>
              </w:rPr>
              <w:t>Area</w:t>
            </w:r>
          </w:p>
        </w:tc>
      </w:tr>
      <w:tr>
        <w:tc>
          <w:tcPr>
            <w:tcW w:type="dxa" w:w="1728"/>
          </w:tcPr>
          <w:p>
            <w:pPr>
              <w:jc w:val="left"/>
            </w:pPr>
            <w:r>
              <w:rPr>
                <w:rFonts w:ascii="Calibri" w:hAnsi="Calibri"/>
                <w:sz w:val="18"/>
              </w:rPr>
              <w:t>2-Bedroom Apartment</w:t>
            </w:r>
          </w:p>
        </w:tc>
        <w:tc>
          <w:tcPr>
            <w:tcW w:type="dxa" w:w="1728"/>
          </w:tcPr>
          <w:p>
            <w:pPr>
              <w:jc w:val="center"/>
            </w:pPr>
            <w:r>
              <w:rPr>
                <w:rFonts w:ascii="Calibri" w:hAnsi="Calibri"/>
                <w:sz w:val="18"/>
              </w:rPr>
              <w:t>Low</w:t>
            </w:r>
          </w:p>
        </w:tc>
        <w:tc>
          <w:tcPr>
            <w:tcW w:type="dxa" w:w="1728"/>
          </w:tcPr>
          <w:p>
            <w:pPr>
              <w:jc w:val="center"/>
            </w:pPr>
            <w:r>
              <w:rPr>
                <w:rFonts w:ascii="Calibri" w:hAnsi="Calibri"/>
                <w:sz w:val="18"/>
              </w:rPr>
              <w:t>5</w:t>
            </w:r>
          </w:p>
        </w:tc>
        <w:tc>
          <w:tcPr>
            <w:tcW w:type="dxa" w:w="1728"/>
          </w:tcPr>
          <w:p>
            <w:pPr>
              <w:jc w:val="center"/>
            </w:pPr>
            <w:r>
              <w:rPr>
                <w:rFonts w:ascii="Calibri" w:hAnsi="Calibri"/>
                <w:sz w:val="18"/>
              </w:rPr>
              <w:t>3</w:t>
            </w:r>
          </w:p>
        </w:tc>
        <w:tc>
          <w:tcPr>
            <w:tcW w:type="dxa" w:w="1728"/>
          </w:tcPr>
          <w:p>
            <w:pPr>
              <w:jc w:val="center"/>
            </w:pPr>
            <w:r>
              <w:rPr>
                <w:rFonts w:ascii="Calibri" w:hAnsi="Calibri"/>
                <w:sz w:val="18"/>
              </w:rPr>
              <w:t>~80 m²</w:t>
            </w:r>
          </w:p>
        </w:tc>
      </w:tr>
      <w:tr>
        <w:tc>
          <w:tcPr>
            <w:tcW w:type="dxa" w:w="1728"/>
          </w:tcPr>
          <w:p>
            <w:pPr>
              <w:jc w:val="left"/>
            </w:pPr>
            <w:r>
              <w:rPr>
                <w:rFonts w:ascii="Calibri" w:hAnsi="Calibri"/>
                <w:sz w:val="18"/>
              </w:rPr>
              <w:t>4-Bedroom Family Home</w:t>
            </w:r>
          </w:p>
        </w:tc>
        <w:tc>
          <w:tcPr>
            <w:tcW w:type="dxa" w:w="1728"/>
          </w:tcPr>
          <w:p>
            <w:pPr>
              <w:jc w:val="center"/>
            </w:pPr>
            <w:r>
              <w:rPr>
                <w:rFonts w:ascii="Calibri" w:hAnsi="Calibri"/>
                <w:sz w:val="18"/>
              </w:rPr>
              <w:t>High</w:t>
            </w:r>
          </w:p>
        </w:tc>
        <w:tc>
          <w:tcPr>
            <w:tcW w:type="dxa" w:w="1728"/>
          </w:tcPr>
          <w:p>
            <w:pPr>
              <w:jc w:val="center"/>
            </w:pPr>
            <w:r>
              <w:rPr>
                <w:rFonts w:ascii="Calibri" w:hAnsi="Calibri"/>
                <w:sz w:val="18"/>
              </w:rPr>
              <w:t>14</w:t>
            </w:r>
          </w:p>
        </w:tc>
        <w:tc>
          <w:tcPr>
            <w:tcW w:type="dxa" w:w="1728"/>
          </w:tcPr>
          <w:p>
            <w:pPr>
              <w:jc w:val="center"/>
            </w:pPr>
            <w:r>
              <w:rPr>
                <w:rFonts w:ascii="Calibri" w:hAnsi="Calibri"/>
                <w:sz w:val="18"/>
              </w:rPr>
              <w:t>5</w:t>
            </w:r>
          </w:p>
        </w:tc>
        <w:tc>
          <w:tcPr>
            <w:tcW w:type="dxa" w:w="1728"/>
          </w:tcPr>
          <w:p>
            <w:pPr>
              <w:jc w:val="center"/>
            </w:pPr>
            <w:r>
              <w:rPr>
                <w:rFonts w:ascii="Calibri" w:hAnsi="Calibri"/>
                <w:sz w:val="18"/>
              </w:rPr>
              <w:t>~250 m²</w:t>
            </w:r>
          </w:p>
        </w:tc>
      </w:tr>
      <w:tr>
        <w:tc>
          <w:tcPr>
            <w:tcW w:type="dxa" w:w="1728"/>
          </w:tcPr>
          <w:p>
            <w:pPr>
              <w:jc w:val="left"/>
            </w:pPr>
            <w:r>
              <w:rPr>
                <w:rFonts w:ascii="Calibri" w:hAnsi="Calibri"/>
                <w:sz w:val="18"/>
              </w:rPr>
              <w:t>3-Bedroom Townhouse</w:t>
            </w:r>
          </w:p>
        </w:tc>
        <w:tc>
          <w:tcPr>
            <w:tcW w:type="dxa" w:w="1728"/>
          </w:tcPr>
          <w:p>
            <w:pPr>
              <w:jc w:val="center"/>
            </w:pPr>
            <w:r>
              <w:rPr>
                <w:rFonts w:ascii="Calibri" w:hAnsi="Calibri"/>
                <w:sz w:val="18"/>
              </w:rPr>
              <w:t>Medium</w:t>
            </w:r>
          </w:p>
        </w:tc>
        <w:tc>
          <w:tcPr>
            <w:tcW w:type="dxa" w:w="1728"/>
          </w:tcPr>
          <w:p>
            <w:pPr>
              <w:jc w:val="center"/>
            </w:pPr>
            <w:r>
              <w:rPr>
                <w:rFonts w:ascii="Calibri" w:hAnsi="Calibri"/>
                <w:sz w:val="18"/>
              </w:rPr>
              <w:t>9</w:t>
            </w:r>
          </w:p>
        </w:tc>
        <w:tc>
          <w:tcPr>
            <w:tcW w:type="dxa" w:w="1728"/>
          </w:tcPr>
          <w:p>
            <w:pPr>
              <w:jc w:val="center"/>
            </w:pPr>
            <w:r>
              <w:rPr>
                <w:rFonts w:ascii="Calibri" w:hAnsi="Calibri"/>
                <w:sz w:val="18"/>
              </w:rPr>
              <w:t>4</w:t>
            </w:r>
          </w:p>
        </w:tc>
        <w:tc>
          <w:tcPr>
            <w:tcW w:type="dxa" w:w="1728"/>
          </w:tcPr>
          <w:p>
            <w:pPr>
              <w:jc w:val="center"/>
            </w:pPr>
            <w:r>
              <w:rPr>
                <w:rFonts w:ascii="Calibri" w:hAnsi="Calibri"/>
                <w:sz w:val="18"/>
              </w:rPr>
              <w:t>~120 m²</w:t>
            </w:r>
          </w:p>
        </w:tc>
      </w:tr>
    </w:tbl>
    <w:p>
      <w:pPr>
        <w:pStyle w:val="Heading2"/>
      </w:pPr>
      <w:r>
        <w:t>2.4 Ablation Conditions</w:t>
      </w:r>
    </w:p>
    <w:tbl>
      <w:tblPr>
        <w:tblStyle w:val="TableGrid"/>
        <w:tblW w:type="auto" w:w="0"/>
        <w:jc w:val="center"/>
        <w:tblLook w:firstColumn="1" w:firstRow="1" w:lastColumn="0" w:lastRow="0" w:noHBand="0" w:noVBand="1" w:val="04A0"/>
      </w:tblPr>
      <w:tblGrid>
        <w:gridCol w:w="4320"/>
        <w:gridCol w:w="4320"/>
      </w:tblGrid>
      <w:tr>
        <w:tc>
          <w:tcPr>
            <w:tcW w:type="dxa" w:w="4320"/>
            <w:shd w:fill="2F5496" w:val="clear"/>
          </w:tcPr>
          <w:p>
            <w:pPr>
              <w:jc w:val="left"/>
            </w:pPr>
            <w:r>
              <w:rPr>
                <w:rFonts w:ascii="Calibri" w:hAnsi="Calibri"/>
                <w:b/>
                <w:color w:val="FFFFFF"/>
                <w:sz w:val="18"/>
              </w:rPr>
              <w:t>Component Removed</w:t>
            </w:r>
          </w:p>
        </w:tc>
        <w:tc>
          <w:tcPr>
            <w:tcW w:type="dxa" w:w="4320"/>
            <w:shd w:fill="2F5496" w:val="clear"/>
          </w:tcPr>
          <w:p>
            <w:pPr>
              <w:jc w:val="center"/>
            </w:pPr>
            <w:r>
              <w:rPr>
                <w:rFonts w:ascii="Calibri" w:hAnsi="Calibri"/>
                <w:b/>
                <w:color w:val="FFFFFF"/>
                <w:sz w:val="18"/>
              </w:rPr>
              <w:t>Effect on Pipeline</w:t>
            </w:r>
          </w:p>
        </w:tc>
      </w:tr>
      <w:tr>
        <w:tc>
          <w:tcPr>
            <w:tcW w:type="dxa" w:w="4320"/>
          </w:tcPr>
          <w:p>
            <w:pPr>
              <w:jc w:val="left"/>
            </w:pPr>
            <w:r>
              <w:rPr>
                <w:rFonts w:ascii="Calibri" w:hAnsi="Calibri"/>
                <w:sz w:val="18"/>
              </w:rPr>
              <w:t>FBS Reasoning</w:t>
            </w:r>
          </w:p>
        </w:tc>
        <w:tc>
          <w:tcPr>
            <w:tcW w:type="dxa" w:w="4320"/>
          </w:tcPr>
          <w:p>
            <w:pPr>
              <w:jc w:val="center"/>
            </w:pPr>
            <w:r>
              <w:rPr>
                <w:rFonts w:ascii="Calibri" w:hAnsi="Calibri"/>
                <w:sz w:val="18"/>
              </w:rPr>
              <w:t>S → Bs transformation disabled; behaviors receive no physics-based actual values</w:t>
            </w:r>
          </w:p>
        </w:tc>
      </w:tr>
      <w:tr>
        <w:tc>
          <w:tcPr>
            <w:tcW w:type="dxa" w:w="4320"/>
          </w:tcPr>
          <w:p>
            <w:pPr>
              <w:jc w:val="left"/>
            </w:pPr>
            <w:r>
              <w:rPr>
                <w:rFonts w:ascii="Calibri" w:hAnsi="Calibri"/>
                <w:sz w:val="18"/>
              </w:rPr>
              <w:t>Refinement Agent</w:t>
            </w:r>
          </w:p>
        </w:tc>
        <w:tc>
          <w:tcPr>
            <w:tcW w:type="dxa" w:w="4320"/>
          </w:tcPr>
          <w:p>
            <w:pPr>
              <w:jc w:val="center"/>
            </w:pPr>
            <w:r>
              <w:rPr>
                <w:rFonts w:ascii="Calibri" w:hAnsi="Calibri"/>
                <w:sz w:val="18"/>
              </w:rPr>
              <w:t>Gero’s Type 1/2/3 reformulation loop disabled; no iterative Be–Bs convergence</w:t>
            </w:r>
          </w:p>
        </w:tc>
      </w:tr>
      <w:tr>
        <w:tc>
          <w:tcPr>
            <w:tcW w:type="dxa" w:w="4320"/>
          </w:tcPr>
          <w:p>
            <w:pPr>
              <w:jc w:val="left"/>
            </w:pPr>
            <w:r>
              <w:rPr>
                <w:rFonts w:ascii="Calibri" w:hAnsi="Calibri"/>
                <w:sz w:val="18"/>
              </w:rPr>
              <w:t>Scoring Agent (MCDA)</w:t>
            </w:r>
          </w:p>
        </w:tc>
        <w:tc>
          <w:tcPr>
            <w:tcW w:type="dxa" w:w="4320"/>
          </w:tcPr>
          <w:p>
            <w:pPr>
              <w:jc w:val="center"/>
            </w:pPr>
            <w:r>
              <w:rPr>
                <w:rFonts w:ascii="Calibri" w:hAnsi="Calibri"/>
                <w:sz w:val="18"/>
              </w:rPr>
              <w:t>Replaced with naïve equal-weight arithmetic mean; no geometric mean penalty</w:t>
            </w:r>
          </w:p>
        </w:tc>
      </w:tr>
      <w:tr>
        <w:tc>
          <w:tcPr>
            <w:tcW w:type="dxa" w:w="4320"/>
          </w:tcPr>
          <w:p>
            <w:pPr>
              <w:jc w:val="left"/>
            </w:pPr>
            <w:r>
              <w:rPr>
                <w:rFonts w:ascii="Calibri" w:hAnsi="Calibri"/>
                <w:sz w:val="18"/>
              </w:rPr>
              <w:t>Layout Agent</w:t>
            </w:r>
          </w:p>
        </w:tc>
        <w:tc>
          <w:tcPr>
            <w:tcW w:type="dxa" w:w="4320"/>
          </w:tcPr>
          <w:p>
            <w:pPr>
              <w:jc w:val="center"/>
            </w:pPr>
            <w:r>
              <w:rPr>
                <w:rFonts w:ascii="Calibri" w:hAnsi="Calibri"/>
                <w:sz w:val="18"/>
              </w:rPr>
              <w:t>Force-directed placement and A* pathfinding disabled; layout metrics unoptimized</w:t>
            </w:r>
          </w:p>
        </w:tc>
      </w:tr>
      <w:tr>
        <w:tc>
          <w:tcPr>
            <w:tcW w:type="dxa" w:w="4320"/>
          </w:tcPr>
          <w:p>
            <w:pPr>
              <w:jc w:val="left"/>
            </w:pPr>
            <w:r>
              <w:rPr>
                <w:rFonts w:ascii="Calibri" w:hAnsi="Calibri"/>
                <w:sz w:val="18"/>
              </w:rPr>
              <w:t>GoT Exploration</w:t>
            </w:r>
          </w:p>
        </w:tc>
        <w:tc>
          <w:tcPr>
            <w:tcW w:type="dxa" w:w="4320"/>
          </w:tcPr>
          <w:p>
            <w:pPr>
              <w:jc w:val="center"/>
            </w:pPr>
            <w:r>
              <w:rPr>
                <w:rFonts w:ascii="Calibri" w:hAnsi="Calibri"/>
                <w:sz w:val="18"/>
              </w:rPr>
              <w:t>Multi-branch design-space search disabled; no strategy variant selection</w:t>
            </w:r>
          </w:p>
        </w:tc>
      </w:tr>
      <w:tr>
        <w:tc>
          <w:tcPr>
            <w:tcW w:type="dxa" w:w="4320"/>
          </w:tcPr>
          <w:p>
            <w:pPr>
              <w:jc w:val="left"/>
            </w:pPr>
            <w:r>
              <w:rPr>
                <w:rFonts w:ascii="Calibri" w:hAnsi="Calibri"/>
                <w:sz w:val="18"/>
              </w:rPr>
              <w:t>RAG (FAISS)</w:t>
            </w:r>
          </w:p>
        </w:tc>
        <w:tc>
          <w:tcPr>
            <w:tcW w:type="dxa" w:w="4320"/>
          </w:tcPr>
          <w:p>
            <w:pPr>
              <w:jc w:val="center"/>
            </w:pPr>
            <w:r>
              <w:rPr>
                <w:rFonts w:ascii="Calibri" w:hAnsi="Calibri"/>
                <w:sz w:val="18"/>
              </w:rPr>
              <w:t>Precedent retrieval disabled; no knowledge-informed room sizing or adjacency</w:t>
            </w:r>
          </w:p>
        </w:tc>
      </w:tr>
      <w:tr>
        <w:tc>
          <w:tcPr>
            <w:tcW w:type="dxa" w:w="4320"/>
          </w:tcPr>
          <w:p>
            <w:pPr>
              <w:jc w:val="left"/>
            </w:pPr>
            <w:r>
              <w:rPr>
                <w:rFonts w:ascii="Calibri" w:hAnsi="Calibri"/>
                <w:sz w:val="18"/>
              </w:rPr>
              <w:t>Pruning</w:t>
            </w:r>
          </w:p>
        </w:tc>
        <w:tc>
          <w:tcPr>
            <w:tcW w:type="dxa" w:w="4320"/>
          </w:tcPr>
          <w:p>
            <w:pPr>
              <w:jc w:val="center"/>
            </w:pPr>
            <w:r>
              <w:rPr>
                <w:rFonts w:ascii="Calibri" w:hAnsi="Calibri"/>
                <w:sz w:val="18"/>
              </w:rPr>
              <w:t>Score-based branch removal disabled; low-quality designs retained</w:t>
            </w:r>
          </w:p>
        </w:tc>
      </w:tr>
      <w:tr>
        <w:tc>
          <w:tcPr>
            <w:tcW w:type="dxa" w:w="4320"/>
          </w:tcPr>
          <w:p>
            <w:pPr>
              <w:jc w:val="left"/>
            </w:pPr>
            <w:r>
              <w:rPr>
                <w:rFonts w:ascii="Calibri" w:hAnsi="Calibri"/>
                <w:sz w:val="18"/>
              </w:rPr>
              <w:t>Aggregation</w:t>
            </w:r>
          </w:p>
        </w:tc>
        <w:tc>
          <w:tcPr>
            <w:tcW w:type="dxa" w:w="4320"/>
          </w:tcPr>
          <w:p>
            <w:pPr>
              <w:jc w:val="center"/>
            </w:pPr>
            <w:r>
              <w:rPr>
                <w:rFonts w:ascii="Calibri" w:hAnsi="Calibri"/>
                <w:sz w:val="18"/>
              </w:rPr>
              <w:t>High-scoring node merging disabled; no cross-variant feature combination</w:t>
            </w:r>
          </w:p>
        </w:tc>
      </w:tr>
      <w:tr>
        <w:tc>
          <w:tcPr>
            <w:tcW w:type="dxa" w:w="4320"/>
          </w:tcPr>
          <w:p>
            <w:pPr>
              <w:jc w:val="left"/>
            </w:pPr>
            <w:r>
              <w:rPr>
                <w:rFonts w:ascii="Calibri" w:hAnsi="Calibri"/>
                <w:sz w:val="18"/>
              </w:rPr>
              <w:t>Adaptive Complexity</w:t>
            </w:r>
          </w:p>
        </w:tc>
        <w:tc>
          <w:tcPr>
            <w:tcW w:type="dxa" w:w="4320"/>
          </w:tcPr>
          <w:p>
            <w:pPr>
              <w:jc w:val="center"/>
            </w:pPr>
            <w:r>
              <w:rPr>
                <w:rFonts w:ascii="Calibri" w:hAnsi="Calibri"/>
                <w:sz w:val="18"/>
              </w:rPr>
              <w:t>Complexity-driven parameter scaling disabled; fixed exploration depth</w:t>
            </w:r>
          </w:p>
        </w:tc>
      </w:tr>
    </w:tbl>
    <w:p>
      <w:pPr>
        <w:pStyle w:val="Heading1"/>
      </w:pPr>
      <w:r>
        <w:t>3. Results</w:t>
      </w:r>
    </w:p>
    <w:p>
      <w:pPr>
        <w:pStyle w:val="Heading2"/>
      </w:pPr>
      <w:r>
        <w:t>3.1 Overall Results</w:t>
      </w:r>
    </w:p>
    <w:p>
      <w:r>
        <w:t>Table 1 presents composite scores averaged across all three scenarios. Every component produces a measurable quality drop when removed, ranging from 0.9% (Adaptive Complexity) to 32.2% (FBS Reasoning).</w:t>
      </w:r>
    </w:p>
    <w:p>
      <w:r>
        <w:rPr>
          <w:b/>
        </w:rPr>
        <w:t xml:space="preserve">Table 1. </w:t>
      </w:r>
      <w:r>
        <w:t>Ablation results averaged across all test scenarios.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F5496" w:val="clear"/>
          </w:tcPr>
          <w:p>
            <w:pPr>
              <w:jc w:val="left"/>
            </w:pPr>
            <w:r>
              <w:rPr>
                <w:rFonts w:ascii="Calibri" w:hAnsi="Calibri"/>
                <w:b/>
                <w:color w:val="FFFFFF"/>
                <w:sz w:val="18"/>
              </w:rPr>
              <w:t>Configuration</w:t>
            </w:r>
          </w:p>
        </w:tc>
        <w:tc>
          <w:tcPr>
            <w:tcW w:type="dxa" w:w="2160"/>
            <w:shd w:fill="2F5496" w:val="clear"/>
          </w:tcPr>
          <w:p>
            <w:pPr>
              <w:jc w:val="center"/>
            </w:pPr>
            <w:r>
              <w:rPr>
                <w:rFonts w:ascii="Calibri" w:hAnsi="Calibri"/>
                <w:b/>
                <w:color w:val="FFFFFF"/>
                <w:sz w:val="18"/>
              </w:rPr>
              <w:t>Composite</w:t>
            </w:r>
          </w:p>
        </w:tc>
        <w:tc>
          <w:tcPr>
            <w:tcW w:type="dxa" w:w="2160"/>
            <w:shd w:fill="2F5496" w:val="clear"/>
          </w:tcPr>
          <w:p>
            <w:pPr>
              <w:jc w:val="center"/>
            </w:pPr>
            <w:r>
              <w:rPr>
                <w:rFonts w:ascii="Calibri" w:hAnsi="Calibri"/>
                <w:b/>
                <w:color w:val="FFFFFF"/>
                <w:sz w:val="18"/>
              </w:rPr>
              <w:t>Δ (%)</w:t>
            </w:r>
          </w:p>
        </w:tc>
        <w:tc>
          <w:tcPr>
            <w:tcW w:type="dxa" w:w="2160"/>
            <w:shd w:fill="2F5496" w:val="clear"/>
          </w:tcPr>
          <w:p>
            <w:pPr>
              <w:jc w:val="center"/>
            </w:pPr>
            <w:r>
              <w:rPr>
                <w:rFonts w:ascii="Calibri" w:hAnsi="Calibri"/>
                <w:b/>
                <w:color w:val="FFFFFF"/>
                <w:sz w:val="18"/>
              </w:rPr>
              <w:t>σ</w:t>
            </w:r>
          </w:p>
        </w:tc>
      </w:tr>
      <w:tr>
        <w:tc>
          <w:tcPr>
            <w:tcW w:type="dxa" w:w="2160"/>
          </w:tcPr>
          <w:p>
            <w:pPr>
              <w:jc w:val="left"/>
            </w:pPr>
            <w:r>
              <w:rPr>
                <w:rFonts w:ascii="Calibri" w:hAnsi="Calibri"/>
                <w:b/>
                <w:sz w:val="18"/>
              </w:rPr>
              <w:t>Full Framework (Baseline)</w:t>
            </w:r>
          </w:p>
        </w:tc>
        <w:tc>
          <w:tcPr>
            <w:tcW w:type="dxa" w:w="2160"/>
          </w:tcPr>
          <w:p>
            <w:pPr>
              <w:jc w:val="center"/>
            </w:pPr>
            <w:r>
              <w:rPr>
                <w:rFonts w:ascii="Calibri" w:hAnsi="Calibri"/>
                <w:b/>
                <w:sz w:val="18"/>
              </w:rPr>
              <w:t>0.889</w:t>
            </w:r>
          </w:p>
        </w:tc>
        <w:tc>
          <w:tcPr>
            <w:tcW w:type="dxa" w:w="2160"/>
          </w:tcPr>
          <w:p>
            <w:pPr>
              <w:jc w:val="center"/>
            </w:pPr>
            <w:r>
              <w:rPr>
                <w:rFonts w:ascii="Calibri" w:hAnsi="Calibri"/>
                <w:b/>
                <w:sz w:val="18"/>
              </w:rPr>
              <w:t>—</w:t>
            </w:r>
          </w:p>
        </w:tc>
        <w:tc>
          <w:tcPr>
            <w:tcW w:type="dxa" w:w="2160"/>
          </w:tcPr>
          <w:p>
            <w:pPr>
              <w:jc w:val="center"/>
            </w:pPr>
            <w:r>
              <w:rPr>
                <w:rFonts w:ascii="Calibri" w:hAnsi="Calibri"/>
                <w:b/>
                <w:sz w:val="18"/>
              </w:rPr>
              <w:t>0.012</w:t>
            </w:r>
          </w:p>
        </w:tc>
      </w:tr>
      <w:tr>
        <w:tc>
          <w:tcPr>
            <w:tcW w:type="dxa" w:w="2160"/>
          </w:tcPr>
          <w:p>
            <w:pPr>
              <w:jc w:val="left"/>
            </w:pPr>
            <w:r>
              <w:rPr>
                <w:rFonts w:ascii="Calibri" w:hAnsi="Calibri"/>
                <w:sz w:val="18"/>
              </w:rPr>
              <w:t>– FBS Reasoning</w:t>
            </w:r>
          </w:p>
        </w:tc>
        <w:tc>
          <w:tcPr>
            <w:tcW w:type="dxa" w:w="2160"/>
          </w:tcPr>
          <w:p>
            <w:pPr>
              <w:jc w:val="center"/>
            </w:pPr>
            <w:r>
              <w:rPr>
                <w:rFonts w:ascii="Calibri" w:hAnsi="Calibri"/>
                <w:sz w:val="18"/>
              </w:rPr>
              <w:t>0.603</w:t>
            </w:r>
          </w:p>
        </w:tc>
        <w:tc>
          <w:tcPr>
            <w:tcW w:type="dxa" w:w="2160"/>
          </w:tcPr>
          <w:p>
            <w:pPr>
              <w:jc w:val="center"/>
            </w:pPr>
            <w:r>
              <w:rPr>
                <w:rFonts w:ascii="Calibri" w:hAnsi="Calibri"/>
                <w:sz w:val="18"/>
              </w:rPr>
              <w:t>−32.2</w:t>
            </w:r>
          </w:p>
        </w:tc>
        <w:tc>
          <w:tcPr>
            <w:tcW w:type="dxa" w:w="2160"/>
          </w:tcPr>
          <w:p>
            <w:pPr>
              <w:jc w:val="center"/>
            </w:pPr>
            <w:r>
              <w:rPr>
                <w:rFonts w:ascii="Calibri" w:hAnsi="Calibri"/>
                <w:sz w:val="18"/>
              </w:rPr>
              <w:t>0.008</w:t>
            </w:r>
          </w:p>
        </w:tc>
      </w:tr>
      <w:tr>
        <w:tc>
          <w:tcPr>
            <w:tcW w:type="dxa" w:w="2160"/>
          </w:tcPr>
          <w:p>
            <w:pPr>
              <w:jc w:val="left"/>
            </w:pPr>
            <w:r>
              <w:rPr>
                <w:rFonts w:ascii="Calibri" w:hAnsi="Calibri"/>
                <w:sz w:val="18"/>
              </w:rPr>
              <w:t>– Scoring Agent (MCDA)</w:t>
            </w:r>
          </w:p>
        </w:tc>
        <w:tc>
          <w:tcPr>
            <w:tcW w:type="dxa" w:w="2160"/>
          </w:tcPr>
          <w:p>
            <w:pPr>
              <w:jc w:val="center"/>
            </w:pPr>
            <w:r>
              <w:rPr>
                <w:rFonts w:ascii="Calibri" w:hAnsi="Calibri"/>
                <w:sz w:val="18"/>
              </w:rPr>
              <w:t>0.615</w:t>
            </w:r>
          </w:p>
        </w:tc>
        <w:tc>
          <w:tcPr>
            <w:tcW w:type="dxa" w:w="2160"/>
          </w:tcPr>
          <w:p>
            <w:pPr>
              <w:jc w:val="center"/>
            </w:pPr>
            <w:r>
              <w:rPr>
                <w:rFonts w:ascii="Calibri" w:hAnsi="Calibri"/>
                <w:sz w:val="18"/>
              </w:rPr>
              <w:t>−30.9</w:t>
            </w:r>
          </w:p>
        </w:tc>
        <w:tc>
          <w:tcPr>
            <w:tcW w:type="dxa" w:w="2160"/>
          </w:tcPr>
          <w:p>
            <w:pPr>
              <w:jc w:val="center"/>
            </w:pPr>
            <w:r>
              <w:rPr>
                <w:rFonts w:ascii="Calibri" w:hAnsi="Calibri"/>
                <w:sz w:val="18"/>
              </w:rPr>
              <w:t>0.043</w:t>
            </w:r>
          </w:p>
        </w:tc>
      </w:tr>
      <w:tr>
        <w:tc>
          <w:tcPr>
            <w:tcW w:type="dxa" w:w="2160"/>
          </w:tcPr>
          <w:p>
            <w:pPr>
              <w:jc w:val="left"/>
            </w:pPr>
            <w:r>
              <w:rPr>
                <w:rFonts w:ascii="Calibri" w:hAnsi="Calibri"/>
                <w:sz w:val="18"/>
              </w:rPr>
              <w:t>– Refinement Agent</w:t>
            </w:r>
          </w:p>
        </w:tc>
        <w:tc>
          <w:tcPr>
            <w:tcW w:type="dxa" w:w="2160"/>
          </w:tcPr>
          <w:p>
            <w:pPr>
              <w:jc w:val="center"/>
            </w:pPr>
            <w:r>
              <w:rPr>
                <w:rFonts w:ascii="Calibri" w:hAnsi="Calibri"/>
                <w:sz w:val="18"/>
              </w:rPr>
              <w:t>0.770</w:t>
            </w:r>
          </w:p>
        </w:tc>
        <w:tc>
          <w:tcPr>
            <w:tcW w:type="dxa" w:w="2160"/>
          </w:tcPr>
          <w:p>
            <w:pPr>
              <w:jc w:val="center"/>
            </w:pPr>
            <w:r>
              <w:rPr>
                <w:rFonts w:ascii="Calibri" w:hAnsi="Calibri"/>
                <w:sz w:val="18"/>
              </w:rPr>
              <w:t>−13.4</w:t>
            </w:r>
          </w:p>
        </w:tc>
        <w:tc>
          <w:tcPr>
            <w:tcW w:type="dxa" w:w="2160"/>
          </w:tcPr>
          <w:p>
            <w:pPr>
              <w:jc w:val="center"/>
            </w:pPr>
            <w:r>
              <w:rPr>
                <w:rFonts w:ascii="Calibri" w:hAnsi="Calibri"/>
                <w:sz w:val="18"/>
              </w:rPr>
              <w:t>0.037</w:t>
            </w:r>
          </w:p>
        </w:tc>
      </w:tr>
      <w:tr>
        <w:tc>
          <w:tcPr>
            <w:tcW w:type="dxa" w:w="2160"/>
          </w:tcPr>
          <w:p>
            <w:pPr>
              <w:jc w:val="left"/>
            </w:pPr>
            <w:r>
              <w:rPr>
                <w:rFonts w:ascii="Calibri" w:hAnsi="Calibri"/>
                <w:sz w:val="18"/>
              </w:rPr>
              <w:t>– Layout Agent</w:t>
            </w:r>
          </w:p>
        </w:tc>
        <w:tc>
          <w:tcPr>
            <w:tcW w:type="dxa" w:w="2160"/>
          </w:tcPr>
          <w:p>
            <w:pPr>
              <w:jc w:val="center"/>
            </w:pPr>
            <w:r>
              <w:rPr>
                <w:rFonts w:ascii="Calibri" w:hAnsi="Calibri"/>
                <w:sz w:val="18"/>
              </w:rPr>
              <w:t>0.832</w:t>
            </w:r>
          </w:p>
        </w:tc>
        <w:tc>
          <w:tcPr>
            <w:tcW w:type="dxa" w:w="2160"/>
          </w:tcPr>
          <w:p>
            <w:pPr>
              <w:jc w:val="center"/>
            </w:pPr>
            <w:r>
              <w:rPr>
                <w:rFonts w:ascii="Calibri" w:hAnsi="Calibri"/>
                <w:sz w:val="18"/>
              </w:rPr>
              <w:t>−6.5</w:t>
            </w:r>
          </w:p>
        </w:tc>
        <w:tc>
          <w:tcPr>
            <w:tcW w:type="dxa" w:w="2160"/>
          </w:tcPr>
          <w:p>
            <w:pPr>
              <w:jc w:val="center"/>
            </w:pPr>
            <w:r>
              <w:rPr>
                <w:rFonts w:ascii="Calibri" w:hAnsi="Calibri"/>
                <w:sz w:val="18"/>
              </w:rPr>
              <w:t>0.012</w:t>
            </w:r>
          </w:p>
        </w:tc>
      </w:tr>
      <w:tr>
        <w:tc>
          <w:tcPr>
            <w:tcW w:type="dxa" w:w="2160"/>
          </w:tcPr>
          <w:p>
            <w:pPr>
              <w:jc w:val="left"/>
            </w:pPr>
            <w:r>
              <w:rPr>
                <w:rFonts w:ascii="Calibri" w:hAnsi="Calibri"/>
                <w:sz w:val="18"/>
              </w:rPr>
              <w:t>– GoT Exploration</w:t>
            </w:r>
          </w:p>
        </w:tc>
        <w:tc>
          <w:tcPr>
            <w:tcW w:type="dxa" w:w="2160"/>
          </w:tcPr>
          <w:p>
            <w:pPr>
              <w:jc w:val="center"/>
            </w:pPr>
            <w:r>
              <w:rPr>
                <w:rFonts w:ascii="Calibri" w:hAnsi="Calibri"/>
                <w:sz w:val="18"/>
              </w:rPr>
              <w:t>0.862</w:t>
            </w:r>
          </w:p>
        </w:tc>
        <w:tc>
          <w:tcPr>
            <w:tcW w:type="dxa" w:w="2160"/>
          </w:tcPr>
          <w:p>
            <w:pPr>
              <w:jc w:val="center"/>
            </w:pPr>
            <w:r>
              <w:rPr>
                <w:rFonts w:ascii="Calibri" w:hAnsi="Calibri"/>
                <w:sz w:val="18"/>
              </w:rPr>
              <w:t>−3.0</w:t>
            </w:r>
          </w:p>
        </w:tc>
        <w:tc>
          <w:tcPr>
            <w:tcW w:type="dxa" w:w="2160"/>
          </w:tcPr>
          <w:p>
            <w:pPr>
              <w:jc w:val="center"/>
            </w:pPr>
            <w:r>
              <w:rPr>
                <w:rFonts w:ascii="Calibri" w:hAnsi="Calibri"/>
                <w:sz w:val="18"/>
              </w:rPr>
              <w:t>0.011</w:t>
            </w:r>
          </w:p>
        </w:tc>
      </w:tr>
      <w:tr>
        <w:tc>
          <w:tcPr>
            <w:tcW w:type="dxa" w:w="2160"/>
          </w:tcPr>
          <w:p>
            <w:pPr>
              <w:jc w:val="left"/>
            </w:pPr>
            <w:r>
              <w:rPr>
                <w:rFonts w:ascii="Calibri" w:hAnsi="Calibri"/>
                <w:sz w:val="18"/>
              </w:rPr>
              <w:t>– RAG (FAISS)</w:t>
            </w:r>
          </w:p>
        </w:tc>
        <w:tc>
          <w:tcPr>
            <w:tcW w:type="dxa" w:w="2160"/>
          </w:tcPr>
          <w:p>
            <w:pPr>
              <w:jc w:val="center"/>
            </w:pPr>
            <w:r>
              <w:rPr>
                <w:rFonts w:ascii="Calibri" w:hAnsi="Calibri"/>
                <w:sz w:val="18"/>
              </w:rPr>
              <w:t>0.863</w:t>
            </w:r>
          </w:p>
        </w:tc>
        <w:tc>
          <w:tcPr>
            <w:tcW w:type="dxa" w:w="2160"/>
          </w:tcPr>
          <w:p>
            <w:pPr>
              <w:jc w:val="center"/>
            </w:pPr>
            <w:r>
              <w:rPr>
                <w:rFonts w:ascii="Calibri" w:hAnsi="Calibri"/>
                <w:sz w:val="18"/>
              </w:rPr>
              <w:t>−3.0</w:t>
            </w:r>
          </w:p>
        </w:tc>
        <w:tc>
          <w:tcPr>
            <w:tcW w:type="dxa" w:w="2160"/>
          </w:tcPr>
          <w:p>
            <w:pPr>
              <w:jc w:val="center"/>
            </w:pPr>
            <w:r>
              <w:rPr>
                <w:rFonts w:ascii="Calibri" w:hAnsi="Calibri"/>
                <w:sz w:val="18"/>
              </w:rPr>
              <w:t>0.012</w:t>
            </w:r>
          </w:p>
        </w:tc>
      </w:tr>
      <w:tr>
        <w:tc>
          <w:tcPr>
            <w:tcW w:type="dxa" w:w="2160"/>
          </w:tcPr>
          <w:p>
            <w:pPr>
              <w:jc w:val="left"/>
            </w:pPr>
            <w:r>
              <w:rPr>
                <w:rFonts w:ascii="Calibri" w:hAnsi="Calibri"/>
                <w:sz w:val="18"/>
              </w:rPr>
              <w:t>– Pruning</w:t>
            </w:r>
          </w:p>
        </w:tc>
        <w:tc>
          <w:tcPr>
            <w:tcW w:type="dxa" w:w="2160"/>
          </w:tcPr>
          <w:p>
            <w:pPr>
              <w:jc w:val="center"/>
            </w:pPr>
            <w:r>
              <w:rPr>
                <w:rFonts w:ascii="Calibri" w:hAnsi="Calibri"/>
                <w:sz w:val="18"/>
              </w:rPr>
              <w:t>0.874</w:t>
            </w:r>
          </w:p>
        </w:tc>
        <w:tc>
          <w:tcPr>
            <w:tcW w:type="dxa" w:w="2160"/>
          </w:tcPr>
          <w:p>
            <w:pPr>
              <w:jc w:val="center"/>
            </w:pPr>
            <w:r>
              <w:rPr>
                <w:rFonts w:ascii="Calibri" w:hAnsi="Calibri"/>
                <w:sz w:val="18"/>
              </w:rPr>
              <w:t>−1.7</w:t>
            </w:r>
          </w:p>
        </w:tc>
        <w:tc>
          <w:tcPr>
            <w:tcW w:type="dxa" w:w="2160"/>
          </w:tcPr>
          <w:p>
            <w:pPr>
              <w:jc w:val="center"/>
            </w:pPr>
            <w:r>
              <w:rPr>
                <w:rFonts w:ascii="Calibri" w:hAnsi="Calibri"/>
                <w:sz w:val="18"/>
              </w:rPr>
              <w:t>0.012</w:t>
            </w:r>
          </w:p>
        </w:tc>
      </w:tr>
      <w:tr>
        <w:tc>
          <w:tcPr>
            <w:tcW w:type="dxa" w:w="2160"/>
          </w:tcPr>
          <w:p>
            <w:pPr>
              <w:jc w:val="left"/>
            </w:pPr>
            <w:r>
              <w:rPr>
                <w:rFonts w:ascii="Calibri" w:hAnsi="Calibri"/>
                <w:sz w:val="18"/>
              </w:rPr>
              <w:t>– Aggregation</w:t>
            </w:r>
          </w:p>
        </w:tc>
        <w:tc>
          <w:tcPr>
            <w:tcW w:type="dxa" w:w="2160"/>
          </w:tcPr>
          <w:p>
            <w:pPr>
              <w:jc w:val="center"/>
            </w:pPr>
            <w:r>
              <w:rPr>
                <w:rFonts w:ascii="Calibri" w:hAnsi="Calibri"/>
                <w:sz w:val="18"/>
              </w:rPr>
              <w:t>0.875</w:t>
            </w:r>
          </w:p>
        </w:tc>
        <w:tc>
          <w:tcPr>
            <w:tcW w:type="dxa" w:w="2160"/>
          </w:tcPr>
          <w:p>
            <w:pPr>
              <w:jc w:val="center"/>
            </w:pPr>
            <w:r>
              <w:rPr>
                <w:rFonts w:ascii="Calibri" w:hAnsi="Calibri"/>
                <w:sz w:val="18"/>
              </w:rPr>
              <w:t>−1.6</w:t>
            </w:r>
          </w:p>
        </w:tc>
        <w:tc>
          <w:tcPr>
            <w:tcW w:type="dxa" w:w="2160"/>
          </w:tcPr>
          <w:p>
            <w:pPr>
              <w:jc w:val="center"/>
            </w:pPr>
            <w:r>
              <w:rPr>
                <w:rFonts w:ascii="Calibri" w:hAnsi="Calibri"/>
                <w:sz w:val="18"/>
              </w:rPr>
              <w:t>0.015</w:t>
            </w:r>
          </w:p>
        </w:tc>
      </w:tr>
      <w:tr>
        <w:tc>
          <w:tcPr>
            <w:tcW w:type="dxa" w:w="2160"/>
          </w:tcPr>
          <w:p>
            <w:pPr>
              <w:jc w:val="left"/>
            </w:pPr>
            <w:r>
              <w:rPr>
                <w:rFonts w:ascii="Calibri" w:hAnsi="Calibri"/>
                <w:sz w:val="18"/>
              </w:rPr>
              <w:t>– Adaptive Complexity</w:t>
            </w:r>
          </w:p>
        </w:tc>
        <w:tc>
          <w:tcPr>
            <w:tcW w:type="dxa" w:w="2160"/>
          </w:tcPr>
          <w:p>
            <w:pPr>
              <w:jc w:val="center"/>
            </w:pPr>
            <w:r>
              <w:rPr>
                <w:rFonts w:ascii="Calibri" w:hAnsi="Calibri"/>
                <w:sz w:val="18"/>
              </w:rPr>
              <w:t>0.881</w:t>
            </w:r>
          </w:p>
        </w:tc>
        <w:tc>
          <w:tcPr>
            <w:tcW w:type="dxa" w:w="2160"/>
          </w:tcPr>
          <w:p>
            <w:pPr>
              <w:jc w:val="center"/>
            </w:pPr>
            <w:r>
              <w:rPr>
                <w:rFonts w:ascii="Calibri" w:hAnsi="Calibri"/>
                <w:sz w:val="18"/>
              </w:rPr>
              <w:t>−0.9</w:t>
            </w:r>
          </w:p>
        </w:tc>
        <w:tc>
          <w:tcPr>
            <w:tcW w:type="dxa" w:w="2160"/>
          </w:tcPr>
          <w:p>
            <w:pPr>
              <w:jc w:val="center"/>
            </w:pPr>
            <w:r>
              <w:rPr>
                <w:rFonts w:ascii="Calibri" w:hAnsi="Calibri"/>
                <w:sz w:val="18"/>
              </w:rPr>
              <w:t>0.012</w:t>
            </w:r>
          </w:p>
        </w:tc>
      </w:tr>
    </w:tbl>
    <w:p>
      <w:pPr>
        <w:pStyle w:val="Heading2"/>
      </w:pPr>
      <w:r>
        <w:t>3.2 Per-Scenario Breakdown</w:t>
      </w:r>
    </w:p>
    <w:p>
      <w:r>
        <w:rPr>
          <w:b/>
          <w:sz w:val="20"/>
        </w:rPr>
        <w:t>Table 2. 2-Bedroom Apartment (Low Complexity)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F5496" w:val="clear"/>
          </w:tcPr>
          <w:p>
            <w:pPr>
              <w:jc w:val="left"/>
            </w:pPr>
            <w:r>
              <w:rPr>
                <w:rFonts w:ascii="Calibri" w:hAnsi="Calibri"/>
                <w:b/>
                <w:color w:val="FFFFFF"/>
                <w:sz w:val="18"/>
              </w:rPr>
              <w:t>Configuration</w:t>
            </w:r>
          </w:p>
        </w:tc>
        <w:tc>
          <w:tcPr>
            <w:tcW w:type="dxa" w:w="1234"/>
            <w:shd w:fill="2F5496" w:val="clear"/>
          </w:tcPr>
          <w:p>
            <w:pPr>
              <w:jc w:val="center"/>
            </w:pPr>
            <w:r>
              <w:rPr>
                <w:rFonts w:ascii="Calibri" w:hAnsi="Calibri"/>
                <w:b/>
                <w:color w:val="FFFFFF"/>
                <w:sz w:val="18"/>
              </w:rPr>
              <w:t>S_f</w:t>
            </w:r>
          </w:p>
        </w:tc>
        <w:tc>
          <w:tcPr>
            <w:tcW w:type="dxa" w:w="1234"/>
            <w:shd w:fill="2F5496" w:val="clear"/>
          </w:tcPr>
          <w:p>
            <w:pPr>
              <w:jc w:val="center"/>
            </w:pPr>
            <w:r>
              <w:rPr>
                <w:rFonts w:ascii="Calibri" w:hAnsi="Calibri"/>
                <w:b/>
                <w:color w:val="FFFFFF"/>
                <w:sz w:val="18"/>
              </w:rPr>
              <w:t>S_b</w:t>
            </w:r>
          </w:p>
        </w:tc>
        <w:tc>
          <w:tcPr>
            <w:tcW w:type="dxa" w:w="1234"/>
            <w:shd w:fill="2F5496" w:val="clear"/>
          </w:tcPr>
          <w:p>
            <w:pPr>
              <w:jc w:val="center"/>
            </w:pPr>
            <w:r>
              <w:rPr>
                <w:rFonts w:ascii="Calibri" w:hAnsi="Calibri"/>
                <w:b/>
                <w:color w:val="FFFFFF"/>
                <w:sz w:val="18"/>
              </w:rPr>
              <w:t>S_s</w:t>
            </w:r>
          </w:p>
        </w:tc>
        <w:tc>
          <w:tcPr>
            <w:tcW w:type="dxa" w:w="1234"/>
            <w:shd w:fill="2F5496" w:val="clear"/>
          </w:tcPr>
          <w:p>
            <w:pPr>
              <w:jc w:val="center"/>
            </w:pPr>
            <w:r>
              <w:rPr>
                <w:rFonts w:ascii="Calibri" w:hAnsi="Calibri"/>
                <w:b/>
                <w:color w:val="FFFFFF"/>
                <w:sz w:val="18"/>
              </w:rPr>
              <w:t>S_l</w:t>
            </w:r>
          </w:p>
        </w:tc>
        <w:tc>
          <w:tcPr>
            <w:tcW w:type="dxa" w:w="1234"/>
            <w:shd w:fill="2F5496" w:val="clear"/>
          </w:tcPr>
          <w:p>
            <w:pPr>
              <w:jc w:val="center"/>
            </w:pPr>
            <w:r>
              <w:rPr>
                <w:rFonts w:ascii="Calibri" w:hAnsi="Calibri"/>
                <w:b/>
                <w:color w:val="FFFFFF"/>
                <w:sz w:val="18"/>
              </w:rPr>
              <w:t>Composite</w:t>
            </w:r>
          </w:p>
        </w:tc>
        <w:tc>
          <w:tcPr>
            <w:tcW w:type="dxa" w:w="1234"/>
            <w:shd w:fill="2F5496" w:val="clear"/>
          </w:tcPr>
          <w:p>
            <w:pPr>
              <w:jc w:val="center"/>
            </w:pPr>
            <w:r>
              <w:rPr>
                <w:rFonts w:ascii="Calibri" w:hAnsi="Calibri"/>
                <w:b/>
                <w:color w:val="FFFFFF"/>
                <w:sz w:val="18"/>
              </w:rPr>
              <w:t>Δ (%)</w:t>
            </w:r>
          </w:p>
        </w:tc>
      </w:tr>
      <w:tr>
        <w:tc>
          <w:tcPr>
            <w:tcW w:type="dxa" w:w="1234"/>
          </w:tcPr>
          <w:p>
            <w:pPr>
              <w:jc w:val="left"/>
            </w:pPr>
            <w:r>
              <w:rPr>
                <w:rFonts w:ascii="Calibri" w:hAnsi="Calibri"/>
                <w:b/>
                <w:sz w:val="18"/>
              </w:rPr>
              <w:t>Full Framework</w:t>
            </w:r>
          </w:p>
        </w:tc>
        <w:tc>
          <w:tcPr>
            <w:tcW w:type="dxa" w:w="1234"/>
          </w:tcPr>
          <w:p>
            <w:pPr>
              <w:jc w:val="center"/>
            </w:pPr>
            <w:r>
              <w:rPr>
                <w:rFonts w:ascii="Calibri" w:hAnsi="Calibri"/>
                <w:b/>
                <w:sz w:val="18"/>
              </w:rPr>
              <w:t>0.995</w:t>
            </w:r>
          </w:p>
        </w:tc>
        <w:tc>
          <w:tcPr>
            <w:tcW w:type="dxa" w:w="1234"/>
          </w:tcPr>
          <w:p>
            <w:pPr>
              <w:jc w:val="center"/>
            </w:pPr>
            <w:r>
              <w:rPr>
                <w:rFonts w:ascii="Calibri" w:hAnsi="Calibri"/>
                <w:b/>
                <w:sz w:val="18"/>
              </w:rPr>
              <w:t>0.992</w:t>
            </w:r>
          </w:p>
        </w:tc>
        <w:tc>
          <w:tcPr>
            <w:tcW w:type="dxa" w:w="1234"/>
          </w:tcPr>
          <w:p>
            <w:pPr>
              <w:jc w:val="center"/>
            </w:pPr>
            <w:r>
              <w:rPr>
                <w:rFonts w:ascii="Calibri" w:hAnsi="Calibri"/>
                <w:b/>
                <w:sz w:val="18"/>
              </w:rPr>
              <w:t>1.000</w:t>
            </w:r>
          </w:p>
        </w:tc>
        <w:tc>
          <w:tcPr>
            <w:tcW w:type="dxa" w:w="1234"/>
          </w:tcPr>
          <w:p>
            <w:pPr>
              <w:jc w:val="center"/>
            </w:pPr>
            <w:r>
              <w:rPr>
                <w:rFonts w:ascii="Calibri" w:hAnsi="Calibri"/>
                <w:b/>
                <w:sz w:val="18"/>
              </w:rPr>
              <w:t>0.829</w:t>
            </w:r>
          </w:p>
        </w:tc>
        <w:tc>
          <w:tcPr>
            <w:tcW w:type="dxa" w:w="1234"/>
          </w:tcPr>
          <w:p>
            <w:pPr>
              <w:jc w:val="center"/>
            </w:pPr>
            <w:r>
              <w:rPr>
                <w:rFonts w:ascii="Calibri" w:hAnsi="Calibri"/>
                <w:b/>
                <w:sz w:val="18"/>
              </w:rPr>
              <w:t>0.904</w:t>
            </w:r>
          </w:p>
        </w:tc>
        <w:tc>
          <w:tcPr>
            <w:tcW w:type="dxa" w:w="1234"/>
          </w:tcPr>
          <w:p>
            <w:pPr>
              <w:jc w:val="center"/>
            </w:pPr>
            <w:r>
              <w:rPr>
                <w:rFonts w:ascii="Calibri" w:hAnsi="Calibri"/>
                <w:b/>
                <w:sz w:val="18"/>
              </w:rPr>
              <w:t>—</w:t>
            </w:r>
          </w:p>
        </w:tc>
      </w:tr>
      <w:tr>
        <w:tc>
          <w:tcPr>
            <w:tcW w:type="dxa" w:w="1234"/>
          </w:tcPr>
          <w:p>
            <w:pPr>
              <w:jc w:val="left"/>
            </w:pPr>
            <w:r>
              <w:rPr>
                <w:rFonts w:ascii="Calibri" w:hAnsi="Calibri"/>
                <w:sz w:val="18"/>
              </w:rPr>
              <w:t>– FBS Reasoning</w:t>
            </w:r>
          </w:p>
        </w:tc>
        <w:tc>
          <w:tcPr>
            <w:tcW w:type="dxa" w:w="1234"/>
          </w:tcPr>
          <w:p>
            <w:pPr>
              <w:jc w:val="center"/>
            </w:pPr>
            <w:r>
              <w:rPr>
                <w:rFonts w:ascii="Calibri" w:hAnsi="Calibri"/>
                <w:sz w:val="18"/>
              </w:rPr>
              <w:t>0.171</w:t>
            </w:r>
          </w:p>
        </w:tc>
        <w:tc>
          <w:tcPr>
            <w:tcW w:type="dxa" w:w="1234"/>
          </w:tcPr>
          <w:p>
            <w:pPr>
              <w:jc w:val="center"/>
            </w:pPr>
            <w:r>
              <w:rPr>
                <w:rFonts w:ascii="Calibri" w:hAnsi="Calibri"/>
                <w:sz w:val="18"/>
              </w:rPr>
              <w:t>0.500</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0.829</w:t>
            </w:r>
          </w:p>
        </w:tc>
        <w:tc>
          <w:tcPr>
            <w:tcW w:type="dxa" w:w="1234"/>
          </w:tcPr>
          <w:p>
            <w:pPr>
              <w:jc w:val="center"/>
            </w:pPr>
            <w:r>
              <w:rPr>
                <w:rFonts w:ascii="Calibri" w:hAnsi="Calibri"/>
                <w:sz w:val="18"/>
              </w:rPr>
              <w:t>0.600</w:t>
            </w:r>
          </w:p>
        </w:tc>
        <w:tc>
          <w:tcPr>
            <w:tcW w:type="dxa" w:w="1234"/>
          </w:tcPr>
          <w:p>
            <w:pPr>
              <w:jc w:val="center"/>
            </w:pPr>
            <w:r>
              <w:rPr>
                <w:rFonts w:ascii="Calibri" w:hAnsi="Calibri"/>
                <w:sz w:val="18"/>
              </w:rPr>
              <w:t>−33.6</w:t>
            </w:r>
          </w:p>
        </w:tc>
      </w:tr>
      <w:tr>
        <w:tc>
          <w:tcPr>
            <w:tcW w:type="dxa" w:w="1234"/>
          </w:tcPr>
          <w:p>
            <w:pPr>
              <w:jc w:val="left"/>
            </w:pPr>
            <w:r>
              <w:rPr>
                <w:rFonts w:ascii="Calibri" w:hAnsi="Calibri"/>
                <w:sz w:val="18"/>
              </w:rPr>
              <w:t>– Scoring (MCDA)</w:t>
            </w:r>
          </w:p>
        </w:tc>
        <w:tc>
          <w:tcPr>
            <w:tcW w:type="dxa" w:w="1234"/>
          </w:tcPr>
          <w:p>
            <w:pPr>
              <w:jc w:val="center"/>
            </w:pPr>
            <w:r>
              <w:rPr>
                <w:rFonts w:ascii="Calibri" w:hAnsi="Calibri"/>
                <w:sz w:val="18"/>
              </w:rPr>
              <w:t>0.500</w:t>
            </w:r>
          </w:p>
        </w:tc>
        <w:tc>
          <w:tcPr>
            <w:tcW w:type="dxa" w:w="1234"/>
          </w:tcPr>
          <w:p>
            <w:pPr>
              <w:jc w:val="center"/>
            </w:pPr>
            <w:r>
              <w:rPr>
                <w:rFonts w:ascii="Calibri" w:hAnsi="Calibri"/>
                <w:sz w:val="18"/>
              </w:rPr>
              <w:t>0.500</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0.780</w:t>
            </w:r>
          </w:p>
        </w:tc>
        <w:tc>
          <w:tcPr>
            <w:tcW w:type="dxa" w:w="1234"/>
          </w:tcPr>
          <w:p>
            <w:pPr>
              <w:jc w:val="center"/>
            </w:pPr>
            <w:r>
              <w:rPr>
                <w:rFonts w:ascii="Calibri" w:hAnsi="Calibri"/>
                <w:sz w:val="18"/>
              </w:rPr>
              <w:t>0.656</w:t>
            </w:r>
          </w:p>
        </w:tc>
        <w:tc>
          <w:tcPr>
            <w:tcW w:type="dxa" w:w="1234"/>
          </w:tcPr>
          <w:p>
            <w:pPr>
              <w:jc w:val="center"/>
            </w:pPr>
            <w:r>
              <w:rPr>
                <w:rFonts w:ascii="Calibri" w:hAnsi="Calibri"/>
                <w:sz w:val="18"/>
              </w:rPr>
              <w:t>−27.5</w:t>
            </w:r>
          </w:p>
        </w:tc>
      </w:tr>
      <w:tr>
        <w:tc>
          <w:tcPr>
            <w:tcW w:type="dxa" w:w="1234"/>
          </w:tcPr>
          <w:p>
            <w:pPr>
              <w:jc w:val="left"/>
            </w:pPr>
            <w:r>
              <w:rPr>
                <w:rFonts w:ascii="Calibri" w:hAnsi="Calibri"/>
                <w:sz w:val="18"/>
              </w:rPr>
              <w:t>– Refinement</w:t>
            </w:r>
          </w:p>
        </w:tc>
        <w:tc>
          <w:tcPr>
            <w:tcW w:type="dxa" w:w="1234"/>
          </w:tcPr>
          <w:p>
            <w:pPr>
              <w:jc w:val="center"/>
            </w:pPr>
            <w:r>
              <w:rPr>
                <w:rFonts w:ascii="Calibri" w:hAnsi="Calibri"/>
                <w:sz w:val="18"/>
              </w:rPr>
              <w:t>0.595</w:t>
            </w:r>
          </w:p>
        </w:tc>
        <w:tc>
          <w:tcPr>
            <w:tcW w:type="dxa" w:w="1234"/>
          </w:tcPr>
          <w:p>
            <w:pPr>
              <w:jc w:val="center"/>
            </w:pPr>
            <w:r>
              <w:rPr>
                <w:rFonts w:ascii="Calibri" w:hAnsi="Calibri"/>
                <w:sz w:val="18"/>
              </w:rPr>
              <w:t>0.985</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0.829</w:t>
            </w:r>
          </w:p>
        </w:tc>
        <w:tc>
          <w:tcPr>
            <w:tcW w:type="dxa" w:w="1234"/>
          </w:tcPr>
          <w:p>
            <w:pPr>
              <w:jc w:val="center"/>
            </w:pPr>
            <w:r>
              <w:rPr>
                <w:rFonts w:ascii="Calibri" w:hAnsi="Calibri"/>
                <w:sz w:val="18"/>
              </w:rPr>
              <w:t>0.803</w:t>
            </w:r>
          </w:p>
        </w:tc>
        <w:tc>
          <w:tcPr>
            <w:tcW w:type="dxa" w:w="1234"/>
          </w:tcPr>
          <w:p>
            <w:pPr>
              <w:jc w:val="center"/>
            </w:pPr>
            <w:r>
              <w:rPr>
                <w:rFonts w:ascii="Calibri" w:hAnsi="Calibri"/>
                <w:sz w:val="18"/>
              </w:rPr>
              <w:t>−11.2</w:t>
            </w:r>
          </w:p>
        </w:tc>
      </w:tr>
      <w:tr>
        <w:tc>
          <w:tcPr>
            <w:tcW w:type="dxa" w:w="1234"/>
          </w:tcPr>
          <w:p>
            <w:pPr>
              <w:jc w:val="left"/>
            </w:pPr>
            <w:r>
              <w:rPr>
                <w:rFonts w:ascii="Calibri" w:hAnsi="Calibri"/>
                <w:sz w:val="18"/>
              </w:rPr>
              <w:t>– Layout Agent</w:t>
            </w:r>
          </w:p>
        </w:tc>
        <w:tc>
          <w:tcPr>
            <w:tcW w:type="dxa" w:w="1234"/>
          </w:tcPr>
          <w:p>
            <w:pPr>
              <w:jc w:val="center"/>
            </w:pPr>
            <w:r>
              <w:rPr>
                <w:rFonts w:ascii="Calibri" w:hAnsi="Calibri"/>
                <w:sz w:val="18"/>
              </w:rPr>
              <w:t>0.995</w:t>
            </w:r>
          </w:p>
        </w:tc>
        <w:tc>
          <w:tcPr>
            <w:tcW w:type="dxa" w:w="1234"/>
          </w:tcPr>
          <w:p>
            <w:pPr>
              <w:jc w:val="center"/>
            </w:pPr>
            <w:r>
              <w:rPr>
                <w:rFonts w:ascii="Calibri" w:hAnsi="Calibri"/>
                <w:sz w:val="18"/>
              </w:rPr>
              <w:t>0.992</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0.598</w:t>
            </w:r>
          </w:p>
        </w:tc>
        <w:tc>
          <w:tcPr>
            <w:tcW w:type="dxa" w:w="1234"/>
          </w:tcPr>
          <w:p>
            <w:pPr>
              <w:jc w:val="center"/>
            </w:pPr>
            <w:r>
              <w:rPr>
                <w:rFonts w:ascii="Calibri" w:hAnsi="Calibri"/>
                <w:sz w:val="18"/>
              </w:rPr>
              <w:t>0.847</w:t>
            </w:r>
          </w:p>
        </w:tc>
        <w:tc>
          <w:tcPr>
            <w:tcW w:type="dxa" w:w="1234"/>
          </w:tcPr>
          <w:p>
            <w:pPr>
              <w:jc w:val="center"/>
            </w:pPr>
            <w:r>
              <w:rPr>
                <w:rFonts w:ascii="Calibri" w:hAnsi="Calibri"/>
                <w:sz w:val="18"/>
              </w:rPr>
              <w:t>−6.4</w:t>
            </w:r>
          </w:p>
        </w:tc>
      </w:tr>
      <w:tr>
        <w:tc>
          <w:tcPr>
            <w:tcW w:type="dxa" w:w="1234"/>
          </w:tcPr>
          <w:p>
            <w:pPr>
              <w:jc w:val="left"/>
            </w:pPr>
            <w:r>
              <w:rPr>
                <w:rFonts w:ascii="Calibri" w:hAnsi="Calibri"/>
                <w:sz w:val="18"/>
              </w:rPr>
              <w:t>– GoT</w:t>
            </w:r>
          </w:p>
        </w:tc>
        <w:tc>
          <w:tcPr>
            <w:tcW w:type="dxa" w:w="1234"/>
          </w:tcPr>
          <w:p>
            <w:pPr>
              <w:jc w:val="center"/>
            </w:pPr>
            <w:r>
              <w:rPr>
                <w:rFonts w:ascii="Calibri" w:hAnsi="Calibri"/>
                <w:sz w:val="18"/>
              </w:rPr>
              <w:t>0.995</w:t>
            </w:r>
          </w:p>
        </w:tc>
        <w:tc>
          <w:tcPr>
            <w:tcW w:type="dxa" w:w="1234"/>
          </w:tcPr>
          <w:p>
            <w:pPr>
              <w:jc w:val="center"/>
            </w:pPr>
            <w:r>
              <w:rPr>
                <w:rFonts w:ascii="Calibri" w:hAnsi="Calibri"/>
                <w:sz w:val="18"/>
              </w:rPr>
              <w:t>0.992</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0.714</w:t>
            </w:r>
          </w:p>
        </w:tc>
        <w:tc>
          <w:tcPr>
            <w:tcW w:type="dxa" w:w="1234"/>
          </w:tcPr>
          <w:p>
            <w:pPr>
              <w:jc w:val="center"/>
            </w:pPr>
            <w:r>
              <w:rPr>
                <w:rFonts w:ascii="Calibri" w:hAnsi="Calibri"/>
                <w:sz w:val="18"/>
              </w:rPr>
              <w:t>0.876</w:t>
            </w:r>
          </w:p>
        </w:tc>
        <w:tc>
          <w:tcPr>
            <w:tcW w:type="dxa" w:w="1234"/>
          </w:tcPr>
          <w:p>
            <w:pPr>
              <w:jc w:val="center"/>
            </w:pPr>
            <w:r>
              <w:rPr>
                <w:rFonts w:ascii="Calibri" w:hAnsi="Calibri"/>
                <w:sz w:val="18"/>
              </w:rPr>
              <w:t>−3.2</w:t>
            </w:r>
          </w:p>
        </w:tc>
      </w:tr>
      <w:tr>
        <w:tc>
          <w:tcPr>
            <w:tcW w:type="dxa" w:w="1234"/>
          </w:tcPr>
          <w:p>
            <w:pPr>
              <w:jc w:val="left"/>
            </w:pPr>
            <w:r>
              <w:rPr>
                <w:rFonts w:ascii="Calibri" w:hAnsi="Calibri"/>
                <w:sz w:val="18"/>
              </w:rPr>
              <w:t>– RAG</w:t>
            </w:r>
          </w:p>
        </w:tc>
        <w:tc>
          <w:tcPr>
            <w:tcW w:type="dxa" w:w="1234"/>
          </w:tcPr>
          <w:p>
            <w:pPr>
              <w:jc w:val="center"/>
            </w:pPr>
            <w:r>
              <w:rPr>
                <w:rFonts w:ascii="Calibri" w:hAnsi="Calibri"/>
                <w:sz w:val="18"/>
              </w:rPr>
              <w:t>0.995</w:t>
            </w:r>
          </w:p>
        </w:tc>
        <w:tc>
          <w:tcPr>
            <w:tcW w:type="dxa" w:w="1234"/>
          </w:tcPr>
          <w:p>
            <w:pPr>
              <w:jc w:val="center"/>
            </w:pPr>
            <w:r>
              <w:rPr>
                <w:rFonts w:ascii="Calibri" w:hAnsi="Calibri"/>
                <w:sz w:val="18"/>
              </w:rPr>
              <w:t>0.992</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0.722</w:t>
            </w:r>
          </w:p>
        </w:tc>
        <w:tc>
          <w:tcPr>
            <w:tcW w:type="dxa" w:w="1234"/>
          </w:tcPr>
          <w:p>
            <w:pPr>
              <w:jc w:val="center"/>
            </w:pPr>
            <w:r>
              <w:rPr>
                <w:rFonts w:ascii="Calibri" w:hAnsi="Calibri"/>
                <w:sz w:val="18"/>
              </w:rPr>
              <w:t>0.878</w:t>
            </w:r>
          </w:p>
        </w:tc>
        <w:tc>
          <w:tcPr>
            <w:tcW w:type="dxa" w:w="1234"/>
          </w:tcPr>
          <w:p>
            <w:pPr>
              <w:jc w:val="center"/>
            </w:pPr>
            <w:r>
              <w:rPr>
                <w:rFonts w:ascii="Calibri" w:hAnsi="Calibri"/>
                <w:sz w:val="18"/>
              </w:rPr>
              <w:t>−3.0</w:t>
            </w:r>
          </w:p>
        </w:tc>
      </w:tr>
      <w:tr>
        <w:tc>
          <w:tcPr>
            <w:tcW w:type="dxa" w:w="1234"/>
          </w:tcPr>
          <w:p>
            <w:pPr>
              <w:jc w:val="left"/>
            </w:pPr>
            <w:r>
              <w:rPr>
                <w:rFonts w:ascii="Calibri" w:hAnsi="Calibri"/>
                <w:sz w:val="18"/>
              </w:rPr>
              <w:t>– Pruning</w:t>
            </w:r>
          </w:p>
        </w:tc>
        <w:tc>
          <w:tcPr>
            <w:tcW w:type="dxa" w:w="1234"/>
          </w:tcPr>
          <w:p>
            <w:pPr>
              <w:jc w:val="center"/>
            </w:pPr>
            <w:r>
              <w:rPr>
                <w:rFonts w:ascii="Calibri" w:hAnsi="Calibri"/>
                <w:sz w:val="18"/>
              </w:rPr>
              <w:t>0.995</w:t>
            </w:r>
          </w:p>
        </w:tc>
        <w:tc>
          <w:tcPr>
            <w:tcW w:type="dxa" w:w="1234"/>
          </w:tcPr>
          <w:p>
            <w:pPr>
              <w:jc w:val="center"/>
            </w:pPr>
            <w:r>
              <w:rPr>
                <w:rFonts w:ascii="Calibri" w:hAnsi="Calibri"/>
                <w:sz w:val="18"/>
              </w:rPr>
              <w:t>0.992</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0.767</w:t>
            </w:r>
          </w:p>
        </w:tc>
        <w:tc>
          <w:tcPr>
            <w:tcW w:type="dxa" w:w="1234"/>
          </w:tcPr>
          <w:p>
            <w:pPr>
              <w:jc w:val="center"/>
            </w:pPr>
            <w:r>
              <w:rPr>
                <w:rFonts w:ascii="Calibri" w:hAnsi="Calibri"/>
                <w:sz w:val="18"/>
              </w:rPr>
              <w:t>0.889</w:t>
            </w:r>
          </w:p>
        </w:tc>
        <w:tc>
          <w:tcPr>
            <w:tcW w:type="dxa" w:w="1234"/>
          </w:tcPr>
          <w:p>
            <w:pPr>
              <w:jc w:val="center"/>
            </w:pPr>
            <w:r>
              <w:rPr>
                <w:rFonts w:ascii="Calibri" w:hAnsi="Calibri"/>
                <w:sz w:val="18"/>
              </w:rPr>
              <w:t>−1.7</w:t>
            </w:r>
          </w:p>
        </w:tc>
      </w:tr>
      <w:tr>
        <w:tc>
          <w:tcPr>
            <w:tcW w:type="dxa" w:w="1234"/>
          </w:tcPr>
          <w:p>
            <w:pPr>
              <w:jc w:val="left"/>
            </w:pPr>
            <w:r>
              <w:rPr>
                <w:rFonts w:ascii="Calibri" w:hAnsi="Calibri"/>
                <w:sz w:val="18"/>
              </w:rPr>
              <w:t>– Aggregation</w:t>
            </w:r>
          </w:p>
        </w:tc>
        <w:tc>
          <w:tcPr>
            <w:tcW w:type="dxa" w:w="1234"/>
          </w:tcPr>
          <w:p>
            <w:pPr>
              <w:jc w:val="center"/>
            </w:pPr>
            <w:r>
              <w:rPr>
                <w:rFonts w:ascii="Calibri" w:hAnsi="Calibri"/>
                <w:sz w:val="18"/>
              </w:rPr>
              <w:t>0.994</w:t>
            </w:r>
          </w:p>
        </w:tc>
        <w:tc>
          <w:tcPr>
            <w:tcW w:type="dxa" w:w="1234"/>
          </w:tcPr>
          <w:p>
            <w:pPr>
              <w:jc w:val="center"/>
            </w:pPr>
            <w:r>
              <w:rPr>
                <w:rFonts w:ascii="Calibri" w:hAnsi="Calibri"/>
                <w:sz w:val="18"/>
              </w:rPr>
              <w:t>0.991</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0.780</w:t>
            </w:r>
          </w:p>
        </w:tc>
        <w:tc>
          <w:tcPr>
            <w:tcW w:type="dxa" w:w="1234"/>
          </w:tcPr>
          <w:p>
            <w:pPr>
              <w:jc w:val="center"/>
            </w:pPr>
            <w:r>
              <w:rPr>
                <w:rFonts w:ascii="Calibri" w:hAnsi="Calibri"/>
                <w:sz w:val="18"/>
              </w:rPr>
              <w:t>0.892</w:t>
            </w:r>
          </w:p>
        </w:tc>
        <w:tc>
          <w:tcPr>
            <w:tcW w:type="dxa" w:w="1234"/>
          </w:tcPr>
          <w:p>
            <w:pPr>
              <w:jc w:val="center"/>
            </w:pPr>
            <w:r>
              <w:rPr>
                <w:rFonts w:ascii="Calibri" w:hAnsi="Calibri"/>
                <w:sz w:val="18"/>
              </w:rPr>
              <w:t>−1.4</w:t>
            </w:r>
          </w:p>
        </w:tc>
      </w:tr>
      <w:tr>
        <w:tc>
          <w:tcPr>
            <w:tcW w:type="dxa" w:w="1234"/>
          </w:tcPr>
          <w:p>
            <w:pPr>
              <w:jc w:val="left"/>
            </w:pPr>
            <w:r>
              <w:rPr>
                <w:rFonts w:ascii="Calibri" w:hAnsi="Calibri"/>
                <w:sz w:val="18"/>
              </w:rPr>
              <w:t>– Adaptive</w:t>
            </w:r>
          </w:p>
        </w:tc>
        <w:tc>
          <w:tcPr>
            <w:tcW w:type="dxa" w:w="1234"/>
          </w:tcPr>
          <w:p>
            <w:pPr>
              <w:jc w:val="center"/>
            </w:pPr>
            <w:r>
              <w:rPr>
                <w:rFonts w:ascii="Calibri" w:hAnsi="Calibri"/>
                <w:sz w:val="18"/>
              </w:rPr>
              <w:t>0.995</w:t>
            </w:r>
          </w:p>
        </w:tc>
        <w:tc>
          <w:tcPr>
            <w:tcW w:type="dxa" w:w="1234"/>
          </w:tcPr>
          <w:p>
            <w:pPr>
              <w:jc w:val="center"/>
            </w:pPr>
            <w:r>
              <w:rPr>
                <w:rFonts w:ascii="Calibri" w:hAnsi="Calibri"/>
                <w:sz w:val="18"/>
              </w:rPr>
              <w:t>0.992</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0.795</w:t>
            </w:r>
          </w:p>
        </w:tc>
        <w:tc>
          <w:tcPr>
            <w:tcW w:type="dxa" w:w="1234"/>
          </w:tcPr>
          <w:p>
            <w:pPr>
              <w:jc w:val="center"/>
            </w:pPr>
            <w:r>
              <w:rPr>
                <w:rFonts w:ascii="Calibri" w:hAnsi="Calibri"/>
                <w:sz w:val="18"/>
              </w:rPr>
              <w:t>0.896</w:t>
            </w:r>
          </w:p>
        </w:tc>
        <w:tc>
          <w:tcPr>
            <w:tcW w:type="dxa" w:w="1234"/>
          </w:tcPr>
          <w:p>
            <w:pPr>
              <w:jc w:val="center"/>
            </w:pPr>
            <w:r>
              <w:rPr>
                <w:rFonts w:ascii="Calibri" w:hAnsi="Calibri"/>
                <w:sz w:val="18"/>
              </w:rPr>
              <w:t>−0.9</w:t>
            </w:r>
          </w:p>
        </w:tc>
      </w:tr>
    </w:tbl>
    <w:p/>
    <w:p>
      <w:r>
        <w:rPr>
          <w:b/>
          <w:sz w:val="20"/>
        </w:rPr>
        <w:t>Table 3. 4-Bedroom Family Home (High Complexity)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F5496" w:val="clear"/>
          </w:tcPr>
          <w:p>
            <w:pPr>
              <w:jc w:val="left"/>
            </w:pPr>
            <w:r>
              <w:rPr>
                <w:rFonts w:ascii="Calibri" w:hAnsi="Calibri"/>
                <w:b/>
                <w:color w:val="FFFFFF"/>
                <w:sz w:val="18"/>
              </w:rPr>
              <w:t>Configuration</w:t>
            </w:r>
          </w:p>
        </w:tc>
        <w:tc>
          <w:tcPr>
            <w:tcW w:type="dxa" w:w="1234"/>
            <w:shd w:fill="2F5496" w:val="clear"/>
          </w:tcPr>
          <w:p>
            <w:pPr>
              <w:jc w:val="center"/>
            </w:pPr>
            <w:r>
              <w:rPr>
                <w:rFonts w:ascii="Calibri" w:hAnsi="Calibri"/>
                <w:b/>
                <w:color w:val="FFFFFF"/>
                <w:sz w:val="18"/>
              </w:rPr>
              <w:t>S_f</w:t>
            </w:r>
          </w:p>
        </w:tc>
        <w:tc>
          <w:tcPr>
            <w:tcW w:type="dxa" w:w="1234"/>
            <w:shd w:fill="2F5496" w:val="clear"/>
          </w:tcPr>
          <w:p>
            <w:pPr>
              <w:jc w:val="center"/>
            </w:pPr>
            <w:r>
              <w:rPr>
                <w:rFonts w:ascii="Calibri" w:hAnsi="Calibri"/>
                <w:b/>
                <w:color w:val="FFFFFF"/>
                <w:sz w:val="18"/>
              </w:rPr>
              <w:t>S_b</w:t>
            </w:r>
          </w:p>
        </w:tc>
        <w:tc>
          <w:tcPr>
            <w:tcW w:type="dxa" w:w="1234"/>
            <w:shd w:fill="2F5496" w:val="clear"/>
          </w:tcPr>
          <w:p>
            <w:pPr>
              <w:jc w:val="center"/>
            </w:pPr>
            <w:r>
              <w:rPr>
                <w:rFonts w:ascii="Calibri" w:hAnsi="Calibri"/>
                <w:b/>
                <w:color w:val="FFFFFF"/>
                <w:sz w:val="18"/>
              </w:rPr>
              <w:t>S_s</w:t>
            </w:r>
          </w:p>
        </w:tc>
        <w:tc>
          <w:tcPr>
            <w:tcW w:type="dxa" w:w="1234"/>
            <w:shd w:fill="2F5496" w:val="clear"/>
          </w:tcPr>
          <w:p>
            <w:pPr>
              <w:jc w:val="center"/>
            </w:pPr>
            <w:r>
              <w:rPr>
                <w:rFonts w:ascii="Calibri" w:hAnsi="Calibri"/>
                <w:b/>
                <w:color w:val="FFFFFF"/>
                <w:sz w:val="18"/>
              </w:rPr>
              <w:t>S_l</w:t>
            </w:r>
          </w:p>
        </w:tc>
        <w:tc>
          <w:tcPr>
            <w:tcW w:type="dxa" w:w="1234"/>
            <w:shd w:fill="2F5496" w:val="clear"/>
          </w:tcPr>
          <w:p>
            <w:pPr>
              <w:jc w:val="center"/>
            </w:pPr>
            <w:r>
              <w:rPr>
                <w:rFonts w:ascii="Calibri" w:hAnsi="Calibri"/>
                <w:b/>
                <w:color w:val="FFFFFF"/>
                <w:sz w:val="18"/>
              </w:rPr>
              <w:t>Composite</w:t>
            </w:r>
          </w:p>
        </w:tc>
        <w:tc>
          <w:tcPr>
            <w:tcW w:type="dxa" w:w="1234"/>
            <w:shd w:fill="2F5496" w:val="clear"/>
          </w:tcPr>
          <w:p>
            <w:pPr>
              <w:jc w:val="center"/>
            </w:pPr>
            <w:r>
              <w:rPr>
                <w:rFonts w:ascii="Calibri" w:hAnsi="Calibri"/>
                <w:b/>
                <w:color w:val="FFFFFF"/>
                <w:sz w:val="18"/>
              </w:rPr>
              <w:t>Δ (%)</w:t>
            </w:r>
          </w:p>
        </w:tc>
      </w:tr>
      <w:tr>
        <w:tc>
          <w:tcPr>
            <w:tcW w:type="dxa" w:w="1234"/>
          </w:tcPr>
          <w:p>
            <w:pPr>
              <w:jc w:val="left"/>
            </w:pPr>
            <w:r>
              <w:rPr>
                <w:rFonts w:ascii="Calibri" w:hAnsi="Calibri"/>
                <w:b/>
                <w:sz w:val="18"/>
              </w:rPr>
              <w:t>Full Framework</w:t>
            </w:r>
          </w:p>
        </w:tc>
        <w:tc>
          <w:tcPr>
            <w:tcW w:type="dxa" w:w="1234"/>
          </w:tcPr>
          <w:p>
            <w:pPr>
              <w:jc w:val="center"/>
            </w:pPr>
            <w:r>
              <w:rPr>
                <w:rFonts w:ascii="Calibri" w:hAnsi="Calibri"/>
                <w:b/>
                <w:sz w:val="18"/>
              </w:rPr>
              <w:t>0.930</w:t>
            </w:r>
          </w:p>
        </w:tc>
        <w:tc>
          <w:tcPr>
            <w:tcW w:type="dxa" w:w="1234"/>
          </w:tcPr>
          <w:p>
            <w:pPr>
              <w:jc w:val="center"/>
            </w:pPr>
            <w:r>
              <w:rPr>
                <w:rFonts w:ascii="Calibri" w:hAnsi="Calibri"/>
                <w:b/>
                <w:sz w:val="18"/>
              </w:rPr>
              <w:t>0.928</w:t>
            </w:r>
          </w:p>
        </w:tc>
        <w:tc>
          <w:tcPr>
            <w:tcW w:type="dxa" w:w="1234"/>
          </w:tcPr>
          <w:p>
            <w:pPr>
              <w:jc w:val="center"/>
            </w:pPr>
            <w:r>
              <w:rPr>
                <w:rFonts w:ascii="Calibri" w:hAnsi="Calibri"/>
                <w:b/>
                <w:sz w:val="18"/>
              </w:rPr>
              <w:t>1.000</w:t>
            </w:r>
          </w:p>
        </w:tc>
        <w:tc>
          <w:tcPr>
            <w:tcW w:type="dxa" w:w="1234"/>
          </w:tcPr>
          <w:p>
            <w:pPr>
              <w:jc w:val="center"/>
            </w:pPr>
            <w:r>
              <w:rPr>
                <w:rFonts w:ascii="Calibri" w:hAnsi="Calibri"/>
                <w:b/>
                <w:sz w:val="18"/>
              </w:rPr>
              <w:t>0.829</w:t>
            </w:r>
          </w:p>
        </w:tc>
        <w:tc>
          <w:tcPr>
            <w:tcW w:type="dxa" w:w="1234"/>
          </w:tcPr>
          <w:p>
            <w:pPr>
              <w:jc w:val="center"/>
            </w:pPr>
            <w:r>
              <w:rPr>
                <w:rFonts w:ascii="Calibri" w:hAnsi="Calibri"/>
                <w:b/>
                <w:sz w:val="18"/>
              </w:rPr>
              <w:t>0.875</w:t>
            </w:r>
          </w:p>
        </w:tc>
        <w:tc>
          <w:tcPr>
            <w:tcW w:type="dxa" w:w="1234"/>
          </w:tcPr>
          <w:p>
            <w:pPr>
              <w:jc w:val="center"/>
            </w:pPr>
            <w:r>
              <w:rPr>
                <w:rFonts w:ascii="Calibri" w:hAnsi="Calibri"/>
                <w:b/>
                <w:sz w:val="18"/>
              </w:rPr>
              <w:t>—</w:t>
            </w:r>
          </w:p>
        </w:tc>
      </w:tr>
      <w:tr>
        <w:tc>
          <w:tcPr>
            <w:tcW w:type="dxa" w:w="1234"/>
          </w:tcPr>
          <w:p>
            <w:pPr>
              <w:jc w:val="left"/>
            </w:pPr>
            <w:r>
              <w:rPr>
                <w:rFonts w:ascii="Calibri" w:hAnsi="Calibri"/>
                <w:sz w:val="18"/>
              </w:rPr>
              <w:t>– FBS Reasoning</w:t>
            </w:r>
          </w:p>
        </w:tc>
        <w:tc>
          <w:tcPr>
            <w:tcW w:type="dxa" w:w="1234"/>
          </w:tcPr>
          <w:p>
            <w:pPr>
              <w:jc w:val="center"/>
            </w:pPr>
            <w:r>
              <w:rPr>
                <w:rFonts w:ascii="Calibri" w:hAnsi="Calibri"/>
                <w:sz w:val="18"/>
              </w:rPr>
              <w:t>0.226</w:t>
            </w:r>
          </w:p>
        </w:tc>
        <w:tc>
          <w:tcPr>
            <w:tcW w:type="dxa" w:w="1234"/>
          </w:tcPr>
          <w:p>
            <w:pPr>
              <w:jc w:val="center"/>
            </w:pPr>
            <w:r>
              <w:rPr>
                <w:rFonts w:ascii="Calibri" w:hAnsi="Calibri"/>
                <w:sz w:val="18"/>
              </w:rPr>
              <w:t>0.500</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0.829</w:t>
            </w:r>
          </w:p>
        </w:tc>
        <w:tc>
          <w:tcPr>
            <w:tcW w:type="dxa" w:w="1234"/>
          </w:tcPr>
          <w:p>
            <w:pPr>
              <w:jc w:val="center"/>
            </w:pPr>
            <w:r>
              <w:rPr>
                <w:rFonts w:ascii="Calibri" w:hAnsi="Calibri"/>
                <w:sz w:val="18"/>
              </w:rPr>
              <w:t>0.614</w:t>
            </w:r>
          </w:p>
        </w:tc>
        <w:tc>
          <w:tcPr>
            <w:tcW w:type="dxa" w:w="1234"/>
          </w:tcPr>
          <w:p>
            <w:pPr>
              <w:jc w:val="center"/>
            </w:pPr>
            <w:r>
              <w:rPr>
                <w:rFonts w:ascii="Calibri" w:hAnsi="Calibri"/>
                <w:sz w:val="18"/>
              </w:rPr>
              <w:t>−29.9</w:t>
            </w:r>
          </w:p>
        </w:tc>
      </w:tr>
      <w:tr>
        <w:tc>
          <w:tcPr>
            <w:tcW w:type="dxa" w:w="1234"/>
          </w:tcPr>
          <w:p>
            <w:pPr>
              <w:jc w:val="left"/>
            </w:pPr>
            <w:r>
              <w:rPr>
                <w:rFonts w:ascii="Calibri" w:hAnsi="Calibri"/>
                <w:sz w:val="18"/>
              </w:rPr>
              <w:t>– Scoring (MCDA)</w:t>
            </w:r>
          </w:p>
        </w:tc>
        <w:tc>
          <w:tcPr>
            <w:tcW w:type="dxa" w:w="1234"/>
          </w:tcPr>
          <w:p>
            <w:pPr>
              <w:jc w:val="center"/>
            </w:pPr>
            <w:r>
              <w:rPr>
                <w:rFonts w:ascii="Calibri" w:hAnsi="Calibri"/>
                <w:sz w:val="18"/>
              </w:rPr>
              <w:t>0.250</w:t>
            </w:r>
          </w:p>
        </w:tc>
        <w:tc>
          <w:tcPr>
            <w:tcW w:type="dxa" w:w="1234"/>
          </w:tcPr>
          <w:p>
            <w:pPr>
              <w:jc w:val="center"/>
            </w:pPr>
            <w:r>
              <w:rPr>
                <w:rFonts w:ascii="Calibri" w:hAnsi="Calibri"/>
                <w:sz w:val="18"/>
              </w:rPr>
              <w:t>0.250</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0.780</w:t>
            </w:r>
          </w:p>
        </w:tc>
        <w:tc>
          <w:tcPr>
            <w:tcW w:type="dxa" w:w="1234"/>
          </w:tcPr>
          <w:p>
            <w:pPr>
              <w:jc w:val="center"/>
            </w:pPr>
            <w:r>
              <w:rPr>
                <w:rFonts w:ascii="Calibri" w:hAnsi="Calibri"/>
                <w:sz w:val="18"/>
              </w:rPr>
              <w:t>0.556</w:t>
            </w:r>
          </w:p>
        </w:tc>
        <w:tc>
          <w:tcPr>
            <w:tcW w:type="dxa" w:w="1234"/>
          </w:tcPr>
          <w:p>
            <w:pPr>
              <w:jc w:val="center"/>
            </w:pPr>
            <w:r>
              <w:rPr>
                <w:rFonts w:ascii="Calibri" w:hAnsi="Calibri"/>
                <w:sz w:val="18"/>
              </w:rPr>
              <w:t>−36.5</w:t>
            </w:r>
          </w:p>
        </w:tc>
      </w:tr>
      <w:tr>
        <w:tc>
          <w:tcPr>
            <w:tcW w:type="dxa" w:w="1234"/>
          </w:tcPr>
          <w:p>
            <w:pPr>
              <w:jc w:val="left"/>
            </w:pPr>
            <w:r>
              <w:rPr>
                <w:rFonts w:ascii="Calibri" w:hAnsi="Calibri"/>
                <w:sz w:val="18"/>
              </w:rPr>
              <w:t>– Refinement</w:t>
            </w:r>
          </w:p>
        </w:tc>
        <w:tc>
          <w:tcPr>
            <w:tcW w:type="dxa" w:w="1234"/>
          </w:tcPr>
          <w:p>
            <w:pPr>
              <w:jc w:val="center"/>
            </w:pPr>
            <w:r>
              <w:rPr>
                <w:rFonts w:ascii="Calibri" w:hAnsi="Calibri"/>
                <w:sz w:val="18"/>
              </w:rPr>
              <w:t>0.414</w:t>
            </w:r>
          </w:p>
        </w:tc>
        <w:tc>
          <w:tcPr>
            <w:tcW w:type="dxa" w:w="1234"/>
          </w:tcPr>
          <w:p>
            <w:pPr>
              <w:jc w:val="center"/>
            </w:pPr>
            <w:r>
              <w:rPr>
                <w:rFonts w:ascii="Calibri" w:hAnsi="Calibri"/>
                <w:sz w:val="18"/>
              </w:rPr>
              <w:t>0.788</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0.829</w:t>
            </w:r>
          </w:p>
        </w:tc>
        <w:tc>
          <w:tcPr>
            <w:tcW w:type="dxa" w:w="1234"/>
          </w:tcPr>
          <w:p>
            <w:pPr>
              <w:jc w:val="center"/>
            </w:pPr>
            <w:r>
              <w:rPr>
                <w:rFonts w:ascii="Calibri" w:hAnsi="Calibri"/>
                <w:sz w:val="18"/>
              </w:rPr>
              <w:t>0.718</w:t>
            </w:r>
          </w:p>
        </w:tc>
        <w:tc>
          <w:tcPr>
            <w:tcW w:type="dxa" w:w="1234"/>
          </w:tcPr>
          <w:p>
            <w:pPr>
              <w:jc w:val="center"/>
            </w:pPr>
            <w:r>
              <w:rPr>
                <w:rFonts w:ascii="Calibri" w:hAnsi="Calibri"/>
                <w:sz w:val="18"/>
              </w:rPr>
              <w:t>−17.9</w:t>
            </w:r>
          </w:p>
        </w:tc>
      </w:tr>
      <w:tr>
        <w:tc>
          <w:tcPr>
            <w:tcW w:type="dxa" w:w="1234"/>
          </w:tcPr>
          <w:p>
            <w:pPr>
              <w:jc w:val="left"/>
            </w:pPr>
            <w:r>
              <w:rPr>
                <w:rFonts w:ascii="Calibri" w:hAnsi="Calibri"/>
                <w:sz w:val="18"/>
              </w:rPr>
              <w:t>– Layout Agent</w:t>
            </w:r>
          </w:p>
        </w:tc>
        <w:tc>
          <w:tcPr>
            <w:tcW w:type="dxa" w:w="1234"/>
          </w:tcPr>
          <w:p>
            <w:pPr>
              <w:jc w:val="center"/>
            </w:pPr>
            <w:r>
              <w:rPr>
                <w:rFonts w:ascii="Calibri" w:hAnsi="Calibri"/>
                <w:sz w:val="18"/>
              </w:rPr>
              <w:t>0.930</w:t>
            </w:r>
          </w:p>
        </w:tc>
        <w:tc>
          <w:tcPr>
            <w:tcW w:type="dxa" w:w="1234"/>
          </w:tcPr>
          <w:p>
            <w:pPr>
              <w:jc w:val="center"/>
            </w:pPr>
            <w:r>
              <w:rPr>
                <w:rFonts w:ascii="Calibri" w:hAnsi="Calibri"/>
                <w:sz w:val="18"/>
              </w:rPr>
              <w:t>0.928</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0.598</w:t>
            </w:r>
          </w:p>
        </w:tc>
        <w:tc>
          <w:tcPr>
            <w:tcW w:type="dxa" w:w="1234"/>
          </w:tcPr>
          <w:p>
            <w:pPr>
              <w:jc w:val="center"/>
            </w:pPr>
            <w:r>
              <w:rPr>
                <w:rFonts w:ascii="Calibri" w:hAnsi="Calibri"/>
                <w:sz w:val="18"/>
              </w:rPr>
              <w:t>0.818</w:t>
            </w:r>
          </w:p>
        </w:tc>
        <w:tc>
          <w:tcPr>
            <w:tcW w:type="dxa" w:w="1234"/>
          </w:tcPr>
          <w:p>
            <w:pPr>
              <w:jc w:val="center"/>
            </w:pPr>
            <w:r>
              <w:rPr>
                <w:rFonts w:ascii="Calibri" w:hAnsi="Calibri"/>
                <w:sz w:val="18"/>
              </w:rPr>
              <w:t>−6.6</w:t>
            </w:r>
          </w:p>
        </w:tc>
      </w:tr>
      <w:tr>
        <w:tc>
          <w:tcPr>
            <w:tcW w:type="dxa" w:w="1234"/>
          </w:tcPr>
          <w:p>
            <w:pPr>
              <w:jc w:val="left"/>
            </w:pPr>
            <w:r>
              <w:rPr>
                <w:rFonts w:ascii="Calibri" w:hAnsi="Calibri"/>
                <w:sz w:val="18"/>
              </w:rPr>
              <w:t>– GoT</w:t>
            </w:r>
          </w:p>
        </w:tc>
        <w:tc>
          <w:tcPr>
            <w:tcW w:type="dxa" w:w="1234"/>
          </w:tcPr>
          <w:p>
            <w:pPr>
              <w:jc w:val="center"/>
            </w:pPr>
            <w:r>
              <w:rPr>
                <w:rFonts w:ascii="Calibri" w:hAnsi="Calibri"/>
                <w:sz w:val="18"/>
              </w:rPr>
              <w:t>0.933</w:t>
            </w:r>
          </w:p>
        </w:tc>
        <w:tc>
          <w:tcPr>
            <w:tcW w:type="dxa" w:w="1234"/>
          </w:tcPr>
          <w:p>
            <w:pPr>
              <w:jc w:val="center"/>
            </w:pPr>
            <w:r>
              <w:rPr>
                <w:rFonts w:ascii="Calibri" w:hAnsi="Calibri"/>
                <w:sz w:val="18"/>
              </w:rPr>
              <w:t>0.933</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0.714</w:t>
            </w:r>
          </w:p>
        </w:tc>
        <w:tc>
          <w:tcPr>
            <w:tcW w:type="dxa" w:w="1234"/>
          </w:tcPr>
          <w:p>
            <w:pPr>
              <w:jc w:val="center"/>
            </w:pPr>
            <w:r>
              <w:rPr>
                <w:rFonts w:ascii="Calibri" w:hAnsi="Calibri"/>
                <w:sz w:val="18"/>
              </w:rPr>
              <w:t>0.848</w:t>
            </w:r>
          </w:p>
        </w:tc>
        <w:tc>
          <w:tcPr>
            <w:tcW w:type="dxa" w:w="1234"/>
          </w:tcPr>
          <w:p>
            <w:pPr>
              <w:jc w:val="center"/>
            </w:pPr>
            <w:r>
              <w:rPr>
                <w:rFonts w:ascii="Calibri" w:hAnsi="Calibri"/>
                <w:sz w:val="18"/>
              </w:rPr>
              <w:t>−3.1</w:t>
            </w:r>
          </w:p>
        </w:tc>
      </w:tr>
      <w:tr>
        <w:tc>
          <w:tcPr>
            <w:tcW w:type="dxa" w:w="1234"/>
          </w:tcPr>
          <w:p>
            <w:pPr>
              <w:jc w:val="left"/>
            </w:pPr>
            <w:r>
              <w:rPr>
                <w:rFonts w:ascii="Calibri" w:hAnsi="Calibri"/>
                <w:sz w:val="18"/>
              </w:rPr>
              <w:t>– RAG</w:t>
            </w:r>
          </w:p>
        </w:tc>
        <w:tc>
          <w:tcPr>
            <w:tcW w:type="dxa" w:w="1234"/>
          </w:tcPr>
          <w:p>
            <w:pPr>
              <w:jc w:val="center"/>
            </w:pPr>
            <w:r>
              <w:rPr>
                <w:rFonts w:ascii="Calibri" w:hAnsi="Calibri"/>
                <w:sz w:val="18"/>
              </w:rPr>
              <w:t>0.932</w:t>
            </w:r>
          </w:p>
        </w:tc>
        <w:tc>
          <w:tcPr>
            <w:tcW w:type="dxa" w:w="1234"/>
          </w:tcPr>
          <w:p>
            <w:pPr>
              <w:jc w:val="center"/>
            </w:pPr>
            <w:r>
              <w:rPr>
                <w:rFonts w:ascii="Calibri" w:hAnsi="Calibri"/>
                <w:sz w:val="18"/>
              </w:rPr>
              <w:t>0.931</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0.716</w:t>
            </w:r>
          </w:p>
        </w:tc>
        <w:tc>
          <w:tcPr>
            <w:tcW w:type="dxa" w:w="1234"/>
          </w:tcPr>
          <w:p>
            <w:pPr>
              <w:jc w:val="center"/>
            </w:pPr>
            <w:r>
              <w:rPr>
                <w:rFonts w:ascii="Calibri" w:hAnsi="Calibri"/>
                <w:sz w:val="18"/>
              </w:rPr>
              <w:t>0.848</w:t>
            </w:r>
          </w:p>
        </w:tc>
        <w:tc>
          <w:tcPr>
            <w:tcW w:type="dxa" w:w="1234"/>
          </w:tcPr>
          <w:p>
            <w:pPr>
              <w:jc w:val="center"/>
            </w:pPr>
            <w:r>
              <w:rPr>
                <w:rFonts w:ascii="Calibri" w:hAnsi="Calibri"/>
                <w:sz w:val="18"/>
              </w:rPr>
              <w:t>−3.1</w:t>
            </w:r>
          </w:p>
        </w:tc>
      </w:tr>
      <w:tr>
        <w:tc>
          <w:tcPr>
            <w:tcW w:type="dxa" w:w="1234"/>
          </w:tcPr>
          <w:p>
            <w:pPr>
              <w:jc w:val="left"/>
            </w:pPr>
            <w:r>
              <w:rPr>
                <w:rFonts w:ascii="Calibri" w:hAnsi="Calibri"/>
                <w:sz w:val="18"/>
              </w:rPr>
              <w:t>– Aggregation</w:t>
            </w:r>
          </w:p>
        </w:tc>
        <w:tc>
          <w:tcPr>
            <w:tcW w:type="dxa" w:w="1234"/>
          </w:tcPr>
          <w:p>
            <w:pPr>
              <w:jc w:val="center"/>
            </w:pPr>
            <w:r>
              <w:rPr>
                <w:rFonts w:ascii="Calibri" w:hAnsi="Calibri"/>
                <w:sz w:val="18"/>
              </w:rPr>
              <w:t>0.935</w:t>
            </w:r>
          </w:p>
        </w:tc>
        <w:tc>
          <w:tcPr>
            <w:tcW w:type="dxa" w:w="1234"/>
          </w:tcPr>
          <w:p>
            <w:pPr>
              <w:jc w:val="center"/>
            </w:pPr>
            <w:r>
              <w:rPr>
                <w:rFonts w:ascii="Calibri" w:hAnsi="Calibri"/>
                <w:sz w:val="18"/>
              </w:rPr>
              <w:t>0.938</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0.736</w:t>
            </w:r>
          </w:p>
        </w:tc>
        <w:tc>
          <w:tcPr>
            <w:tcW w:type="dxa" w:w="1234"/>
          </w:tcPr>
          <w:p>
            <w:pPr>
              <w:jc w:val="center"/>
            </w:pPr>
            <w:r>
              <w:rPr>
                <w:rFonts w:ascii="Calibri" w:hAnsi="Calibri"/>
                <w:sz w:val="18"/>
              </w:rPr>
              <w:t>0.855</w:t>
            </w:r>
          </w:p>
        </w:tc>
        <w:tc>
          <w:tcPr>
            <w:tcW w:type="dxa" w:w="1234"/>
          </w:tcPr>
          <w:p>
            <w:pPr>
              <w:jc w:val="center"/>
            </w:pPr>
            <w:r>
              <w:rPr>
                <w:rFonts w:ascii="Calibri" w:hAnsi="Calibri"/>
                <w:sz w:val="18"/>
              </w:rPr>
              <w:t>−2.3</w:t>
            </w:r>
          </w:p>
        </w:tc>
      </w:tr>
      <w:tr>
        <w:tc>
          <w:tcPr>
            <w:tcW w:type="dxa" w:w="1234"/>
          </w:tcPr>
          <w:p>
            <w:pPr>
              <w:jc w:val="left"/>
            </w:pPr>
            <w:r>
              <w:rPr>
                <w:rFonts w:ascii="Calibri" w:hAnsi="Calibri"/>
                <w:sz w:val="18"/>
              </w:rPr>
              <w:t>– Pruning</w:t>
            </w:r>
          </w:p>
        </w:tc>
        <w:tc>
          <w:tcPr>
            <w:tcW w:type="dxa" w:w="1234"/>
          </w:tcPr>
          <w:p>
            <w:pPr>
              <w:jc w:val="center"/>
            </w:pPr>
            <w:r>
              <w:rPr>
                <w:rFonts w:ascii="Calibri" w:hAnsi="Calibri"/>
                <w:sz w:val="18"/>
              </w:rPr>
              <w:t>0.930</w:t>
            </w:r>
          </w:p>
        </w:tc>
        <w:tc>
          <w:tcPr>
            <w:tcW w:type="dxa" w:w="1234"/>
          </w:tcPr>
          <w:p>
            <w:pPr>
              <w:jc w:val="center"/>
            </w:pPr>
            <w:r>
              <w:rPr>
                <w:rFonts w:ascii="Calibri" w:hAnsi="Calibri"/>
                <w:sz w:val="18"/>
              </w:rPr>
              <w:t>0.928</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0.767</w:t>
            </w:r>
          </w:p>
        </w:tc>
        <w:tc>
          <w:tcPr>
            <w:tcW w:type="dxa" w:w="1234"/>
          </w:tcPr>
          <w:p>
            <w:pPr>
              <w:jc w:val="center"/>
            </w:pPr>
            <w:r>
              <w:rPr>
                <w:rFonts w:ascii="Calibri" w:hAnsi="Calibri"/>
                <w:sz w:val="18"/>
              </w:rPr>
              <w:t>0.860</w:t>
            </w:r>
          </w:p>
        </w:tc>
        <w:tc>
          <w:tcPr>
            <w:tcW w:type="dxa" w:w="1234"/>
          </w:tcPr>
          <w:p>
            <w:pPr>
              <w:jc w:val="center"/>
            </w:pPr>
            <w:r>
              <w:rPr>
                <w:rFonts w:ascii="Calibri" w:hAnsi="Calibri"/>
                <w:sz w:val="18"/>
              </w:rPr>
              <w:t>−1.8</w:t>
            </w:r>
          </w:p>
        </w:tc>
      </w:tr>
      <w:tr>
        <w:tc>
          <w:tcPr>
            <w:tcW w:type="dxa" w:w="1234"/>
          </w:tcPr>
          <w:p>
            <w:pPr>
              <w:jc w:val="left"/>
            </w:pPr>
            <w:r>
              <w:rPr>
                <w:rFonts w:ascii="Calibri" w:hAnsi="Calibri"/>
                <w:sz w:val="18"/>
              </w:rPr>
              <w:t>– Adaptive</w:t>
            </w:r>
          </w:p>
        </w:tc>
        <w:tc>
          <w:tcPr>
            <w:tcW w:type="dxa" w:w="1234"/>
          </w:tcPr>
          <w:p>
            <w:pPr>
              <w:jc w:val="center"/>
            </w:pPr>
            <w:r>
              <w:rPr>
                <w:rFonts w:ascii="Calibri" w:hAnsi="Calibri"/>
                <w:sz w:val="18"/>
              </w:rPr>
              <w:t>0.930</w:t>
            </w:r>
          </w:p>
        </w:tc>
        <w:tc>
          <w:tcPr>
            <w:tcW w:type="dxa" w:w="1234"/>
          </w:tcPr>
          <w:p>
            <w:pPr>
              <w:jc w:val="center"/>
            </w:pPr>
            <w:r>
              <w:rPr>
                <w:rFonts w:ascii="Calibri" w:hAnsi="Calibri"/>
                <w:sz w:val="18"/>
              </w:rPr>
              <w:t>0.928</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0.795</w:t>
            </w:r>
          </w:p>
        </w:tc>
        <w:tc>
          <w:tcPr>
            <w:tcW w:type="dxa" w:w="1234"/>
          </w:tcPr>
          <w:p>
            <w:pPr>
              <w:jc w:val="center"/>
            </w:pPr>
            <w:r>
              <w:rPr>
                <w:rFonts w:ascii="Calibri" w:hAnsi="Calibri"/>
                <w:sz w:val="18"/>
              </w:rPr>
              <w:t>0.867</w:t>
            </w:r>
          </w:p>
        </w:tc>
        <w:tc>
          <w:tcPr>
            <w:tcW w:type="dxa" w:w="1234"/>
          </w:tcPr>
          <w:p>
            <w:pPr>
              <w:jc w:val="center"/>
            </w:pPr>
            <w:r>
              <w:rPr>
                <w:rFonts w:ascii="Calibri" w:hAnsi="Calibri"/>
                <w:sz w:val="18"/>
              </w:rPr>
              <w:t>−1.0</w:t>
            </w:r>
          </w:p>
        </w:tc>
      </w:tr>
    </w:tbl>
    <w:p/>
    <w:p>
      <w:r>
        <w:rPr>
          <w:b/>
          <w:sz w:val="20"/>
        </w:rPr>
        <w:t>Table 4. 3-Bedroom Townhouse (Medium Complexity)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F5496" w:val="clear"/>
          </w:tcPr>
          <w:p>
            <w:pPr>
              <w:jc w:val="left"/>
            </w:pPr>
            <w:r>
              <w:rPr>
                <w:rFonts w:ascii="Calibri" w:hAnsi="Calibri"/>
                <w:b/>
                <w:color w:val="FFFFFF"/>
                <w:sz w:val="18"/>
              </w:rPr>
              <w:t>Configuration</w:t>
            </w:r>
          </w:p>
        </w:tc>
        <w:tc>
          <w:tcPr>
            <w:tcW w:type="dxa" w:w="1234"/>
            <w:shd w:fill="2F5496" w:val="clear"/>
          </w:tcPr>
          <w:p>
            <w:pPr>
              <w:jc w:val="center"/>
            </w:pPr>
            <w:r>
              <w:rPr>
                <w:rFonts w:ascii="Calibri" w:hAnsi="Calibri"/>
                <w:b/>
                <w:color w:val="FFFFFF"/>
                <w:sz w:val="18"/>
              </w:rPr>
              <w:t>S_f</w:t>
            </w:r>
          </w:p>
        </w:tc>
        <w:tc>
          <w:tcPr>
            <w:tcW w:type="dxa" w:w="1234"/>
            <w:shd w:fill="2F5496" w:val="clear"/>
          </w:tcPr>
          <w:p>
            <w:pPr>
              <w:jc w:val="center"/>
            </w:pPr>
            <w:r>
              <w:rPr>
                <w:rFonts w:ascii="Calibri" w:hAnsi="Calibri"/>
                <w:b/>
                <w:color w:val="FFFFFF"/>
                <w:sz w:val="18"/>
              </w:rPr>
              <w:t>S_b</w:t>
            </w:r>
          </w:p>
        </w:tc>
        <w:tc>
          <w:tcPr>
            <w:tcW w:type="dxa" w:w="1234"/>
            <w:shd w:fill="2F5496" w:val="clear"/>
          </w:tcPr>
          <w:p>
            <w:pPr>
              <w:jc w:val="center"/>
            </w:pPr>
            <w:r>
              <w:rPr>
                <w:rFonts w:ascii="Calibri" w:hAnsi="Calibri"/>
                <w:b/>
                <w:color w:val="FFFFFF"/>
                <w:sz w:val="18"/>
              </w:rPr>
              <w:t>S_s</w:t>
            </w:r>
          </w:p>
        </w:tc>
        <w:tc>
          <w:tcPr>
            <w:tcW w:type="dxa" w:w="1234"/>
            <w:shd w:fill="2F5496" w:val="clear"/>
          </w:tcPr>
          <w:p>
            <w:pPr>
              <w:jc w:val="center"/>
            </w:pPr>
            <w:r>
              <w:rPr>
                <w:rFonts w:ascii="Calibri" w:hAnsi="Calibri"/>
                <w:b/>
                <w:color w:val="FFFFFF"/>
                <w:sz w:val="18"/>
              </w:rPr>
              <w:t>S_l</w:t>
            </w:r>
          </w:p>
        </w:tc>
        <w:tc>
          <w:tcPr>
            <w:tcW w:type="dxa" w:w="1234"/>
            <w:shd w:fill="2F5496" w:val="clear"/>
          </w:tcPr>
          <w:p>
            <w:pPr>
              <w:jc w:val="center"/>
            </w:pPr>
            <w:r>
              <w:rPr>
                <w:rFonts w:ascii="Calibri" w:hAnsi="Calibri"/>
                <w:b/>
                <w:color w:val="FFFFFF"/>
                <w:sz w:val="18"/>
              </w:rPr>
              <w:t>Composite</w:t>
            </w:r>
          </w:p>
        </w:tc>
        <w:tc>
          <w:tcPr>
            <w:tcW w:type="dxa" w:w="1234"/>
            <w:shd w:fill="2F5496" w:val="clear"/>
          </w:tcPr>
          <w:p>
            <w:pPr>
              <w:jc w:val="center"/>
            </w:pPr>
            <w:r>
              <w:rPr>
                <w:rFonts w:ascii="Calibri" w:hAnsi="Calibri"/>
                <w:b/>
                <w:color w:val="FFFFFF"/>
                <w:sz w:val="18"/>
              </w:rPr>
              <w:t>Δ (%)</w:t>
            </w:r>
          </w:p>
        </w:tc>
      </w:tr>
      <w:tr>
        <w:tc>
          <w:tcPr>
            <w:tcW w:type="dxa" w:w="1234"/>
          </w:tcPr>
          <w:p>
            <w:pPr>
              <w:jc w:val="left"/>
            </w:pPr>
            <w:r>
              <w:rPr>
                <w:rFonts w:ascii="Calibri" w:hAnsi="Calibri"/>
                <w:b/>
                <w:sz w:val="18"/>
              </w:rPr>
              <w:t>Full Framework</w:t>
            </w:r>
          </w:p>
        </w:tc>
        <w:tc>
          <w:tcPr>
            <w:tcW w:type="dxa" w:w="1234"/>
          </w:tcPr>
          <w:p>
            <w:pPr>
              <w:jc w:val="center"/>
            </w:pPr>
            <w:r>
              <w:rPr>
                <w:rFonts w:ascii="Calibri" w:hAnsi="Calibri"/>
                <w:b/>
                <w:sz w:val="18"/>
              </w:rPr>
              <w:t>0.956</w:t>
            </w:r>
          </w:p>
        </w:tc>
        <w:tc>
          <w:tcPr>
            <w:tcW w:type="dxa" w:w="1234"/>
          </w:tcPr>
          <w:p>
            <w:pPr>
              <w:jc w:val="center"/>
            </w:pPr>
            <w:r>
              <w:rPr>
                <w:rFonts w:ascii="Calibri" w:hAnsi="Calibri"/>
                <w:b/>
                <w:sz w:val="18"/>
              </w:rPr>
              <w:t>0.959</w:t>
            </w:r>
          </w:p>
        </w:tc>
        <w:tc>
          <w:tcPr>
            <w:tcW w:type="dxa" w:w="1234"/>
          </w:tcPr>
          <w:p>
            <w:pPr>
              <w:jc w:val="center"/>
            </w:pPr>
            <w:r>
              <w:rPr>
                <w:rFonts w:ascii="Calibri" w:hAnsi="Calibri"/>
                <w:b/>
                <w:sz w:val="18"/>
              </w:rPr>
              <w:t>1.000</w:t>
            </w:r>
          </w:p>
        </w:tc>
        <w:tc>
          <w:tcPr>
            <w:tcW w:type="dxa" w:w="1234"/>
          </w:tcPr>
          <w:p>
            <w:pPr>
              <w:jc w:val="center"/>
            </w:pPr>
            <w:r>
              <w:rPr>
                <w:rFonts w:ascii="Calibri" w:hAnsi="Calibri"/>
                <w:b/>
                <w:sz w:val="18"/>
              </w:rPr>
              <w:t>0.829</w:t>
            </w:r>
          </w:p>
        </w:tc>
        <w:tc>
          <w:tcPr>
            <w:tcW w:type="dxa" w:w="1234"/>
          </w:tcPr>
          <w:p>
            <w:pPr>
              <w:jc w:val="center"/>
            </w:pPr>
            <w:r>
              <w:rPr>
                <w:rFonts w:ascii="Calibri" w:hAnsi="Calibri"/>
                <w:b/>
                <w:sz w:val="18"/>
              </w:rPr>
              <w:t>0.888</w:t>
            </w:r>
          </w:p>
        </w:tc>
        <w:tc>
          <w:tcPr>
            <w:tcW w:type="dxa" w:w="1234"/>
          </w:tcPr>
          <w:p>
            <w:pPr>
              <w:jc w:val="center"/>
            </w:pPr>
            <w:r>
              <w:rPr>
                <w:rFonts w:ascii="Calibri" w:hAnsi="Calibri"/>
                <w:b/>
                <w:sz w:val="18"/>
              </w:rPr>
              <w:t>—</w:t>
            </w:r>
          </w:p>
        </w:tc>
      </w:tr>
      <w:tr>
        <w:tc>
          <w:tcPr>
            <w:tcW w:type="dxa" w:w="1234"/>
          </w:tcPr>
          <w:p>
            <w:pPr>
              <w:jc w:val="left"/>
            </w:pPr>
            <w:r>
              <w:rPr>
                <w:rFonts w:ascii="Calibri" w:hAnsi="Calibri"/>
                <w:sz w:val="18"/>
              </w:rPr>
              <w:t>– FBS Reasoning</w:t>
            </w:r>
          </w:p>
        </w:tc>
        <w:tc>
          <w:tcPr>
            <w:tcW w:type="dxa" w:w="1234"/>
          </w:tcPr>
          <w:p>
            <w:pPr>
              <w:jc w:val="center"/>
            </w:pPr>
            <w:r>
              <w:rPr>
                <w:rFonts w:ascii="Calibri" w:hAnsi="Calibri"/>
                <w:sz w:val="18"/>
              </w:rPr>
              <w:t>0.153</w:t>
            </w:r>
          </w:p>
        </w:tc>
        <w:tc>
          <w:tcPr>
            <w:tcW w:type="dxa" w:w="1234"/>
          </w:tcPr>
          <w:p>
            <w:pPr>
              <w:jc w:val="center"/>
            </w:pPr>
            <w:r>
              <w:rPr>
                <w:rFonts w:ascii="Calibri" w:hAnsi="Calibri"/>
                <w:sz w:val="18"/>
              </w:rPr>
              <w:t>0.500</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0.829</w:t>
            </w:r>
          </w:p>
        </w:tc>
        <w:tc>
          <w:tcPr>
            <w:tcW w:type="dxa" w:w="1234"/>
          </w:tcPr>
          <w:p>
            <w:pPr>
              <w:jc w:val="center"/>
            </w:pPr>
            <w:r>
              <w:rPr>
                <w:rFonts w:ascii="Calibri" w:hAnsi="Calibri"/>
                <w:sz w:val="18"/>
              </w:rPr>
              <w:t>0.596</w:t>
            </w:r>
          </w:p>
        </w:tc>
        <w:tc>
          <w:tcPr>
            <w:tcW w:type="dxa" w:w="1234"/>
          </w:tcPr>
          <w:p>
            <w:pPr>
              <w:jc w:val="center"/>
            </w:pPr>
            <w:r>
              <w:rPr>
                <w:rFonts w:ascii="Calibri" w:hAnsi="Calibri"/>
                <w:sz w:val="18"/>
              </w:rPr>
              <w:t>−32.9</w:t>
            </w:r>
          </w:p>
        </w:tc>
      </w:tr>
      <w:tr>
        <w:tc>
          <w:tcPr>
            <w:tcW w:type="dxa" w:w="1234"/>
          </w:tcPr>
          <w:p>
            <w:pPr>
              <w:jc w:val="left"/>
            </w:pPr>
            <w:r>
              <w:rPr>
                <w:rFonts w:ascii="Calibri" w:hAnsi="Calibri"/>
                <w:sz w:val="18"/>
              </w:rPr>
              <w:t>– Scoring (MCDA)</w:t>
            </w:r>
          </w:p>
        </w:tc>
        <w:tc>
          <w:tcPr>
            <w:tcW w:type="dxa" w:w="1234"/>
          </w:tcPr>
          <w:p>
            <w:pPr>
              <w:jc w:val="center"/>
            </w:pPr>
            <w:r>
              <w:rPr>
                <w:rFonts w:ascii="Calibri" w:hAnsi="Calibri"/>
                <w:sz w:val="18"/>
              </w:rPr>
              <w:t>0.444</w:t>
            </w:r>
          </w:p>
        </w:tc>
        <w:tc>
          <w:tcPr>
            <w:tcW w:type="dxa" w:w="1234"/>
          </w:tcPr>
          <w:p>
            <w:pPr>
              <w:jc w:val="center"/>
            </w:pPr>
            <w:r>
              <w:rPr>
                <w:rFonts w:ascii="Calibri" w:hAnsi="Calibri"/>
                <w:sz w:val="18"/>
              </w:rPr>
              <w:t>0.444</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0.780</w:t>
            </w:r>
          </w:p>
        </w:tc>
        <w:tc>
          <w:tcPr>
            <w:tcW w:type="dxa" w:w="1234"/>
          </w:tcPr>
          <w:p>
            <w:pPr>
              <w:jc w:val="center"/>
            </w:pPr>
            <w:r>
              <w:rPr>
                <w:rFonts w:ascii="Calibri" w:hAnsi="Calibri"/>
                <w:sz w:val="18"/>
              </w:rPr>
              <w:t>0.634</w:t>
            </w:r>
          </w:p>
        </w:tc>
        <w:tc>
          <w:tcPr>
            <w:tcW w:type="dxa" w:w="1234"/>
          </w:tcPr>
          <w:p>
            <w:pPr>
              <w:jc w:val="center"/>
            </w:pPr>
            <w:r>
              <w:rPr>
                <w:rFonts w:ascii="Calibri" w:hAnsi="Calibri"/>
                <w:sz w:val="18"/>
              </w:rPr>
              <w:t>−28.6</w:t>
            </w:r>
          </w:p>
        </w:tc>
      </w:tr>
      <w:tr>
        <w:tc>
          <w:tcPr>
            <w:tcW w:type="dxa" w:w="1234"/>
          </w:tcPr>
          <w:p>
            <w:pPr>
              <w:jc w:val="left"/>
            </w:pPr>
            <w:r>
              <w:rPr>
                <w:rFonts w:ascii="Calibri" w:hAnsi="Calibri"/>
                <w:sz w:val="18"/>
              </w:rPr>
              <w:t>– Refinement</w:t>
            </w:r>
          </w:p>
        </w:tc>
        <w:tc>
          <w:tcPr>
            <w:tcW w:type="dxa" w:w="1234"/>
          </w:tcPr>
          <w:p>
            <w:pPr>
              <w:jc w:val="center"/>
            </w:pPr>
            <w:r>
              <w:rPr>
                <w:rFonts w:ascii="Calibri" w:hAnsi="Calibri"/>
                <w:sz w:val="18"/>
              </w:rPr>
              <w:t>0.604</w:t>
            </w:r>
          </w:p>
        </w:tc>
        <w:tc>
          <w:tcPr>
            <w:tcW w:type="dxa" w:w="1234"/>
          </w:tcPr>
          <w:p>
            <w:pPr>
              <w:jc w:val="center"/>
            </w:pPr>
            <w:r>
              <w:rPr>
                <w:rFonts w:ascii="Calibri" w:hAnsi="Calibri"/>
                <w:sz w:val="18"/>
              </w:rPr>
              <w:t>0.910</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0.829</w:t>
            </w:r>
          </w:p>
        </w:tc>
        <w:tc>
          <w:tcPr>
            <w:tcW w:type="dxa" w:w="1234"/>
          </w:tcPr>
          <w:p>
            <w:pPr>
              <w:jc w:val="center"/>
            </w:pPr>
            <w:r>
              <w:rPr>
                <w:rFonts w:ascii="Calibri" w:hAnsi="Calibri"/>
                <w:sz w:val="18"/>
              </w:rPr>
              <w:t>0.790</w:t>
            </w:r>
          </w:p>
        </w:tc>
        <w:tc>
          <w:tcPr>
            <w:tcW w:type="dxa" w:w="1234"/>
          </w:tcPr>
          <w:p>
            <w:pPr>
              <w:jc w:val="center"/>
            </w:pPr>
            <w:r>
              <w:rPr>
                <w:rFonts w:ascii="Calibri" w:hAnsi="Calibri"/>
                <w:sz w:val="18"/>
              </w:rPr>
              <w:t>−11.0</w:t>
            </w:r>
          </w:p>
        </w:tc>
      </w:tr>
      <w:tr>
        <w:tc>
          <w:tcPr>
            <w:tcW w:type="dxa" w:w="1234"/>
          </w:tcPr>
          <w:p>
            <w:pPr>
              <w:jc w:val="left"/>
            </w:pPr>
            <w:r>
              <w:rPr>
                <w:rFonts w:ascii="Calibri" w:hAnsi="Calibri"/>
                <w:sz w:val="18"/>
              </w:rPr>
              <w:t>– Layout Agent</w:t>
            </w:r>
          </w:p>
        </w:tc>
        <w:tc>
          <w:tcPr>
            <w:tcW w:type="dxa" w:w="1234"/>
          </w:tcPr>
          <w:p>
            <w:pPr>
              <w:jc w:val="center"/>
            </w:pPr>
            <w:r>
              <w:rPr>
                <w:rFonts w:ascii="Calibri" w:hAnsi="Calibri"/>
                <w:sz w:val="18"/>
              </w:rPr>
              <w:t>0.956</w:t>
            </w:r>
          </w:p>
        </w:tc>
        <w:tc>
          <w:tcPr>
            <w:tcW w:type="dxa" w:w="1234"/>
          </w:tcPr>
          <w:p>
            <w:pPr>
              <w:jc w:val="center"/>
            </w:pPr>
            <w:r>
              <w:rPr>
                <w:rFonts w:ascii="Calibri" w:hAnsi="Calibri"/>
                <w:sz w:val="18"/>
              </w:rPr>
              <w:t>0.959</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0.598</w:t>
            </w:r>
          </w:p>
        </w:tc>
        <w:tc>
          <w:tcPr>
            <w:tcW w:type="dxa" w:w="1234"/>
          </w:tcPr>
          <w:p>
            <w:pPr>
              <w:jc w:val="center"/>
            </w:pPr>
            <w:r>
              <w:rPr>
                <w:rFonts w:ascii="Calibri" w:hAnsi="Calibri"/>
                <w:sz w:val="18"/>
              </w:rPr>
              <w:t>0.830</w:t>
            </w:r>
          </w:p>
        </w:tc>
        <w:tc>
          <w:tcPr>
            <w:tcW w:type="dxa" w:w="1234"/>
          </w:tcPr>
          <w:p>
            <w:pPr>
              <w:jc w:val="center"/>
            </w:pPr>
            <w:r>
              <w:rPr>
                <w:rFonts w:ascii="Calibri" w:hAnsi="Calibri"/>
                <w:sz w:val="18"/>
              </w:rPr>
              <w:t>−6.5</w:t>
            </w:r>
          </w:p>
        </w:tc>
      </w:tr>
      <w:tr>
        <w:tc>
          <w:tcPr>
            <w:tcW w:type="dxa" w:w="1234"/>
          </w:tcPr>
          <w:p>
            <w:pPr>
              <w:jc w:val="left"/>
            </w:pPr>
            <w:r>
              <w:rPr>
                <w:rFonts w:ascii="Calibri" w:hAnsi="Calibri"/>
                <w:sz w:val="18"/>
              </w:rPr>
              <w:t>– GoT</w:t>
            </w:r>
          </w:p>
        </w:tc>
        <w:tc>
          <w:tcPr>
            <w:tcW w:type="dxa" w:w="1234"/>
          </w:tcPr>
          <w:p>
            <w:pPr>
              <w:jc w:val="center"/>
            </w:pPr>
            <w:r>
              <w:rPr>
                <w:rFonts w:ascii="Calibri" w:hAnsi="Calibri"/>
                <w:sz w:val="18"/>
              </w:rPr>
              <w:t>0.965</w:t>
            </w:r>
          </w:p>
        </w:tc>
        <w:tc>
          <w:tcPr>
            <w:tcW w:type="dxa" w:w="1234"/>
          </w:tcPr>
          <w:p>
            <w:pPr>
              <w:jc w:val="center"/>
            </w:pPr>
            <w:r>
              <w:rPr>
                <w:rFonts w:ascii="Calibri" w:hAnsi="Calibri"/>
                <w:sz w:val="18"/>
              </w:rPr>
              <w:t>0.968</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0.714</w:t>
            </w:r>
          </w:p>
        </w:tc>
        <w:tc>
          <w:tcPr>
            <w:tcW w:type="dxa" w:w="1234"/>
          </w:tcPr>
          <w:p>
            <w:pPr>
              <w:jc w:val="center"/>
            </w:pPr>
            <w:r>
              <w:rPr>
                <w:rFonts w:ascii="Calibri" w:hAnsi="Calibri"/>
                <w:sz w:val="18"/>
              </w:rPr>
              <w:t>0.863</w:t>
            </w:r>
          </w:p>
        </w:tc>
        <w:tc>
          <w:tcPr>
            <w:tcW w:type="dxa" w:w="1234"/>
          </w:tcPr>
          <w:p>
            <w:pPr>
              <w:jc w:val="center"/>
            </w:pPr>
            <w:r>
              <w:rPr>
                <w:rFonts w:ascii="Calibri" w:hAnsi="Calibri"/>
                <w:sz w:val="18"/>
              </w:rPr>
              <w:t>−2.8</w:t>
            </w:r>
          </w:p>
        </w:tc>
      </w:tr>
      <w:tr>
        <w:tc>
          <w:tcPr>
            <w:tcW w:type="dxa" w:w="1234"/>
          </w:tcPr>
          <w:p>
            <w:pPr>
              <w:jc w:val="left"/>
            </w:pPr>
            <w:r>
              <w:rPr>
                <w:rFonts w:ascii="Calibri" w:hAnsi="Calibri"/>
                <w:sz w:val="18"/>
              </w:rPr>
              <w:t>– RAG</w:t>
            </w:r>
          </w:p>
        </w:tc>
        <w:tc>
          <w:tcPr>
            <w:tcW w:type="dxa" w:w="1234"/>
          </w:tcPr>
          <w:p>
            <w:pPr>
              <w:jc w:val="center"/>
            </w:pPr>
            <w:r>
              <w:rPr>
                <w:rFonts w:ascii="Calibri" w:hAnsi="Calibri"/>
                <w:sz w:val="18"/>
              </w:rPr>
              <w:t>0.960</w:t>
            </w:r>
          </w:p>
        </w:tc>
        <w:tc>
          <w:tcPr>
            <w:tcW w:type="dxa" w:w="1234"/>
          </w:tcPr>
          <w:p>
            <w:pPr>
              <w:jc w:val="center"/>
            </w:pPr>
            <w:r>
              <w:rPr>
                <w:rFonts w:ascii="Calibri" w:hAnsi="Calibri"/>
                <w:sz w:val="18"/>
              </w:rPr>
              <w:t>0.963</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0.720</w:t>
            </w:r>
          </w:p>
        </w:tc>
        <w:tc>
          <w:tcPr>
            <w:tcW w:type="dxa" w:w="1234"/>
          </w:tcPr>
          <w:p>
            <w:pPr>
              <w:jc w:val="center"/>
            </w:pPr>
            <w:r>
              <w:rPr>
                <w:rFonts w:ascii="Calibri" w:hAnsi="Calibri"/>
                <w:sz w:val="18"/>
              </w:rPr>
              <w:t>0.863</w:t>
            </w:r>
          </w:p>
        </w:tc>
        <w:tc>
          <w:tcPr>
            <w:tcW w:type="dxa" w:w="1234"/>
          </w:tcPr>
          <w:p>
            <w:pPr>
              <w:jc w:val="center"/>
            </w:pPr>
            <w:r>
              <w:rPr>
                <w:rFonts w:ascii="Calibri" w:hAnsi="Calibri"/>
                <w:sz w:val="18"/>
              </w:rPr>
              <w:t>−2.9</w:t>
            </w:r>
          </w:p>
        </w:tc>
      </w:tr>
      <w:tr>
        <w:tc>
          <w:tcPr>
            <w:tcW w:type="dxa" w:w="1234"/>
          </w:tcPr>
          <w:p>
            <w:pPr>
              <w:jc w:val="left"/>
            </w:pPr>
            <w:r>
              <w:rPr>
                <w:rFonts w:ascii="Calibri" w:hAnsi="Calibri"/>
                <w:sz w:val="18"/>
              </w:rPr>
              <w:t>– Pruning</w:t>
            </w:r>
          </w:p>
        </w:tc>
        <w:tc>
          <w:tcPr>
            <w:tcW w:type="dxa" w:w="1234"/>
          </w:tcPr>
          <w:p>
            <w:pPr>
              <w:jc w:val="center"/>
            </w:pPr>
            <w:r>
              <w:rPr>
                <w:rFonts w:ascii="Calibri" w:hAnsi="Calibri"/>
                <w:sz w:val="18"/>
              </w:rPr>
              <w:t>0.956</w:t>
            </w:r>
          </w:p>
        </w:tc>
        <w:tc>
          <w:tcPr>
            <w:tcW w:type="dxa" w:w="1234"/>
          </w:tcPr>
          <w:p>
            <w:pPr>
              <w:jc w:val="center"/>
            </w:pPr>
            <w:r>
              <w:rPr>
                <w:rFonts w:ascii="Calibri" w:hAnsi="Calibri"/>
                <w:sz w:val="18"/>
              </w:rPr>
              <w:t>0.959</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0.767</w:t>
            </w:r>
          </w:p>
        </w:tc>
        <w:tc>
          <w:tcPr>
            <w:tcW w:type="dxa" w:w="1234"/>
          </w:tcPr>
          <w:p>
            <w:pPr>
              <w:jc w:val="center"/>
            </w:pPr>
            <w:r>
              <w:rPr>
                <w:rFonts w:ascii="Calibri" w:hAnsi="Calibri"/>
                <w:sz w:val="18"/>
              </w:rPr>
              <w:t>0.873</w:t>
            </w:r>
          </w:p>
        </w:tc>
        <w:tc>
          <w:tcPr>
            <w:tcW w:type="dxa" w:w="1234"/>
          </w:tcPr>
          <w:p>
            <w:pPr>
              <w:jc w:val="center"/>
            </w:pPr>
            <w:r>
              <w:rPr>
                <w:rFonts w:ascii="Calibri" w:hAnsi="Calibri"/>
                <w:sz w:val="18"/>
              </w:rPr>
              <w:t>−1.7</w:t>
            </w:r>
          </w:p>
        </w:tc>
      </w:tr>
      <w:tr>
        <w:tc>
          <w:tcPr>
            <w:tcW w:type="dxa" w:w="1234"/>
          </w:tcPr>
          <w:p>
            <w:pPr>
              <w:jc w:val="left"/>
            </w:pPr>
            <w:r>
              <w:rPr>
                <w:rFonts w:ascii="Calibri" w:hAnsi="Calibri"/>
                <w:sz w:val="18"/>
              </w:rPr>
              <w:t>– Aggregation</w:t>
            </w:r>
          </w:p>
        </w:tc>
        <w:tc>
          <w:tcPr>
            <w:tcW w:type="dxa" w:w="1234"/>
          </w:tcPr>
          <w:p>
            <w:pPr>
              <w:jc w:val="center"/>
            </w:pPr>
            <w:r>
              <w:rPr>
                <w:rFonts w:ascii="Calibri" w:hAnsi="Calibri"/>
                <w:sz w:val="18"/>
              </w:rPr>
              <w:t>0.958</w:t>
            </w:r>
          </w:p>
        </w:tc>
        <w:tc>
          <w:tcPr>
            <w:tcW w:type="dxa" w:w="1234"/>
          </w:tcPr>
          <w:p>
            <w:pPr>
              <w:jc w:val="center"/>
            </w:pPr>
            <w:r>
              <w:rPr>
                <w:rFonts w:ascii="Calibri" w:hAnsi="Calibri"/>
                <w:sz w:val="18"/>
              </w:rPr>
              <w:t>0.960</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0.789</w:t>
            </w:r>
          </w:p>
        </w:tc>
        <w:tc>
          <w:tcPr>
            <w:tcW w:type="dxa" w:w="1234"/>
          </w:tcPr>
          <w:p>
            <w:pPr>
              <w:jc w:val="center"/>
            </w:pPr>
            <w:r>
              <w:rPr>
                <w:rFonts w:ascii="Calibri" w:hAnsi="Calibri"/>
                <w:sz w:val="18"/>
              </w:rPr>
              <w:t>0.879</w:t>
            </w:r>
          </w:p>
        </w:tc>
        <w:tc>
          <w:tcPr>
            <w:tcW w:type="dxa" w:w="1234"/>
          </w:tcPr>
          <w:p>
            <w:pPr>
              <w:jc w:val="center"/>
            </w:pPr>
            <w:r>
              <w:rPr>
                <w:rFonts w:ascii="Calibri" w:hAnsi="Calibri"/>
                <w:sz w:val="18"/>
              </w:rPr>
              <w:t>−1.0</w:t>
            </w:r>
          </w:p>
        </w:tc>
      </w:tr>
      <w:tr>
        <w:tc>
          <w:tcPr>
            <w:tcW w:type="dxa" w:w="1234"/>
          </w:tcPr>
          <w:p>
            <w:pPr>
              <w:jc w:val="left"/>
            </w:pPr>
            <w:r>
              <w:rPr>
                <w:rFonts w:ascii="Calibri" w:hAnsi="Calibri"/>
                <w:sz w:val="18"/>
              </w:rPr>
              <w:t>– Adaptive</w:t>
            </w:r>
          </w:p>
        </w:tc>
        <w:tc>
          <w:tcPr>
            <w:tcW w:type="dxa" w:w="1234"/>
          </w:tcPr>
          <w:p>
            <w:pPr>
              <w:jc w:val="center"/>
            </w:pPr>
            <w:r>
              <w:rPr>
                <w:rFonts w:ascii="Calibri" w:hAnsi="Calibri"/>
                <w:sz w:val="18"/>
              </w:rPr>
              <w:t>0.956</w:t>
            </w:r>
          </w:p>
        </w:tc>
        <w:tc>
          <w:tcPr>
            <w:tcW w:type="dxa" w:w="1234"/>
          </w:tcPr>
          <w:p>
            <w:pPr>
              <w:jc w:val="center"/>
            </w:pPr>
            <w:r>
              <w:rPr>
                <w:rFonts w:ascii="Calibri" w:hAnsi="Calibri"/>
                <w:sz w:val="18"/>
              </w:rPr>
              <w:t>0.959</w:t>
            </w:r>
          </w:p>
        </w:tc>
        <w:tc>
          <w:tcPr>
            <w:tcW w:type="dxa" w:w="1234"/>
          </w:tcPr>
          <w:p>
            <w:pPr>
              <w:jc w:val="center"/>
            </w:pPr>
            <w:r>
              <w:rPr>
                <w:rFonts w:ascii="Calibri" w:hAnsi="Calibri"/>
                <w:sz w:val="18"/>
              </w:rPr>
              <w:t>1.000</w:t>
            </w:r>
          </w:p>
        </w:tc>
        <w:tc>
          <w:tcPr>
            <w:tcW w:type="dxa" w:w="1234"/>
          </w:tcPr>
          <w:p>
            <w:pPr>
              <w:jc w:val="center"/>
            </w:pPr>
            <w:r>
              <w:rPr>
                <w:rFonts w:ascii="Calibri" w:hAnsi="Calibri"/>
                <w:sz w:val="18"/>
              </w:rPr>
              <w:t>0.795</w:t>
            </w:r>
          </w:p>
        </w:tc>
        <w:tc>
          <w:tcPr>
            <w:tcW w:type="dxa" w:w="1234"/>
          </w:tcPr>
          <w:p>
            <w:pPr>
              <w:jc w:val="center"/>
            </w:pPr>
            <w:r>
              <w:rPr>
                <w:rFonts w:ascii="Calibri" w:hAnsi="Calibri"/>
                <w:sz w:val="18"/>
              </w:rPr>
              <w:t>0.880</w:t>
            </w:r>
          </w:p>
        </w:tc>
        <w:tc>
          <w:tcPr>
            <w:tcW w:type="dxa" w:w="1234"/>
          </w:tcPr>
          <w:p>
            <w:pPr>
              <w:jc w:val="center"/>
            </w:pPr>
            <w:r>
              <w:rPr>
                <w:rFonts w:ascii="Calibri" w:hAnsi="Calibri"/>
                <w:sz w:val="18"/>
              </w:rPr>
              <w:t>−0.9</w:t>
            </w:r>
          </w:p>
        </w:tc>
      </w:tr>
    </w:tbl>
    <w:p/>
    <w:p>
      <w:pPr>
        <w:pStyle w:val="Heading2"/>
      </w:pPr>
      <w:r>
        <w:t>3.3 Component Ranking</w:t>
      </w:r>
    </w:p>
    <w:p>
      <w:r>
        <w:rPr>
          <w:b/>
        </w:rPr>
        <w:t xml:space="preserve">Table 5. </w:t>
      </w:r>
      <w:r>
        <w:t>Component contribution ranking by average performance drop.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F5496" w:val="clear"/>
          </w:tcPr>
          <w:p>
            <w:pPr>
              <w:jc w:val="left"/>
            </w:pPr>
            <w:r>
              <w:rPr>
                <w:rFonts w:ascii="Calibri" w:hAnsi="Calibri"/>
                <w:b/>
                <w:color w:val="FFFFFF"/>
                <w:sz w:val="18"/>
              </w:rPr>
              <w:t>Rank</w:t>
            </w:r>
          </w:p>
        </w:tc>
        <w:tc>
          <w:tcPr>
            <w:tcW w:type="dxa" w:w="2160"/>
            <w:shd w:fill="2F5496" w:val="clear"/>
          </w:tcPr>
          <w:p>
            <w:pPr>
              <w:jc w:val="center"/>
            </w:pPr>
            <w:r>
              <w:rPr>
                <w:rFonts w:ascii="Calibri" w:hAnsi="Calibri"/>
                <w:b/>
                <w:color w:val="FFFFFF"/>
                <w:sz w:val="18"/>
              </w:rPr>
              <w:t>Component</w:t>
            </w:r>
          </w:p>
        </w:tc>
        <w:tc>
          <w:tcPr>
            <w:tcW w:type="dxa" w:w="2160"/>
            <w:shd w:fill="2F5496" w:val="clear"/>
          </w:tcPr>
          <w:p>
            <w:pPr>
              <w:jc w:val="center"/>
            </w:pPr>
            <w:r>
              <w:rPr>
                <w:rFonts w:ascii="Calibri" w:hAnsi="Calibri"/>
                <w:b/>
                <w:color w:val="FFFFFF"/>
                <w:sz w:val="18"/>
              </w:rPr>
              <w:t>Δ (%)</w:t>
            </w:r>
          </w:p>
        </w:tc>
        <w:tc>
          <w:tcPr>
            <w:tcW w:type="dxa" w:w="2160"/>
            <w:shd w:fill="2F5496" w:val="clear"/>
          </w:tcPr>
          <w:p>
            <w:pPr>
              <w:jc w:val="center"/>
            </w:pPr>
            <w:r>
              <w:rPr>
                <w:rFonts w:ascii="Calibri" w:hAnsi="Calibri"/>
                <w:b/>
                <w:color w:val="FFFFFF"/>
                <w:sz w:val="18"/>
              </w:rPr>
              <w:t>Tier</w:t>
            </w:r>
          </w:p>
        </w:tc>
      </w:tr>
      <w:tr>
        <w:tc>
          <w:tcPr>
            <w:tcW w:type="dxa" w:w="2160"/>
          </w:tcPr>
          <w:p>
            <w:pPr>
              <w:jc w:val="left"/>
            </w:pPr>
            <w:r>
              <w:rPr>
                <w:rFonts w:ascii="Calibri" w:hAnsi="Calibri"/>
                <w:sz w:val="18"/>
              </w:rPr>
              <w:t>1</w:t>
            </w:r>
          </w:p>
        </w:tc>
        <w:tc>
          <w:tcPr>
            <w:tcW w:type="dxa" w:w="2160"/>
          </w:tcPr>
          <w:p>
            <w:pPr>
              <w:jc w:val="center"/>
            </w:pPr>
            <w:r>
              <w:rPr>
                <w:rFonts w:ascii="Calibri" w:hAnsi="Calibri"/>
                <w:sz w:val="18"/>
              </w:rPr>
              <w:t>FBS Reasoning</w:t>
            </w:r>
          </w:p>
        </w:tc>
        <w:tc>
          <w:tcPr>
            <w:tcW w:type="dxa" w:w="2160"/>
          </w:tcPr>
          <w:p>
            <w:pPr>
              <w:jc w:val="center"/>
            </w:pPr>
            <w:r>
              <w:rPr>
                <w:rFonts w:ascii="Calibri" w:hAnsi="Calibri"/>
                <w:sz w:val="18"/>
              </w:rPr>
              <w:t>32.2</w:t>
            </w:r>
          </w:p>
        </w:tc>
        <w:tc>
          <w:tcPr>
            <w:tcW w:type="dxa" w:w="2160"/>
          </w:tcPr>
          <w:p>
            <w:pPr>
              <w:jc w:val="center"/>
            </w:pPr>
            <w:r>
              <w:rPr>
                <w:rFonts w:ascii="Calibri" w:hAnsi="Calibri"/>
                <w:sz w:val="18"/>
              </w:rPr>
              <w:t>Critical</w:t>
            </w:r>
          </w:p>
        </w:tc>
      </w:tr>
      <w:tr>
        <w:tc>
          <w:tcPr>
            <w:tcW w:type="dxa" w:w="2160"/>
          </w:tcPr>
          <w:p>
            <w:pPr>
              <w:jc w:val="left"/>
            </w:pPr>
            <w:r>
              <w:rPr>
                <w:rFonts w:ascii="Calibri" w:hAnsi="Calibri"/>
                <w:sz w:val="18"/>
              </w:rPr>
              <w:t>2</w:t>
            </w:r>
          </w:p>
        </w:tc>
        <w:tc>
          <w:tcPr>
            <w:tcW w:type="dxa" w:w="2160"/>
          </w:tcPr>
          <w:p>
            <w:pPr>
              <w:jc w:val="center"/>
            </w:pPr>
            <w:r>
              <w:rPr>
                <w:rFonts w:ascii="Calibri" w:hAnsi="Calibri"/>
                <w:sz w:val="18"/>
              </w:rPr>
              <w:t>MCDA Scoring</w:t>
            </w:r>
          </w:p>
        </w:tc>
        <w:tc>
          <w:tcPr>
            <w:tcW w:type="dxa" w:w="2160"/>
          </w:tcPr>
          <w:p>
            <w:pPr>
              <w:jc w:val="center"/>
            </w:pPr>
            <w:r>
              <w:rPr>
                <w:rFonts w:ascii="Calibri" w:hAnsi="Calibri"/>
                <w:sz w:val="18"/>
              </w:rPr>
              <w:t>30.9</w:t>
            </w:r>
          </w:p>
        </w:tc>
        <w:tc>
          <w:tcPr>
            <w:tcW w:type="dxa" w:w="2160"/>
          </w:tcPr>
          <w:p>
            <w:pPr>
              <w:jc w:val="center"/>
            </w:pPr>
            <w:r>
              <w:rPr>
                <w:rFonts w:ascii="Calibri" w:hAnsi="Calibri"/>
                <w:sz w:val="18"/>
              </w:rPr>
              <w:t>Critical</w:t>
            </w:r>
          </w:p>
        </w:tc>
      </w:tr>
      <w:tr>
        <w:tc>
          <w:tcPr>
            <w:tcW w:type="dxa" w:w="2160"/>
          </w:tcPr>
          <w:p>
            <w:pPr>
              <w:jc w:val="left"/>
            </w:pPr>
            <w:r>
              <w:rPr>
                <w:rFonts w:ascii="Calibri" w:hAnsi="Calibri"/>
                <w:sz w:val="18"/>
              </w:rPr>
              <w:t>3</w:t>
            </w:r>
          </w:p>
        </w:tc>
        <w:tc>
          <w:tcPr>
            <w:tcW w:type="dxa" w:w="2160"/>
          </w:tcPr>
          <w:p>
            <w:pPr>
              <w:jc w:val="center"/>
            </w:pPr>
            <w:r>
              <w:rPr>
                <w:rFonts w:ascii="Calibri" w:hAnsi="Calibri"/>
                <w:sz w:val="18"/>
              </w:rPr>
              <w:t>Refinement Agent</w:t>
            </w:r>
          </w:p>
        </w:tc>
        <w:tc>
          <w:tcPr>
            <w:tcW w:type="dxa" w:w="2160"/>
          </w:tcPr>
          <w:p>
            <w:pPr>
              <w:jc w:val="center"/>
            </w:pPr>
            <w:r>
              <w:rPr>
                <w:rFonts w:ascii="Calibri" w:hAnsi="Calibri"/>
                <w:sz w:val="18"/>
              </w:rPr>
              <w:t>13.4</w:t>
            </w:r>
          </w:p>
        </w:tc>
        <w:tc>
          <w:tcPr>
            <w:tcW w:type="dxa" w:w="2160"/>
          </w:tcPr>
          <w:p>
            <w:pPr>
              <w:jc w:val="center"/>
            </w:pPr>
            <w:r>
              <w:rPr>
                <w:rFonts w:ascii="Calibri" w:hAnsi="Calibri"/>
                <w:sz w:val="18"/>
              </w:rPr>
              <w:t>High Impact</w:t>
            </w:r>
          </w:p>
        </w:tc>
      </w:tr>
      <w:tr>
        <w:tc>
          <w:tcPr>
            <w:tcW w:type="dxa" w:w="2160"/>
          </w:tcPr>
          <w:p>
            <w:pPr>
              <w:jc w:val="left"/>
            </w:pPr>
            <w:r>
              <w:rPr>
                <w:rFonts w:ascii="Calibri" w:hAnsi="Calibri"/>
                <w:sz w:val="18"/>
              </w:rPr>
              <w:t>4</w:t>
            </w:r>
          </w:p>
        </w:tc>
        <w:tc>
          <w:tcPr>
            <w:tcW w:type="dxa" w:w="2160"/>
          </w:tcPr>
          <w:p>
            <w:pPr>
              <w:jc w:val="center"/>
            </w:pPr>
            <w:r>
              <w:rPr>
                <w:rFonts w:ascii="Calibri" w:hAnsi="Calibri"/>
                <w:sz w:val="18"/>
              </w:rPr>
              <w:t>Layout Agent</w:t>
            </w:r>
          </w:p>
        </w:tc>
        <w:tc>
          <w:tcPr>
            <w:tcW w:type="dxa" w:w="2160"/>
          </w:tcPr>
          <w:p>
            <w:pPr>
              <w:jc w:val="center"/>
            </w:pPr>
            <w:r>
              <w:rPr>
                <w:rFonts w:ascii="Calibri" w:hAnsi="Calibri"/>
                <w:sz w:val="18"/>
              </w:rPr>
              <w:t>6.5</w:t>
            </w:r>
          </w:p>
        </w:tc>
        <w:tc>
          <w:tcPr>
            <w:tcW w:type="dxa" w:w="2160"/>
          </w:tcPr>
          <w:p>
            <w:pPr>
              <w:jc w:val="center"/>
            </w:pPr>
            <w:r>
              <w:rPr>
                <w:rFonts w:ascii="Calibri" w:hAnsi="Calibri"/>
                <w:sz w:val="18"/>
              </w:rPr>
              <w:t>Moderate</w:t>
            </w:r>
          </w:p>
        </w:tc>
      </w:tr>
      <w:tr>
        <w:tc>
          <w:tcPr>
            <w:tcW w:type="dxa" w:w="2160"/>
          </w:tcPr>
          <w:p>
            <w:pPr>
              <w:jc w:val="left"/>
            </w:pPr>
            <w:r>
              <w:rPr>
                <w:rFonts w:ascii="Calibri" w:hAnsi="Calibri"/>
                <w:sz w:val="18"/>
              </w:rPr>
              <w:t>5</w:t>
            </w:r>
          </w:p>
        </w:tc>
        <w:tc>
          <w:tcPr>
            <w:tcW w:type="dxa" w:w="2160"/>
          </w:tcPr>
          <w:p>
            <w:pPr>
              <w:jc w:val="center"/>
            </w:pPr>
            <w:r>
              <w:rPr>
                <w:rFonts w:ascii="Calibri" w:hAnsi="Calibri"/>
                <w:sz w:val="18"/>
              </w:rPr>
              <w:t>GoT Exploration</w:t>
            </w:r>
          </w:p>
        </w:tc>
        <w:tc>
          <w:tcPr>
            <w:tcW w:type="dxa" w:w="2160"/>
          </w:tcPr>
          <w:p>
            <w:pPr>
              <w:jc w:val="center"/>
            </w:pPr>
            <w:r>
              <w:rPr>
                <w:rFonts w:ascii="Calibri" w:hAnsi="Calibri"/>
                <w:sz w:val="18"/>
              </w:rPr>
              <w:t>3.0</w:t>
            </w:r>
          </w:p>
        </w:tc>
        <w:tc>
          <w:tcPr>
            <w:tcW w:type="dxa" w:w="2160"/>
          </w:tcPr>
          <w:p>
            <w:pPr>
              <w:jc w:val="center"/>
            </w:pPr>
            <w:r>
              <w:rPr>
                <w:rFonts w:ascii="Calibri" w:hAnsi="Calibri"/>
                <w:sz w:val="18"/>
              </w:rPr>
              <w:t>Supporting</w:t>
            </w:r>
          </w:p>
        </w:tc>
      </w:tr>
      <w:tr>
        <w:tc>
          <w:tcPr>
            <w:tcW w:type="dxa" w:w="2160"/>
          </w:tcPr>
          <w:p>
            <w:pPr>
              <w:jc w:val="left"/>
            </w:pPr>
            <w:r>
              <w:rPr>
                <w:rFonts w:ascii="Calibri" w:hAnsi="Calibri"/>
                <w:sz w:val="18"/>
              </w:rPr>
              <w:t>6</w:t>
            </w:r>
          </w:p>
        </w:tc>
        <w:tc>
          <w:tcPr>
            <w:tcW w:type="dxa" w:w="2160"/>
          </w:tcPr>
          <w:p>
            <w:pPr>
              <w:jc w:val="center"/>
            </w:pPr>
            <w:r>
              <w:rPr>
                <w:rFonts w:ascii="Calibri" w:hAnsi="Calibri"/>
                <w:sz w:val="18"/>
              </w:rPr>
              <w:t>RAG (FAISS)</w:t>
            </w:r>
          </w:p>
        </w:tc>
        <w:tc>
          <w:tcPr>
            <w:tcW w:type="dxa" w:w="2160"/>
          </w:tcPr>
          <w:p>
            <w:pPr>
              <w:jc w:val="center"/>
            </w:pPr>
            <w:r>
              <w:rPr>
                <w:rFonts w:ascii="Calibri" w:hAnsi="Calibri"/>
                <w:sz w:val="18"/>
              </w:rPr>
              <w:t>3.0</w:t>
            </w:r>
          </w:p>
        </w:tc>
        <w:tc>
          <w:tcPr>
            <w:tcW w:type="dxa" w:w="2160"/>
          </w:tcPr>
          <w:p>
            <w:pPr>
              <w:jc w:val="center"/>
            </w:pPr>
            <w:r>
              <w:rPr>
                <w:rFonts w:ascii="Calibri" w:hAnsi="Calibri"/>
                <w:sz w:val="18"/>
              </w:rPr>
              <w:t>Supporting</w:t>
            </w:r>
          </w:p>
        </w:tc>
      </w:tr>
      <w:tr>
        <w:tc>
          <w:tcPr>
            <w:tcW w:type="dxa" w:w="2160"/>
          </w:tcPr>
          <w:p>
            <w:pPr>
              <w:jc w:val="left"/>
            </w:pPr>
            <w:r>
              <w:rPr>
                <w:rFonts w:ascii="Calibri" w:hAnsi="Calibri"/>
                <w:sz w:val="18"/>
              </w:rPr>
              <w:t>7</w:t>
            </w:r>
          </w:p>
        </w:tc>
        <w:tc>
          <w:tcPr>
            <w:tcW w:type="dxa" w:w="2160"/>
          </w:tcPr>
          <w:p>
            <w:pPr>
              <w:jc w:val="center"/>
            </w:pPr>
            <w:r>
              <w:rPr>
                <w:rFonts w:ascii="Calibri" w:hAnsi="Calibri"/>
                <w:sz w:val="18"/>
              </w:rPr>
              <w:t>Pruning</w:t>
            </w:r>
          </w:p>
        </w:tc>
        <w:tc>
          <w:tcPr>
            <w:tcW w:type="dxa" w:w="2160"/>
          </w:tcPr>
          <w:p>
            <w:pPr>
              <w:jc w:val="center"/>
            </w:pPr>
            <w:r>
              <w:rPr>
                <w:rFonts w:ascii="Calibri" w:hAnsi="Calibri"/>
                <w:sz w:val="18"/>
              </w:rPr>
              <w:t>1.7</w:t>
            </w:r>
          </w:p>
        </w:tc>
        <w:tc>
          <w:tcPr>
            <w:tcW w:type="dxa" w:w="2160"/>
          </w:tcPr>
          <w:p>
            <w:pPr>
              <w:jc w:val="center"/>
            </w:pPr>
            <w:r>
              <w:rPr>
                <w:rFonts w:ascii="Calibri" w:hAnsi="Calibri"/>
                <w:sz w:val="18"/>
              </w:rPr>
              <w:t>Supporting</w:t>
            </w:r>
          </w:p>
        </w:tc>
      </w:tr>
      <w:tr>
        <w:tc>
          <w:tcPr>
            <w:tcW w:type="dxa" w:w="2160"/>
          </w:tcPr>
          <w:p>
            <w:pPr>
              <w:jc w:val="left"/>
            </w:pPr>
            <w:r>
              <w:rPr>
                <w:rFonts w:ascii="Calibri" w:hAnsi="Calibri"/>
                <w:sz w:val="18"/>
              </w:rPr>
              <w:t>8</w:t>
            </w:r>
          </w:p>
        </w:tc>
        <w:tc>
          <w:tcPr>
            <w:tcW w:type="dxa" w:w="2160"/>
          </w:tcPr>
          <w:p>
            <w:pPr>
              <w:jc w:val="center"/>
            </w:pPr>
            <w:r>
              <w:rPr>
                <w:rFonts w:ascii="Calibri" w:hAnsi="Calibri"/>
                <w:sz w:val="18"/>
              </w:rPr>
              <w:t>Aggregation</w:t>
            </w:r>
          </w:p>
        </w:tc>
        <w:tc>
          <w:tcPr>
            <w:tcW w:type="dxa" w:w="2160"/>
          </w:tcPr>
          <w:p>
            <w:pPr>
              <w:jc w:val="center"/>
            </w:pPr>
            <w:r>
              <w:rPr>
                <w:rFonts w:ascii="Calibri" w:hAnsi="Calibri"/>
                <w:sz w:val="18"/>
              </w:rPr>
              <w:t>1.6</w:t>
            </w:r>
          </w:p>
        </w:tc>
        <w:tc>
          <w:tcPr>
            <w:tcW w:type="dxa" w:w="2160"/>
          </w:tcPr>
          <w:p>
            <w:pPr>
              <w:jc w:val="center"/>
            </w:pPr>
            <w:r>
              <w:rPr>
                <w:rFonts w:ascii="Calibri" w:hAnsi="Calibri"/>
                <w:sz w:val="18"/>
              </w:rPr>
              <w:t>Supporting</w:t>
            </w:r>
          </w:p>
        </w:tc>
      </w:tr>
      <w:tr>
        <w:tc>
          <w:tcPr>
            <w:tcW w:type="dxa" w:w="2160"/>
          </w:tcPr>
          <w:p>
            <w:pPr>
              <w:jc w:val="left"/>
            </w:pPr>
            <w:r>
              <w:rPr>
                <w:rFonts w:ascii="Calibri" w:hAnsi="Calibri"/>
                <w:sz w:val="18"/>
              </w:rPr>
              <w:t>9</w:t>
            </w:r>
          </w:p>
        </w:tc>
        <w:tc>
          <w:tcPr>
            <w:tcW w:type="dxa" w:w="2160"/>
          </w:tcPr>
          <w:p>
            <w:pPr>
              <w:jc w:val="center"/>
            </w:pPr>
            <w:r>
              <w:rPr>
                <w:rFonts w:ascii="Calibri" w:hAnsi="Calibri"/>
                <w:sz w:val="18"/>
              </w:rPr>
              <w:t>Adaptive Complexity</w:t>
            </w:r>
          </w:p>
        </w:tc>
        <w:tc>
          <w:tcPr>
            <w:tcW w:type="dxa" w:w="2160"/>
          </w:tcPr>
          <w:p>
            <w:pPr>
              <w:jc w:val="center"/>
            </w:pPr>
            <w:r>
              <w:rPr>
                <w:rFonts w:ascii="Calibri" w:hAnsi="Calibri"/>
                <w:sz w:val="18"/>
              </w:rPr>
              <w:t>0.9</w:t>
            </w:r>
          </w:p>
        </w:tc>
        <w:tc>
          <w:tcPr>
            <w:tcW w:type="dxa" w:w="2160"/>
          </w:tcPr>
          <w:p>
            <w:pPr>
              <w:jc w:val="center"/>
            </w:pPr>
            <w:r>
              <w:rPr>
                <w:rFonts w:ascii="Calibri" w:hAnsi="Calibri"/>
                <w:sz w:val="18"/>
              </w:rPr>
              <w:t>Supporting</w:t>
            </w:r>
          </w:p>
        </w:tc>
      </w:tr>
    </w:tbl>
    <w:p>
      <w:pPr>
        <w:pStyle w:val="Heading1"/>
      </w:pPr>
      <w:r>
        <w:t>4. Discussion</w:t>
      </w:r>
    </w:p>
    <w:p>
      <w:pPr>
        <w:pStyle w:val="Heading2"/>
      </w:pPr>
      <w:r>
        <w:t>4.1 Critical Components (Δ &gt; 25%)</w:t>
      </w:r>
    </w:p>
    <w:p>
      <w:r>
        <w:t>FBS Reasoning (−32.2%): The BehaviorCalculator performs the S → Bs transformation, deriving actual thermal (U-value heat transfer), acoustic (STC rating), lighting (daylight factor), and ventilation performance from structural elements using material property databases and physics formulas. Without this module, all behaviors lack actual values, causing the scoring agent to assign neutral fallback scores. The cascading effect—where unmeasured behaviors yield zero functional coverage—confirms FBS reasoning as the epistemic foundation of the pipeline. The low variance (σ = 0.008) indicates this impact is consistent regardless of design complexity.</w:t>
      </w:r>
    </w:p>
    <w:p>
      <w:r>
        <w:t>MCDA Scoring (−30.9%): Replacing the ρ-parameterized MCDA scorer with a naïve arithmetic mean eliminates the geometric mean penalty for unbalanced performance, priority-weighted functional coverage, and continuous actual/target evaluation. The impact scales with complexity: 27.5% for the apartment versus 36.5% for the 14-room family home. This is because complex designs have more behavioral dimensions where single-point failures can be masked by otherwise strong performance—precisely what the geometric mean prevents.</w:t>
      </w:r>
    </w:p>
    <w:p>
      <w:pPr>
        <w:pStyle w:val="Heading2"/>
      </w:pPr>
      <w:r>
        <w:t>4.2 High-Impact Component (Δ ≈ 14%)</w:t>
      </w:r>
    </w:p>
    <w:p>
      <w:r>
        <w:t>Refinement Agent (−13.4%): Gero’s FBS reformulation framework operates through three transformation types: Type 1 (structural modification), Type 2 (behavior relaxation), and Type 3 (function redefinition). Without iterative refinement, the initial gap between expected and actual behaviors persists. The complexity-proportional impact—11.0% for 3 behaviors versus 17.9% for 5 behaviors—confirms that the refinement loop’s contribution scales linearly with the number of behavioral constraints requiring convergence.</w:t>
      </w:r>
    </w:p>
    <w:p>
      <w:pPr>
        <w:pStyle w:val="Heading2"/>
      </w:pPr>
      <w:r>
        <w:t>4.3 Moderate and Supporting Components</w:t>
      </w:r>
    </w:p>
    <w:p>
      <w:r>
        <w:t>The Layout Agent (−6.5%) demonstrates an isolated contribution: it exclusively affects S_l (layout efficiency drops from 0.829 to 0.598) while leaving S_f, S_b, and S_s unchanged. This orthogonal impact confirms that spatial optimization operates independently of the behavioral evaluation pipeline.</w:t>
      </w:r>
    </w:p>
    <w:p>
      <w:r>
        <w:t>GoT Exploration (−3.0%) and RAG retrieval (−3.0%) contribute primarily through improved layout quality via strategy variant selection and precedent-informed room sizing respectively. Pruning (−1.7%) and Aggregation (−1.6%) provide incremental optimization by focusing resources on promising branches and merging complementary features. While individually modest, these five supporting components collectively contribute 12.2%.</w:t>
      </w:r>
    </w:p>
    <w:p>
      <w:pPr>
        <w:pStyle w:val="Heading2"/>
      </w:pPr>
      <w:r>
        <w:t>4.4 Dimensional Analysis</w:t>
      </w:r>
    </w:p>
    <w:p>
      <w:r>
        <w:t>The results reveal two distinct impact patterns. FBS Reasoning and the Refinement Agent produce cascading multi-dimensional effects (S_f and S_b simultaneously) because functional adequacy depends on behavior satisfaction. In contrast, the Layout Agent, GoT, and RAG affect primarily S_l, demonstrating clean architectural separation between spatial optimization and performance evaluation.</w:t>
      </w:r>
    </w:p>
    <w:p>
      <w:pPr>
        <w:pStyle w:val="Heading1"/>
      </w:pPr>
      <w:r>
        <w:t>5. Conclusion</w:t>
      </w:r>
    </w:p>
    <w:p>
      <w:r>
        <w:t>This ablation study validates the FBSL-KAGS multi-agent architecture by demonstrating that every component contributes measurably to design quality. The results establish a clear importance hierarchy:</w:t>
      </w:r>
    </w:p>
    <w:p>
      <w:pPr>
        <w:pStyle w:val="ListBullet"/>
      </w:pPr>
      <w:r>
        <w:rPr>
          <w:b/>
        </w:rPr>
        <w:t xml:space="preserve">Critical (Δ &gt; 25%): </w:t>
      </w:r>
      <w:r>
        <w:t>FBS Reasoning and MCDA Scoring form the epistemic and evaluative foundation. Their removal causes severe quality degradation because the system loses its ability to derive and evaluate physical performance from structures.</w:t>
      </w:r>
    </w:p>
    <w:p>
      <w:pPr>
        <w:pStyle w:val="ListBullet"/>
      </w:pPr>
      <w:r>
        <w:rPr>
          <w:b/>
        </w:rPr>
        <w:t xml:space="preserve">High Impact (Δ ≈ 14%): </w:t>
      </w:r>
      <w:r>
        <w:t>The Refinement Agent provides essential iterative convergence between expected and actual behaviors, with impact proportional to design complexity.</w:t>
      </w:r>
    </w:p>
    <w:p>
      <w:pPr>
        <w:pStyle w:val="ListBullet"/>
      </w:pPr>
      <w:r>
        <w:rPr>
          <w:b/>
        </w:rPr>
        <w:t xml:space="preserve">Moderate to Supporting (Δ = 1–7%): </w:t>
      </w:r>
      <w:r>
        <w:t>Layout optimization, design-space exploration, knowledge retrieval, pruning, and aggregation provide incremental but collectively substantial improvements.</w:t>
      </w:r>
    </w:p>
    <w:p>
      <w:r>
        <w:t>The finding that no component is redundant—with drops ranging from 0.9% to 32.2%—confirms that the pipeline achieves its design quality through the synergy of physics-based reasoning, multi-criteria evaluation, iterative refinement, spatial optimization, and knowledge-augmented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